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Native Distributed Datacenters: A Technical Architecture for Sovereign, Resilient, AI-Managed Edge Infrastructure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0" w:name="X836a4dd76044aa70918f85d352d1ebeaf50f948"/>
    <w:p>
      <w:pPr>
        <w:pStyle w:val="Heading1"/>
      </w:pPr>
      <w:r>
        <w:t xml:space="preserve">AI Native Distributed Datacenters: A Technical Architecture for Sovereign, Resilient, AI-Managed Edge Infrastructure</w:t>
      </w:r>
    </w:p>
    <w:p>
      <w:pPr>
        <w:pStyle w:val="FirstParagraph"/>
      </w:pPr>
      <w:r>
        <w:rPr>
          <w:b/>
          <w:bCs/>
        </w:rPr>
        <w:t xml:space="preserve">ANDD Network — Whitepaper v1.0</w:t>
      </w:r>
      <w:r>
        <w:t xml:space="preserve"> </w:t>
      </w:r>
      <w:r>
        <w:rPr>
          <w:b/>
          <w:bCs/>
        </w:rPr>
        <w:t xml:space="preserve">March 2026</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dfc2d9243507466eef96b266637c5d9202cb45f">
        <w:r>
          <w:rPr>
            <w:rStyle w:val="Hyperlink"/>
          </w:rPr>
          <w:t xml:space="preserve">The Case for Decentralization</w:t>
        </w:r>
      </w:hyperlink>
    </w:p>
    <w:p>
      <w:pPr>
        <w:pStyle w:val="Compact"/>
        <w:numPr>
          <w:ilvl w:val="0"/>
          <w:numId w:val="1001"/>
        </w:numPr>
      </w:pPr>
      <w:hyperlink w:anchor="Xa2ac64f4b9357d55c636fdd31a55768567c3ef6">
        <w:r>
          <w:rPr>
            <w:rStyle w:val="Hyperlink"/>
          </w:rPr>
          <w:t xml:space="preserve">ANDD Architecture Overview</w:t>
        </w:r>
      </w:hyperlink>
    </w:p>
    <w:p>
      <w:pPr>
        <w:pStyle w:val="Compact"/>
        <w:numPr>
          <w:ilvl w:val="0"/>
          <w:numId w:val="1001"/>
        </w:numPr>
      </w:pPr>
      <w:hyperlink w:anchor="X1deac8c73d63a305f85208e57d9edd4a39878c2">
        <w:r>
          <w:rPr>
            <w:rStyle w:val="Hyperlink"/>
          </w:rPr>
          <w:t xml:space="preserve">Technical Architecture</w:t>
        </w:r>
      </w:hyperlink>
    </w:p>
    <w:p>
      <w:pPr>
        <w:pStyle w:val="Compact"/>
        <w:numPr>
          <w:ilvl w:val="0"/>
          <w:numId w:val="1001"/>
        </w:numPr>
      </w:pPr>
      <w:hyperlink w:anchor="X132bc8865a9accd1a20506bf90f3d17e2d2ce78">
        <w:r>
          <w:rPr>
            <w:rStyle w:val="Hyperlink"/>
          </w:rPr>
          <w:t xml:space="preserve">Software Platform Architecture</w:t>
        </w:r>
      </w:hyperlink>
    </w:p>
    <w:p>
      <w:pPr>
        <w:pStyle w:val="Compact"/>
        <w:numPr>
          <w:ilvl w:val="0"/>
          <w:numId w:val="1001"/>
        </w:numPr>
      </w:pPr>
      <w:hyperlink w:anchor="X8d686948b635b7418701cd7d2104da9955c2f3b">
        <w:r>
          <w:rPr>
            <w:rStyle w:val="Hyperlink"/>
          </w:rPr>
          <w:t xml:space="preserve">Bandwidth &amp; Connectivity Requirements</w:t>
        </w:r>
      </w:hyperlink>
    </w:p>
    <w:p>
      <w:pPr>
        <w:pStyle w:val="Compact"/>
        <w:numPr>
          <w:ilvl w:val="0"/>
          <w:numId w:val="1001"/>
        </w:numPr>
      </w:pPr>
      <w:hyperlink w:anchor="Xdc37c70786092c9138227eb9f7c57f3ccbd6d0e">
        <w:r>
          <w:rPr>
            <w:rStyle w:val="Hyperlink"/>
          </w:rPr>
          <w:t xml:space="preserve">Energy Requirements &amp; Mitigation Strategies</w:t>
        </w:r>
      </w:hyperlink>
    </w:p>
    <w:p>
      <w:pPr>
        <w:pStyle w:val="Compact"/>
        <w:numPr>
          <w:ilvl w:val="0"/>
          <w:numId w:val="1001"/>
        </w:numPr>
      </w:pPr>
      <w:hyperlink w:anchor="Xfe5916829f11c90f920f38e3e20deae43d3d9d4">
        <w:r>
          <w:rPr>
            <w:rStyle w:val="Hyperlink"/>
          </w:rPr>
          <w:t xml:space="preserve">AI-Native Operations</w:t>
        </w:r>
      </w:hyperlink>
    </w:p>
    <w:p>
      <w:pPr>
        <w:pStyle w:val="Compact"/>
        <w:numPr>
          <w:ilvl w:val="0"/>
          <w:numId w:val="1001"/>
        </w:numPr>
      </w:pPr>
      <w:hyperlink w:anchor="Xc1c268dbbe6e8a9e87c3120374a781782725078">
        <w:r>
          <w:rPr>
            <w:rStyle w:val="Hyperlink"/>
          </w:rPr>
          <w:t xml:space="preserve">Resilience Through Decentralization</w:t>
        </w:r>
      </w:hyperlink>
    </w:p>
    <w:p>
      <w:pPr>
        <w:pStyle w:val="Compact"/>
        <w:numPr>
          <w:ilvl w:val="0"/>
          <w:numId w:val="1001"/>
        </w:numPr>
      </w:pPr>
      <w:hyperlink w:anchor="Xe82af6efca426d0a29b79cd236fe6d2fea18dc8">
        <w:r>
          <w:rPr>
            <w:rStyle w:val="Hyperlink"/>
          </w:rPr>
          <w:t xml:space="preserve">Payment Architecture</w:t>
        </w:r>
      </w:hyperlink>
    </w:p>
    <w:p>
      <w:pPr>
        <w:pStyle w:val="Compact"/>
        <w:numPr>
          <w:ilvl w:val="0"/>
          <w:numId w:val="1001"/>
        </w:numPr>
      </w:pPr>
      <w:hyperlink w:anchor="Xc79040ed8966083187991406c50f34747e46ece">
        <w:r>
          <w:rPr>
            <w:rStyle w:val="Hyperlink"/>
          </w:rPr>
          <w:t xml:space="preserve">DePIN Integration &amp; Pressure Test</w:t>
        </w:r>
      </w:hyperlink>
    </w:p>
    <w:p>
      <w:pPr>
        <w:pStyle w:val="Compact"/>
        <w:numPr>
          <w:ilvl w:val="0"/>
          <w:numId w:val="1001"/>
        </w:numPr>
      </w:pPr>
      <w:hyperlink w:anchor="X44ae8d472bc4dbeafdf2eb1e91a8934157fb799">
        <w:r>
          <w:rPr>
            <w:rStyle w:val="Hyperlink"/>
          </w:rPr>
          <w:t xml:space="preserve">Opportunity Zone Alignment</w:t>
        </w:r>
      </w:hyperlink>
    </w:p>
    <w:p>
      <w:pPr>
        <w:pStyle w:val="Compact"/>
        <w:numPr>
          <w:ilvl w:val="0"/>
          <w:numId w:val="1001"/>
        </w:numPr>
      </w:pPr>
      <w:hyperlink w:anchor="Xd87dc54d6892a4218420f435ee7869d7ab1bb89">
        <w:r>
          <w:rPr>
            <w:rStyle w:val="Hyperlink"/>
          </w:rPr>
          <w:t xml:space="preserve">Okopipi Integration: Network-Native Consensus</w:t>
        </w:r>
      </w:hyperlink>
    </w:p>
    <w:p>
      <w:pPr>
        <w:pStyle w:val="Compact"/>
        <w:numPr>
          <w:ilvl w:val="0"/>
          <w:numId w:val="1001"/>
        </w:numPr>
      </w:pPr>
      <w:hyperlink w:anchor="Xee62a4be8a850fe52d0e985cf2b6d1c5747dad7">
        <w:r>
          <w:rPr>
            <w:rStyle w:val="Hyperlink"/>
          </w:rPr>
          <w:t xml:space="preserve">Implementation Roadmap</w:t>
        </w:r>
      </w:hyperlink>
    </w:p>
    <w:p>
      <w:pPr>
        <w:pStyle w:val="Compact"/>
        <w:numPr>
          <w:ilvl w:val="0"/>
          <w:numId w:val="1001"/>
        </w:numPr>
      </w:pPr>
      <w:hyperlink w:anchor="X995078fdca0489bfbe8a4c03cc3f9489e67e1cd">
        <w:r>
          <w:rPr>
            <w:rStyle w:val="Hyperlink"/>
          </w:rPr>
          <w:t xml:space="preserve">Conclusion</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global compute infrastructure serving AI, critical services, and digital economies is dangerously concentrated. Fewer than 30 hyperscale campuses in the United States process the vast majority of AI inference, financial transactions, government data, and emergency communications. This concentration creates single points of failure for national security, economic continuity, and community resilience — and it leaves underserved regions permanently behind.</w:t>
      </w:r>
    </w:p>
    <w:p>
      <w:pPr>
        <w:pStyle w:val="BodyText"/>
      </w:pPr>
      <w:r>
        <w:rPr>
          <w:b/>
          <w:bCs/>
        </w:rPr>
        <w:t xml:space="preserve">ANDD (AI Native Distributed Datacenters)</w:t>
      </w:r>
      <w:r>
        <w:t xml:space="preserve"> </w:t>
      </w:r>
      <w:r>
        <w:t xml:space="preserve">proposes a fundamentally different model: a network of hundreds to thousands of sub-2MW edge datacenters, deployed across federally designated Opportunity Zones, forming an interconnected mesh fabric that is</w:t>
      </w:r>
      <w:r>
        <w:t xml:space="preserve"> </w:t>
      </w:r>
      <w:r>
        <w:rPr>
          <w:b/>
          <w:bCs/>
        </w:rPr>
        <w:t xml:space="preserve">entirely managed and operated by artificial intelligence</w:t>
      </w:r>
      <w:r>
        <w:t xml:space="preserve">. No human operators provision servers. No human billing clerks process invoices. No human technicians schedule maintenance windows. The AI management layer handles customer onboarding, capacity planning, workload routing, billing, compliance reporting, and predictive maintenance autonomously — achieving operational economics that make sub-2MW facilities viable at scale.</w:t>
      </w:r>
    </w:p>
    <w:p>
      <w:pPr>
        <w:pStyle w:val="BodyText"/>
      </w:pPr>
      <w:r>
        <w:t xml:space="preserve">This whitepaper presents the technical architecture, infrastructure requirements, and economic model for the ANDD network. It details the four hardware domains (Compute, Storage, Connectivity, AI Accelerators), the bandwidth and energy profiles for each site, mitigation strategies for power resilience through renewables and microgrids, and the payment architecture spanning fiat subscriptions to real-time crypto micro-transactions. Critically, it pressure-tests the ANDD model against the track record of existing Decentralized Physical Infrastructure Network (DePIN) projects — analyzing why consumer-grade approaches have struggled and how enterprise-grade, AI-native infrastructure resolves those failure modes.</w:t>
      </w:r>
    </w:p>
    <w:p>
      <w:pPr>
        <w:pStyle w:val="BodyText"/>
      </w:pPr>
      <w:r>
        <w:t xml:space="preserve">The ANDD network serves six constituencies: communities and local governments needing public safety and smart-city infrastructure; startups requiring edge compute without building their own; blockchain and Web3 projects needing reliable DePIN backbone; regional fintech with data residency mandates; state and federal agencies requiring sovereign, defense-compatible infrastructure; and telcos extending their edge footprint. By aligning deployment with Opportunity Zones, ANDD simultaneously unlocks investor tax incentives (capital gains deferral, basis step-up, and the 10-year appreciation exclusion) while delivering jobs, connectivity, and AI capabilities to the communities that need them most.</w:t>
      </w:r>
    </w:p>
    <w:p>
      <w:r>
        <w:pict>
          <v:rect style="width:0;height:1.5pt" o:hralign="center" o:hrstd="t" o:hr="t"/>
        </w:pict>
      </w:r>
    </w:p>
    <w:bookmarkEnd w:id="21"/>
    <w:bookmarkStart w:id="26" w:name="the-case-for-decentralization"/>
    <w:p>
      <w:pPr>
        <w:pStyle w:val="Heading2"/>
      </w:pPr>
      <w:r>
        <w:t xml:space="preserve">2. The Case for Decentralization</w:t>
      </w:r>
    </w:p>
    <w:bookmarkStart w:id="22" w:name="the-concentration-problem"/>
    <w:p>
      <w:pPr>
        <w:pStyle w:val="Heading3"/>
      </w:pPr>
      <w:r>
        <w:t xml:space="preserve">2.1 The Concentration Problem</w:t>
      </w:r>
    </w:p>
    <w:p>
      <w:pPr>
        <w:pStyle w:val="FirstParagraph"/>
      </w:pPr>
      <w:r>
        <w:t xml:space="preserve">The current datacenter landscape in the United States is defined by extreme geographic concentration. Northern Virginia alone hosts over 70% of internet traffic on the East Coast. The top five metro markets (Northern Virginia, Dallas-Fort Worth, Phoenix, Chicago, Silicon Valley) account for a disproportionate share of total U.S. datacenter capacity. Hyperscale operators — AWS, Azure, Google Cloud — continue expanding multi-hundred-megawatt campuses in these same corridors, drawn by existing fiber routes, power availability, and permitting precedent.</w:t>
      </w:r>
    </w:p>
    <w:p>
      <w:pPr>
        <w:pStyle w:val="BodyText"/>
      </w:pPr>
      <w:r>
        <w:t xml:space="preserve">This concentration creates compounding vulnerabilities:</w:t>
      </w:r>
    </w:p>
    <w:p>
      <w:pPr>
        <w:pStyle w:val="BodyText"/>
      </w:pPr>
      <w:r>
        <w:rPr>
          <w:b/>
          <w:bCs/>
        </w:rPr>
        <w:t xml:space="preserve">National Security Exposure.</w:t>
      </w:r>
      <w:r>
        <w:t xml:space="preserve"> </w:t>
      </w:r>
      <w:r>
        <w:t xml:space="preserve">A coordinated attack — physical, cyber, or electromagnetic — on fewer than a dozen campuses could degrade the operational capacity of federal agencies, financial markets, and defense communications simultaneously. The geographic clustering means that a single regional disaster (earthquake on the West Coast, hurricane in Virginia, grid failure in Texas) threatens a nationally significant share of compute capacity. The Department of Defense increasingly relies on commercial cloud infrastructure through programs like JWCC (Joint Warfighting Cloud Capability). When that commercial infrastructure is concentrated in the same geographic corridors, military continuity of operations becomes coupled to civilian infrastructure vulnerabilities — a coupling adversaries can exploit.</w:t>
      </w:r>
    </w:p>
    <w:p>
      <w:pPr>
        <w:pStyle w:val="BodyText"/>
      </w:pPr>
      <w:r>
        <w:rPr>
          <w:b/>
          <w:bCs/>
        </w:rPr>
        <w:t xml:space="preserve">Latency Inequality.</w:t>
      </w:r>
      <w:r>
        <w:t xml:space="preserve"> </w:t>
      </w:r>
      <w:r>
        <w:t xml:space="preserve">Communities more than 50 milliseconds from the nearest hyperscale region — including much of rural America, tribal lands, and smaller metropolitan areas — cannot participate in latency-sensitive applications: real-time AI inference, telemedicine, autonomous vehicle coordination, AR/VR, or high-frequency financial services. The digital divide is not merely a bandwidth problem; it is a proximity problem. The physics are unforgiving: light in fiber travels at roughly 200km per millisecond. A community 500km from the nearest availability zone faces a minimum 5ms round-trip penalty that no software optimization can overcome — and real-world routing adds 2–5x overhead. For applications requiring sub-10ms response (autonomous vehicles, industrial control, real-time medical devices), this means the service boundary of a centralized datacenter extends no more than 50–100km in practice.</w:t>
      </w:r>
    </w:p>
    <w:p>
      <w:pPr>
        <w:pStyle w:val="BodyText"/>
      </w:pPr>
      <w:r>
        <w:rPr>
          <w:b/>
          <w:bCs/>
        </w:rPr>
        <w:t xml:space="preserve">Sovereignty Erosion.</w:t>
      </w:r>
      <w:r>
        <w:t xml:space="preserve"> </w:t>
      </w:r>
      <w:r>
        <w:t xml:space="preserve">When all compute runs through a handful of corporate campuses, government data, municipal systems, and critical infrastructure become dependent on the operational decisions and pricing power of three to four hyperscale vendors. Local and state governments lose visibility into where their data resides, how it is secured, and whether it will remain accessible during a dispute or outage. This dependency has already produced real consequences: municipalities have experienced service disruptions during hyperscale provider outages that affected 911 dispatch, traffic management, and water system monitoring. The State of Texas, among others, has begun investigating data residency requirements that would mandate certain government workloads remain within state boundaries — a requirement that concentrated hyperscale regions in Virginia, Oregon, or Ohio cannot satisfy.</w:t>
      </w:r>
    </w:p>
    <w:p>
      <w:pPr>
        <w:pStyle w:val="BodyText"/>
      </w:pPr>
      <w:r>
        <w:rPr>
          <w:b/>
          <w:bCs/>
        </w:rPr>
        <w:t xml:space="preserve">Grid Strain.</w:t>
      </w:r>
      <w:r>
        <w:t xml:space="preserve"> </w:t>
      </w:r>
      <w:r>
        <w:t xml:space="preserve">Hyperscale campuses are now the largest single consumers of electricity in their host regions. Dominion Energy in Virginia has publicly cited datacenter load growth as the primary driver of new generation capacity requirements. A single 300MW campus demands the equivalent output of a small natural gas plant. This concentrated demand strains regional grids, delays interconnection for other customers, and creates political backlash that threatens the permitting pipeline for all datacenter development. The IEA projects global datacenter electricity consumption could reach 945–1,300 TWh by 2030, with AI workloads as the primary growth driver. Concentrating this demand in a few corridors creates grid congestion, drives up wholesale electricity prices for neighboring ratepayers, and requires billions in transmission upgrades that benefit a narrow set of corporate consumers. By contrast, distributing the same total compute across hundreds of sub-2MW facilities spreads the load across dozens of utility territories, avoids transmission bottlenecks, and matches each site’s demand to locally available generation.</w:t>
      </w:r>
    </w:p>
    <w:p>
      <w:pPr>
        <w:pStyle w:val="BodyText"/>
      </w:pPr>
      <w:r>
        <w:rPr>
          <w:b/>
          <w:bCs/>
        </w:rPr>
        <w:t xml:space="preserve">Supply Chain Concentration.</w:t>
      </w:r>
      <w:r>
        <w:t xml:space="preserve"> </w:t>
      </w:r>
      <w:r>
        <w:t xml:space="preserve">The concentration problem extends beyond geography to supply chain. When a small number of hyperscale operators dominate procurement of GPUs, networking equipment, and power infrastructure, smaller players face multi-year lead times and unfavorable pricing. ANDD’s modular, standardized design uses commonly available equipment at scales that avoid competing directly with hyperscale procurement volumes — a 200kW facility needs 8–15 racks, not 8,000.</w:t>
      </w:r>
    </w:p>
    <w:bookmarkEnd w:id="22"/>
    <w:bookmarkStart w:id="23" w:name="why-distributed-edge-why-now"/>
    <w:p>
      <w:pPr>
        <w:pStyle w:val="Heading3"/>
      </w:pPr>
      <w:r>
        <w:t xml:space="preserve">2.2 Why Distributed Edge, Why Now</w:t>
      </w:r>
    </w:p>
    <w:p>
      <w:pPr>
        <w:pStyle w:val="FirstParagraph"/>
      </w:pPr>
      <w:r>
        <w:t xml:space="preserve">Five converging trends make the distributed edge datacenter model not only viable but urgent:</w:t>
      </w:r>
    </w:p>
    <w:p>
      <w:pPr>
        <w:pStyle w:val="BodyText"/>
      </w:pPr>
      <w:r>
        <w:rPr>
          <w:b/>
          <w:bCs/>
        </w:rPr>
        <w:t xml:space="preserve">AI Inference is Moving to the Edge.</w:t>
      </w:r>
      <w:r>
        <w:t xml:space="preserve"> </w:t>
      </w:r>
      <w:r>
        <w:t xml:space="preserve">While training large foundation models remains a centralized activity requiring thousands of coordinated GPUs, inference — the application of trained models to real-world data — is increasingly latency-sensitive and geographically distributed. Autonomous vehicles need sub-10ms inference. Smart-city sensors generate data that loses value if it must traverse 2,000 miles to a hyperscale region and back. Edge AI inference requires local accelerators, local storage, and local connectivity. The economics have shifted decisively: inference now accounts for 60–70% of all AI compute cycles and is the fastest-growing segment. A single inference-optimized server with 4–8x NVIDIA L40S cards (1.2–2.4kW total) can serve meaningful regional AI workloads — LLM inference for 7–13B parameter models at 20–100ms per token, real-time image and video analysis at 5–20ms, and fraud detection at sub-50ms. These workloads are small enough for edge sites yet collectively represent the majority of AI compute demand.</w:t>
      </w:r>
    </w:p>
    <w:p>
      <w:pPr>
        <w:pStyle w:val="BodyText"/>
      </w:pPr>
      <w:r>
        <w:rPr>
          <w:b/>
          <w:bCs/>
        </w:rPr>
        <w:t xml:space="preserve">DePIN Requires Enterprise-Grade Physical Infrastructure.</w:t>
      </w:r>
      <w:r>
        <w:t xml:space="preserve"> </w:t>
      </w:r>
      <w:r>
        <w:t xml:space="preserve">The DePIN movement has demonstrated market demand for decentralized compute, storage, connectivity, and sensing networks. But projects built on consumer hardware — home routers, desktop GPUs, residential internet connections — have hit reliability ceilings. Enterprise customers and government agencies require 99.99% uptime, N+1 redundancy, physical security, and compliance certifications that consumer-grade nodes cannot provide. ANDD bridges this gap. The DePIN market has validated demand while simultaneously exposing the failure mode: Helium deployed 900,000+ hotspots but couldn’t guarantee coverage or uptime in the locations that mattered. Filecoin accumulated 22+ exbibytes of storage capacity but most of it sits empty. These projects proved the tokenomics and demand aggregation model works — but the physical infrastructure layer needs to be enterprise-grade. ANDD provides that upgrade.</w:t>
      </w:r>
    </w:p>
    <w:p>
      <w:pPr>
        <w:pStyle w:val="BodyText"/>
      </w:pPr>
      <w:r>
        <w:rPr>
          <w:b/>
          <w:bCs/>
        </w:rPr>
        <w:t xml:space="preserve">Federal Policy Now Incentivizes Distributed Deployment.</w:t>
      </w:r>
      <w:r>
        <w:t xml:space="preserve"> </w:t>
      </w:r>
      <w:r>
        <w:t xml:space="preserve">The Opportunity Zone program, made permanent by the One Big Beautiful Bill Act of 2025, provides powerful tax incentives for infrastructure investment in 8,764 designated census tracts. The simultaneous bipartisan interest in domestic AI infrastructure, supply chain resilience, and rural broadband creates a policy tailwind for distributed datacenter deployment that did not exist five years ago. The federal funding landscape is substantial and directly applicable: DOE’s Grid Resilience and Innovation Partnerships (GRIP) program allocates $10.5 billion for distributed energy resources and microgrids; the DOE Loan Programs Office has $400+ billion in lending authority for clean energy projects; the NTIA’s BEAD program deploys $42.45 billion for broadband infrastructure that edge datacenters can co-locate with; and the Inflation Reduction Act provides 30–50% Investment Tax Credits for on-site solar, battery storage, and fuel cells. ANDD’s Opportunity Zone alignment positions it to access multiple overlapping incentive streams simultaneously.</w:t>
      </w:r>
    </w:p>
    <w:p>
      <w:pPr>
        <w:pStyle w:val="BodyText"/>
      </w:pPr>
      <w:r>
        <w:rPr>
          <w:b/>
          <w:bCs/>
        </w:rPr>
        <w:t xml:space="preserve">Real-Time Applications Are Proliferating.</w:t>
      </w:r>
      <w:r>
        <w:t xml:space="preserve"> </w:t>
      </w:r>
      <w:r>
        <w:t xml:space="preserve">The application landscape demanding low-latency, distributed compute is expanding rapidly beyond traditional web services. Next Generation 911 (NG911) requires local call routing that functions during backhaul outages. FirstNet public safety broadband needs edge compute for body camera streaming, real-time mapping, and resource tracking. Autonomous vehicle V2X communication requires sub-10ms infrastructure response. Industrial IoT for manufacturing, agriculture, and energy demands control loops faster than centralized cloud can provide. Augmented reality applications require sub-20ms motion-to-photon latency. Each of these workloads individually could justify edge infrastructure; collectively they create a demand profile that only a distributed network can serve.</w:t>
      </w:r>
    </w:p>
    <w:p>
      <w:pPr>
        <w:pStyle w:val="BodyText"/>
      </w:pPr>
      <w:r>
        <w:rPr>
          <w:b/>
          <w:bCs/>
        </w:rPr>
        <w:t xml:space="preserve">The Hardware Has Caught Up.</w:t>
      </w:r>
      <w:r>
        <w:t xml:space="preserve"> </w:t>
      </w:r>
      <w:r>
        <w:t xml:space="preserve">Five years ago, sub-2MW edge facilities were limited to commodity x86 servers — useful for caching and simple compute but inadequate for AI or high-density workloads. Today, inference-optimized GPUs (NVIDIA L4 at 72W, L40S at 300W), high-memory accelerators (AMD MI300X at 192GB HBM3), and efficient ARM processors (Ampere Altra Max) enable meaningful AI and HPC workloads within edge power envelopes. Direct liquid cooling technology — now mature and commercially deployed at over 2 million nodes globally by providers like CoolIT — enables 50–120kW per rack in small facilities, achieving PUEs of 1.10–1.20 that close the efficiency gap with hyperscale. Prefabricated modular datacenter enclosures from Schneider Electric, Vertiv, and others compress deployment timelines from 18–24 months to 60–90 days. The technology stack for high-performance edge computing is finally ready.</w:t>
      </w:r>
    </w:p>
    <w:bookmarkEnd w:id="23"/>
    <w:bookmarkStart w:id="24" w:name="the-ai-native-differentiator"/>
    <w:p>
      <w:pPr>
        <w:pStyle w:val="Heading3"/>
      </w:pPr>
      <w:r>
        <w:t xml:space="preserve">2.3 The AI-Native Differentiator</w:t>
      </w:r>
    </w:p>
    <w:p>
      <w:pPr>
        <w:pStyle w:val="FirstParagraph"/>
      </w:pPr>
      <w:r>
        <w:t xml:space="preserve">Previous attempts at distributed datacenter networks failed primarily on operational economics. A sub-2MW facility cannot justify the cost of a full-time site manager, network engineer, and facilities technician. Traditional datacenter operators achieve margin through scale — spreading fixed operational costs across hundreds of megawatts. This is why the industry has relentlessly consolidated into larger and larger campuses.</w:t>
      </w:r>
    </w:p>
    <w:p>
      <w:pPr>
        <w:pStyle w:val="BodyText"/>
      </w:pPr>
      <w:r>
        <w:t xml:space="preserve">The operational cost structure of a traditional datacenter illustrates the problem:</w:t>
      </w:r>
    </w:p>
    <w:tbl>
      <w:tblPr>
        <w:tblStyle w:val="Table"/>
        <w:tblW w:type="pct" w:w="5000"/>
        <w:jc w:val="left"/>
        <w:tblLayout w:type="fixed"/>
        <w:tblLook w:firstRow="1" w:lastRow="0" w:firstColumn="0" w:lastColumn="0" w:noHBand="0" w:noVBand="0" w:val="0020"/>
      </w:tblPr>
      <w:tblGrid>
        <w:gridCol w:w="1606"/>
        <w:gridCol w:w="2180"/>
        <w:gridCol w:w="2180"/>
        <w:gridCol w:w="1951"/>
      </w:tblGrid>
      <w:tr>
        <w:trPr>
          <w:tblHeader w:val="on"/>
        </w:trPr>
        <w:tc>
          <w:tcPr/>
          <w:p>
            <w:pPr>
              <w:pStyle w:val="Compact"/>
              <w:jc w:val="left"/>
            </w:pPr>
            <w:r>
              <w:t xml:space="preserve">Cost Category</w:t>
            </w:r>
          </w:p>
        </w:tc>
        <w:tc>
          <w:tcPr/>
          <w:p>
            <w:pPr>
              <w:pStyle w:val="Compact"/>
              <w:jc w:val="left"/>
            </w:pPr>
            <w:r>
              <w:t xml:space="preserve">Typical % of OpEx</w:t>
            </w:r>
          </w:p>
        </w:tc>
        <w:tc>
          <w:tcPr/>
          <w:p>
            <w:pPr>
              <w:pStyle w:val="Compact"/>
              <w:jc w:val="left"/>
            </w:pPr>
            <w:r>
              <w:t xml:space="preserve">Role at &lt;2MW Site</w:t>
            </w:r>
          </w:p>
        </w:tc>
        <w:tc>
          <w:tcPr/>
          <w:p>
            <w:pPr>
              <w:pStyle w:val="Compact"/>
              <w:jc w:val="left"/>
            </w:pPr>
            <w:r>
              <w:t xml:space="preserve">Scalable by AI?</w:t>
            </w:r>
          </w:p>
        </w:tc>
      </w:tr>
      <w:tr>
        <w:tc>
          <w:tcPr/>
          <w:p>
            <w:pPr>
              <w:pStyle w:val="Compact"/>
              <w:jc w:val="left"/>
            </w:pPr>
            <w:r>
              <w:t xml:space="preserve">Facilities staff (24/7 technicians)</w:t>
            </w:r>
          </w:p>
        </w:tc>
        <w:tc>
          <w:tcPr/>
          <w:p>
            <w:pPr>
              <w:pStyle w:val="Compact"/>
              <w:jc w:val="left"/>
            </w:pPr>
            <w:r>
              <w:t xml:space="preserve">15–20%</w:t>
            </w:r>
          </w:p>
        </w:tc>
        <w:tc>
          <w:tcPr/>
          <w:p>
            <w:pPr>
              <w:pStyle w:val="Compact"/>
              <w:jc w:val="left"/>
            </w:pPr>
            <w:r>
              <w:t xml:space="preserve">Requires 3–5 FTEs for shift coverage</w:t>
            </w:r>
          </w:p>
        </w:tc>
        <w:tc>
          <w:tcPr/>
          <w:p>
            <w:pPr>
              <w:pStyle w:val="Compact"/>
              <w:jc w:val="left"/>
            </w:pPr>
            <w:r>
              <w:t xml:space="preserve">Yes — predictive maintenance + dispatched field service</w:t>
            </w:r>
          </w:p>
        </w:tc>
      </w:tr>
      <w:tr>
        <w:tc>
          <w:tcPr/>
          <w:p>
            <w:pPr>
              <w:pStyle w:val="Compact"/>
              <w:jc w:val="left"/>
            </w:pPr>
            <w:r>
              <w:t xml:space="preserve">Network operations (NOC)</w:t>
            </w:r>
          </w:p>
        </w:tc>
        <w:tc>
          <w:tcPr/>
          <w:p>
            <w:pPr>
              <w:pStyle w:val="Compact"/>
              <w:jc w:val="left"/>
            </w:pPr>
            <w:r>
              <w:t xml:space="preserve">10–15%</w:t>
            </w:r>
          </w:p>
        </w:tc>
        <w:tc>
          <w:tcPr/>
          <w:p>
            <w:pPr>
              <w:pStyle w:val="Compact"/>
              <w:jc w:val="left"/>
            </w:pPr>
            <w:r>
              <w:t xml:space="preserve">Requires 24/7 monitoring staff or outsourced NOC</w:t>
            </w:r>
          </w:p>
        </w:tc>
        <w:tc>
          <w:tcPr/>
          <w:p>
            <w:pPr>
              <w:pStyle w:val="Compact"/>
              <w:jc w:val="left"/>
            </w:pPr>
            <w:r>
              <w:t xml:space="preserve">Yes — AI-driven monitoring, automated remediation</w:t>
            </w:r>
          </w:p>
        </w:tc>
      </w:tr>
      <w:tr>
        <w:tc>
          <w:tcPr/>
          <w:p>
            <w:pPr>
              <w:pStyle w:val="Compact"/>
              <w:jc w:val="left"/>
            </w:pPr>
            <w:r>
              <w:t xml:space="preserve">Sales &amp; customer management</w:t>
            </w:r>
          </w:p>
        </w:tc>
        <w:tc>
          <w:tcPr/>
          <w:p>
            <w:pPr>
              <w:pStyle w:val="Compact"/>
              <w:jc w:val="left"/>
            </w:pPr>
            <w:r>
              <w:t xml:space="preserve">10–15%</w:t>
            </w:r>
          </w:p>
        </w:tc>
        <w:tc>
          <w:tcPr/>
          <w:p>
            <w:pPr>
              <w:pStyle w:val="Compact"/>
              <w:jc w:val="left"/>
            </w:pPr>
            <w:r>
              <w:t xml:space="preserve">Requires sales team, account managers</w:t>
            </w:r>
          </w:p>
        </w:tc>
        <w:tc>
          <w:tcPr/>
          <w:p>
            <w:pPr>
              <w:pStyle w:val="Compact"/>
              <w:jc w:val="left"/>
            </w:pPr>
            <w:r>
              <w:t xml:space="preserve">Yes — AI onboarding, self-service provisioning</w:t>
            </w:r>
          </w:p>
        </w:tc>
      </w:tr>
      <w:tr>
        <w:tc>
          <w:tcPr/>
          <w:p>
            <w:pPr>
              <w:pStyle w:val="Compact"/>
              <w:jc w:val="left"/>
            </w:pPr>
            <w:r>
              <w:t xml:space="preserve">Billing &amp; finance</w:t>
            </w:r>
          </w:p>
        </w:tc>
        <w:tc>
          <w:tcPr/>
          <w:p>
            <w:pPr>
              <w:pStyle w:val="Compact"/>
              <w:jc w:val="left"/>
            </w:pPr>
            <w:r>
              <w:t xml:space="preserve">5–8%</w:t>
            </w:r>
          </w:p>
        </w:tc>
        <w:tc>
          <w:tcPr/>
          <w:p>
            <w:pPr>
              <w:pStyle w:val="Compact"/>
              <w:jc w:val="left"/>
            </w:pPr>
            <w:r>
              <w:t xml:space="preserve">Requires billing systems, AR/AP staff</w:t>
            </w:r>
          </w:p>
        </w:tc>
        <w:tc>
          <w:tcPr/>
          <w:p>
            <w:pPr>
              <w:pStyle w:val="Compact"/>
              <w:jc w:val="left"/>
            </w:pPr>
            <w:r>
              <w:t xml:space="preserve">Yes — automated metering, invoicing, reconciliation</w:t>
            </w:r>
          </w:p>
        </w:tc>
      </w:tr>
      <w:tr>
        <w:tc>
          <w:tcPr/>
          <w:p>
            <w:pPr>
              <w:pStyle w:val="Compact"/>
              <w:jc w:val="left"/>
            </w:pPr>
            <w:r>
              <w:t xml:space="preserve">Compliance &amp; reporting</w:t>
            </w:r>
          </w:p>
        </w:tc>
        <w:tc>
          <w:tcPr/>
          <w:p>
            <w:pPr>
              <w:pStyle w:val="Compact"/>
              <w:jc w:val="left"/>
            </w:pPr>
            <w:r>
              <w:t xml:space="preserve">5–10%</w:t>
            </w:r>
          </w:p>
        </w:tc>
        <w:tc>
          <w:tcPr/>
          <w:p>
            <w:pPr>
              <w:pStyle w:val="Compact"/>
              <w:jc w:val="left"/>
            </w:pPr>
            <w:r>
              <w:t xml:space="preserve">Requires compliance officers, auditors</w:t>
            </w:r>
          </w:p>
        </w:tc>
        <w:tc>
          <w:tcPr/>
          <w:p>
            <w:pPr>
              <w:pStyle w:val="Compact"/>
              <w:jc w:val="left"/>
            </w:pPr>
            <w:r>
              <w:t xml:space="preserve">Partially — AI generates reports, human signs off</w:t>
            </w:r>
          </w:p>
        </w:tc>
      </w:tr>
      <w:tr>
        <w:tc>
          <w:tcPr/>
          <w:p>
            <w:pPr>
              <w:pStyle w:val="Compact"/>
              <w:jc w:val="left"/>
            </w:pPr>
            <w:r>
              <w:t xml:space="preserve">Power &amp; cooling</w:t>
            </w:r>
          </w:p>
        </w:tc>
        <w:tc>
          <w:tcPr/>
          <w:p>
            <w:pPr>
              <w:pStyle w:val="Compact"/>
              <w:jc w:val="left"/>
            </w:pPr>
            <w:r>
              <w:t xml:space="preserve">30–40%</w:t>
            </w:r>
          </w:p>
        </w:tc>
        <w:tc>
          <w:tcPr/>
          <w:p>
            <w:pPr>
              <w:pStyle w:val="Compact"/>
              <w:jc w:val="left"/>
            </w:pPr>
            <w:r>
              <w:t xml:space="preserve">Fixed cost proportional to load</w:t>
            </w:r>
          </w:p>
        </w:tc>
        <w:tc>
          <w:tcPr/>
          <w:p>
            <w:pPr>
              <w:pStyle w:val="Compact"/>
              <w:jc w:val="left"/>
            </w:pPr>
            <w:r>
              <w:t xml:space="preserve">Optimizable — AI thermal management, demand response</w:t>
            </w:r>
          </w:p>
        </w:tc>
      </w:tr>
    </w:tbl>
    <w:p>
      <w:pPr>
        <w:pStyle w:val="BodyText"/>
      </w:pPr>
      <w:r>
        <w:t xml:space="preserve">In a 50MW hyperscale facility, these operational costs are amortized across enormous revenue. In a 500kW edge facility, the same absolute costs destroy the margin. A 500kW site generating $500,000–$1M annual revenue cannot sustain $400,000+ in operational staffing.</w:t>
      </w:r>
    </w:p>
    <w:p>
      <w:pPr>
        <w:pStyle w:val="BodyText"/>
      </w:pPr>
      <w:r>
        <w:t xml:space="preserve">ANDD inverts this equation by making AI the operator. When customer onboarding, capacity provisioning, workload routing, billing, compliance monitoring, predictive maintenance, and incident response are all handled by autonomous AI systems, the marginal operational cost of adding a new site approaches the cost of the hardware and connectivity alone. The target operating model is one human operator per 20–50 edge nodes, with AI handling &gt;95% of operational tasks autonomously. At this ratio, a network of 200 edge nodes requires a team of 4–10 people rather than the 600–1,000 a traditional operator would need. This is the economic unlock that makes a network of hundreds of sub-2MW facilities viable for the first time.</w:t>
      </w:r>
    </w:p>
    <w:bookmarkEnd w:id="24"/>
    <w:bookmarkStart w:id="25" w:name="X5aabae2b0d87378a31f659054ceb9e27c1795ee"/>
    <w:p>
      <w:pPr>
        <w:pStyle w:val="Heading3"/>
      </w:pPr>
      <w:r>
        <w:t xml:space="preserve">2.4 Failure Mode Analysis: Why Previous Distributed Models Failed</w:t>
      </w:r>
    </w:p>
    <w:p>
      <w:pPr>
        <w:pStyle w:val="FirstParagraph"/>
      </w:pPr>
      <w:r>
        <w:t xml:space="preserve">Understanding why earlier distributed datacenter concepts did not reach scale is essential to understanding how ANDD avoids the same fate.</w:t>
      </w:r>
    </w:p>
    <w:p>
      <w:pPr>
        <w:pStyle w:val="BodyText"/>
      </w:pPr>
      <w:r>
        <w:rPr>
          <w:b/>
          <w:bCs/>
        </w:rPr>
        <w:t xml:space="preserve">EdgeConneX / Vapor IO / EdgeMicro (2015–2022).</w:t>
      </w:r>
      <w:r>
        <w:t xml:space="preserve"> </w:t>
      </w:r>
      <w:r>
        <w:t xml:space="preserve">Early edge datacenter companies deployed small facilities but relied on traditional human operations. They could not achieve unit economics below 1–2MW per site because staffing costs established a floor. Most pivoted toward larger sites (5MW+) or were acquired.</w:t>
      </w:r>
      <w:r>
        <w:t xml:space="preserve"> </w:t>
      </w:r>
      <w:r>
        <w:rPr>
          <w:i/>
          <w:iCs/>
        </w:rPr>
        <w:t xml:space="preserve">ANDD lesson: AI-native operations are not an optimization — they are a prerequisite.</w:t>
      </w:r>
    </w:p>
    <w:p>
      <w:pPr>
        <w:pStyle w:val="BodyText"/>
      </w:pPr>
      <w:r>
        <w:rPr>
          <w:b/>
          <w:bCs/>
        </w:rPr>
        <w:t xml:space="preserve">Decentralized compute networks (pre-DePIN).</w:t>
      </w:r>
      <w:r>
        <w:t xml:space="preserve"> </w:t>
      </w:r>
      <w:r>
        <w:t xml:space="preserve">Projects like BOINC, Folding@home, and SETI@home demonstrated that distributed compute could work technically, but lacked economic incentives for sustained participation and could not guarantee availability.</w:t>
      </w:r>
      <w:r>
        <w:t xml:space="preserve"> </w:t>
      </w:r>
      <w:r>
        <w:rPr>
          <w:i/>
          <w:iCs/>
        </w:rPr>
        <w:t xml:space="preserve">ANDD lesson: Token-based incentives (DePIN model) solve the economic motivation problem, but enterprise-grade hardware solves the reliability problem. Both are needed.</w:t>
      </w:r>
    </w:p>
    <w:p>
      <w:pPr>
        <w:pStyle w:val="BodyText"/>
      </w:pPr>
      <w:r>
        <w:rPr>
          <w:b/>
          <w:bCs/>
        </w:rPr>
        <w:t xml:space="preserve">Micro-datacenter attempts (shipping container, tower-based).</w:t>
      </w:r>
      <w:r>
        <w:t xml:space="preserve"> </w:t>
      </w:r>
      <w:r>
        <w:t xml:space="preserve">Various vendors offered containerized or tower-based micro-datacenters but suffered from non-standard form factors, limited vendor support, difficulty obtaining local permits, and no network effects between sites. Each site was an island.</w:t>
      </w:r>
      <w:r>
        <w:t xml:space="preserve"> </w:t>
      </w:r>
      <w:r>
        <w:rPr>
          <w:i/>
          <w:iCs/>
        </w:rPr>
        <w:t xml:space="preserve">ANDD lesson: Standardized modular design with a software-defined mesh network creates network effects that isolated sites cannot achieve. The value of each node increases as the network grows.</w:t>
      </w:r>
    </w:p>
    <w:p>
      <w:pPr>
        <w:pStyle w:val="BodyText"/>
      </w:pPr>
      <w:r>
        <w:rPr>
          <w:b/>
          <w:bCs/>
        </w:rPr>
        <w:t xml:space="preserve">Telco edge (MEC/Multi-access Edge Computing).</w:t>
      </w:r>
      <w:r>
        <w:t xml:space="preserve"> </w:t>
      </w:r>
      <w:r>
        <w:t xml:space="preserve">Carriers like AT&amp;T, Verizon, and Deutsche Telekom announced edge computing strategies tied to 5G rollouts. Most have underdelivered due to slow 5G deployment, carrier reluctance to open infrastructure to third parties, and the difficulty of operating distributed compute within organizations optimized for network, not data center, operations.</w:t>
      </w:r>
      <w:r>
        <w:t xml:space="preserve"> </w:t>
      </w:r>
      <w:r>
        <w:rPr>
          <w:i/>
          <w:iCs/>
        </w:rPr>
        <w:t xml:space="preserve">ANDD lesson: Edge compute must be carrier-neutral and open to all customers. Tying edge to a single carrier’s footprint limits market size and creates vendor lock-in that enterprises reject.</w:t>
      </w:r>
    </w:p>
    <w:p>
      <w:pPr>
        <w:pStyle w:val="BodyText"/>
      </w:pPr>
      <w:r>
        <w:t xml:space="preserve">Each of these failure modes maps to a specific ANDD architectural decision: AI-native operations (solves the cost problem), enterprise-grade standardized hardware (solves reliability), mesh fabric with open peering (solves network effects and carrier neutrality), and DePIN-compatible tokenomics (solves incentive alignment).</w:t>
      </w:r>
    </w:p>
    <w:p>
      <w:r>
        <w:pict>
          <v:rect style="width:0;height:1.5pt" o:hralign="center" o:hrstd="t" o:hr="t"/>
        </w:pict>
      </w:r>
    </w:p>
    <w:bookmarkEnd w:id="25"/>
    <w:bookmarkEnd w:id="26"/>
    <w:bookmarkStart w:id="37" w:name="andd-architecture-overview"/>
    <w:p>
      <w:pPr>
        <w:pStyle w:val="Heading2"/>
      </w:pPr>
      <w:r>
        <w:t xml:space="preserve">3. ANDD Architecture Overview</w:t>
      </w:r>
    </w:p>
    <w:bookmarkStart w:id="27" w:name="design-principles"/>
    <w:p>
      <w:pPr>
        <w:pStyle w:val="Heading3"/>
      </w:pPr>
      <w:r>
        <w:t xml:space="preserve">3.1 Design Principles</w:t>
      </w:r>
    </w:p>
    <w:p>
      <w:pPr>
        <w:pStyle w:val="FirstParagraph"/>
      </w:pPr>
      <w:r>
        <w:t xml:space="preserve">The ANDD architecture is governed by five principles that flow directly from the problems identified in Section 2:</w:t>
      </w:r>
    </w:p>
    <w:p>
      <w:pPr>
        <w:pStyle w:val="BodyText"/>
      </w:pPr>
      <w:r>
        <w:rPr>
          <w:b/>
          <w:bCs/>
        </w:rPr>
        <w:t xml:space="preserve">Principle 1: No single point of failure at any layer.</w:t>
      </w:r>
      <w:r>
        <w:t xml:space="preserve"> </w:t>
      </w:r>
      <w:r>
        <w:t xml:space="preserve">Every component — power, cooling, network, compute, storage, and management — is designed with redundancy such that the failure of any single element does not cause service interruption. At the network level, the mesh topology ensures that the loss of any node, link, or regional hub does not partition the network or leave any site unreachable.</w:t>
      </w:r>
    </w:p>
    <w:p>
      <w:pPr>
        <w:pStyle w:val="BodyText"/>
      </w:pPr>
      <w:r>
        <w:rPr>
          <w:b/>
          <w:bCs/>
        </w:rPr>
        <w:t xml:space="preserve">Principle 2: Horizontal scalability from day one.</w:t>
      </w:r>
      <w:r>
        <w:t xml:space="preserve"> </w:t>
      </w:r>
      <w:r>
        <w:t xml:space="preserve">The architecture scales by adding nodes, not by making existing nodes larger. Every protocol, data structure, and management system is designed for a network that starts at 5 nodes and scales to 5,000 without architectural changes. The AI control plane uses distributed consensus, not a centralized database. Storage uses erasure coding across the mesh, not RAID within a single site. Workload scheduling is global, not site-local.</w:t>
      </w:r>
    </w:p>
    <w:p>
      <w:pPr>
        <w:pStyle w:val="BodyText"/>
      </w:pPr>
      <w:r>
        <w:rPr>
          <w:b/>
          <w:bCs/>
        </w:rPr>
        <w:t xml:space="preserve">Principle 3: Location-aware intelligence.</w:t>
      </w:r>
      <w:r>
        <w:t xml:space="preserve"> </w:t>
      </w:r>
      <w:r>
        <w:t xml:space="preserve">The AI control plane continuously reasons about geography: which workloads need to be close to which users, which data must remain within which jurisdictions, which nodes are experiencing which environmental conditions (grid stress, thermal limits, connectivity degradation), and how to dynamically rebalance across the mesh. This is not static configuration — it is real-time optimization.</w:t>
      </w:r>
    </w:p>
    <w:p>
      <w:pPr>
        <w:pStyle w:val="BodyText"/>
      </w:pPr>
      <w:r>
        <w:rPr>
          <w:b/>
          <w:bCs/>
        </w:rPr>
        <w:t xml:space="preserve">Principle 4: Defense-in-depth security.</w:t>
      </w:r>
      <w:r>
        <w:t xml:space="preserve"> </w:t>
      </w:r>
      <w:r>
        <w:t xml:space="preserve">Security is not a feature added to the architecture — it is the architecture. Zero-trust networking (mTLS everywhere), hardware root of trust (TPM 2.0, measured boot), confidential computing (SEV-SNP/TDX), and physical security (biometric access, tamper-evident enclosures) provide overlapping layers that assume any single layer can be breached.</w:t>
      </w:r>
    </w:p>
    <w:p>
      <w:pPr>
        <w:pStyle w:val="BodyText"/>
      </w:pPr>
      <w:r>
        <w:rPr>
          <w:b/>
          <w:bCs/>
        </w:rPr>
        <w:t xml:space="preserve">Principle 5: AI-first operations.</w:t>
      </w:r>
      <w:r>
        <w:t xml:space="preserve"> </w:t>
      </w:r>
      <w:r>
        <w:t xml:space="preserve">Every operational process — from customer onboarding through decommissioning — is designed to be executed by AI agents as the primary operator, with human escalation as the exception path. This is not automation of existing human workflows; it is a ground-up design where the AI agent is the expected actor and the human is the fallback.</w:t>
      </w:r>
    </w:p>
    <w:bookmarkEnd w:id="27"/>
    <w:bookmarkStart w:id="31" w:name="network-topology"/>
    <w:p>
      <w:pPr>
        <w:pStyle w:val="Heading3"/>
      </w:pPr>
      <w:r>
        <w:t xml:space="preserve">3.2 Network Topology</w:t>
      </w:r>
    </w:p>
    <w:p>
      <w:pPr>
        <w:pStyle w:val="FirstParagraph"/>
      </w:pPr>
      <w:r>
        <w:t xml:space="preserve">The ANDD network is organized as a three-tier mesh fabric:</w:t>
      </w:r>
    </w:p>
    <w:p>
      <w:pPr>
        <w:pStyle w:val="BodyText"/>
      </w:pPr>
      <w:r>
        <w:rPr>
          <w:b/>
          <w:bCs/>
        </w:rPr>
        <w:t xml:space="preserve">Diagram 1: ANDD Three-Tier Network Topology</w:t>
      </w:r>
    </w:p>
    <w:tbl>
      <w:tblPr>
        <w:tblStyle w:val="Table"/>
        <w:tblW w:type="pct" w:w="5000"/>
        <w:jc w:val="left"/>
        <w:tblLayout w:type="fixed"/>
        <w:tblLook w:firstRow="1" w:lastRow="0" w:firstColumn="0" w:lastColumn="0" w:noHBand="0" w:noVBand="0" w:val="0020"/>
      </w:tblPr>
      <w:tblGrid>
        <w:gridCol w:w="896"/>
        <w:gridCol w:w="1643"/>
        <w:gridCol w:w="1942"/>
        <w:gridCol w:w="1494"/>
        <w:gridCol w:w="1942"/>
      </w:tblGrid>
      <w:tr>
        <w:trPr>
          <w:tblHeader w:val="on"/>
        </w:trPr>
        <w:tc>
          <w:tcPr/>
          <w:p>
            <w:pPr>
              <w:pStyle w:val="Compact"/>
              <w:jc w:val="left"/>
            </w:pPr>
            <w:r>
              <w:t xml:space="preserve">Tier</w:t>
            </w:r>
          </w:p>
        </w:tc>
        <w:tc>
          <w:tcPr/>
          <w:p>
            <w:pPr>
              <w:pStyle w:val="Compact"/>
              <w:jc w:val="left"/>
            </w:pPr>
            <w:r>
              <w:t xml:space="preserve">Component</w:t>
            </w:r>
          </w:p>
        </w:tc>
        <w:tc>
          <w:tcPr/>
          <w:p>
            <w:pPr>
              <w:pStyle w:val="Compact"/>
              <w:jc w:val="left"/>
            </w:pPr>
            <w:r>
              <w:t xml:space="preserve">Power Class</w:t>
            </w:r>
          </w:p>
        </w:tc>
        <w:tc>
          <w:tcPr/>
          <w:p>
            <w:pPr>
              <w:pStyle w:val="Compact"/>
              <w:jc w:val="left"/>
            </w:pPr>
            <w:r>
              <w:t xml:space="preserve">Quantity</w:t>
            </w:r>
          </w:p>
        </w:tc>
        <w:tc>
          <w:tcPr/>
          <w:p>
            <w:pPr>
              <w:pStyle w:val="Compact"/>
              <w:jc w:val="left"/>
            </w:pPr>
            <w:r>
              <w:t xml:space="preserve">Connects To</w:t>
            </w:r>
          </w:p>
        </w:tc>
      </w:tr>
      <w:tr>
        <w:tc>
          <w:tcPr/>
          <w:p>
            <w:pPr>
              <w:pStyle w:val="Compact"/>
              <w:jc w:val="left"/>
            </w:pPr>
            <w:r>
              <w:rPr>
                <w:b/>
                <w:bCs/>
              </w:rPr>
              <w:t xml:space="preserve">Tier 3</w:t>
            </w:r>
          </w:p>
        </w:tc>
        <w:tc>
          <w:tcPr/>
          <w:p>
            <w:pPr>
              <w:pStyle w:val="Compact"/>
              <w:jc w:val="left"/>
            </w:pPr>
            <w:r>
              <w:t xml:space="preserve">AI Control Plane</w:t>
            </w:r>
          </w:p>
        </w:tc>
        <w:tc>
          <w:tcPr/>
          <w:p>
            <w:pPr>
              <w:pStyle w:val="Compact"/>
              <w:jc w:val="left"/>
            </w:pPr>
            <w:r>
              <w:t xml:space="preserve">Distributed</w:t>
            </w:r>
          </w:p>
        </w:tc>
        <w:tc>
          <w:tcPr/>
          <w:p>
            <w:pPr>
              <w:pStyle w:val="Compact"/>
              <w:jc w:val="left"/>
            </w:pPr>
            <w:r>
              <w:t xml:space="preserve">1 (logical)</w:t>
            </w:r>
          </w:p>
        </w:tc>
        <w:tc>
          <w:tcPr/>
          <w:p>
            <w:pPr>
              <w:pStyle w:val="Compact"/>
              <w:jc w:val="left"/>
            </w:pPr>
            <w:r>
              <w:t xml:space="preserve">All Regional Hubs (consensus)</w:t>
            </w:r>
          </w:p>
        </w:tc>
      </w:tr>
      <w:tr>
        <w:tc>
          <w:tcPr/>
          <w:p>
            <w:pPr>
              <w:pStyle w:val="Compact"/>
              <w:jc w:val="left"/>
            </w:pPr>
            <w:r>
              <w:rPr>
                <w:b/>
                <w:bCs/>
              </w:rPr>
              <w:t xml:space="preserve">Tier 2</w:t>
            </w:r>
          </w:p>
        </w:tc>
        <w:tc>
          <w:tcPr/>
          <w:p>
            <w:pPr>
              <w:pStyle w:val="Compact"/>
              <w:jc w:val="left"/>
            </w:pPr>
            <w:r>
              <w:t xml:space="preserve">Regional Hub A</w:t>
            </w:r>
          </w:p>
        </w:tc>
        <w:tc>
          <w:tcPr/>
          <w:p>
            <w:pPr>
              <w:pStyle w:val="Compact"/>
              <w:jc w:val="left"/>
            </w:pPr>
            <w:r>
              <w:t xml:space="preserve">1–2MW</w:t>
            </w:r>
          </w:p>
        </w:tc>
        <w:tc>
          <w:tcPr/>
          <w:p>
            <w:pPr>
              <w:pStyle w:val="Compact"/>
              <w:jc w:val="left"/>
            </w:pPr>
            <w:r>
              <w:t xml:space="preserve">3+ hubs</w:t>
            </w:r>
          </w:p>
        </w:tc>
        <w:tc>
          <w:tcPr/>
          <w:p>
            <w:pPr>
              <w:pStyle w:val="Compact"/>
              <w:jc w:val="left"/>
            </w:pPr>
            <w:r>
              <w:t xml:space="preserve">AI Control Plane + 5–15 Edge Nodes + Peering/Transit Exchanges</w:t>
            </w:r>
          </w:p>
        </w:tc>
      </w:tr>
      <w:tr>
        <w:tc>
          <w:tcPr/>
          <w:p>
            <w:pPr>
              <w:pStyle w:val="Compact"/>
              <w:jc w:val="left"/>
            </w:pPr>
            <w:r>
              <w:rPr>
                <w:b/>
                <w:bCs/>
              </w:rPr>
              <w:t xml:space="preserve">Tier 2</w:t>
            </w:r>
          </w:p>
        </w:tc>
        <w:tc>
          <w:tcPr/>
          <w:p>
            <w:pPr>
              <w:pStyle w:val="Compact"/>
              <w:jc w:val="left"/>
            </w:pPr>
            <w:r>
              <w:t xml:space="preserve">Regional Hub B</w:t>
            </w:r>
          </w:p>
        </w:tc>
        <w:tc>
          <w:tcPr/>
          <w:p>
            <w:pPr>
              <w:pStyle w:val="Compact"/>
              <w:jc w:val="left"/>
            </w:pPr>
            <w:r>
              <w:t xml:space="preserve">1–2MW</w:t>
            </w:r>
          </w:p>
        </w:tc>
        <w:tc>
          <w:tcPr/>
          <w:p>
            <w:pPr>
              <w:pStyle w:val="Compact"/>
            </w:pPr>
          </w:p>
        </w:tc>
        <w:tc>
          <w:tcPr/>
          <w:p>
            <w:pPr>
              <w:pStyle w:val="Compact"/>
              <w:jc w:val="left"/>
            </w:pPr>
            <w:r>
              <w:t xml:space="preserve">AI Control Plane + 5–15 Edge Nodes + Peering/Transit Exchanges</w:t>
            </w:r>
          </w:p>
        </w:tc>
      </w:tr>
      <w:tr>
        <w:tc>
          <w:tcPr/>
          <w:p>
            <w:pPr>
              <w:pStyle w:val="Compact"/>
              <w:jc w:val="left"/>
            </w:pPr>
            <w:r>
              <w:rPr>
                <w:b/>
                <w:bCs/>
              </w:rPr>
              <w:t xml:space="preserve">Tier 2</w:t>
            </w:r>
          </w:p>
        </w:tc>
        <w:tc>
          <w:tcPr/>
          <w:p>
            <w:pPr>
              <w:pStyle w:val="Compact"/>
              <w:jc w:val="left"/>
            </w:pPr>
            <w:r>
              <w:t xml:space="preserve">Regional Hub C</w:t>
            </w:r>
          </w:p>
        </w:tc>
        <w:tc>
          <w:tcPr/>
          <w:p>
            <w:pPr>
              <w:pStyle w:val="Compact"/>
              <w:jc w:val="left"/>
            </w:pPr>
            <w:r>
              <w:t xml:space="preserve">1–2MW</w:t>
            </w:r>
          </w:p>
        </w:tc>
        <w:tc>
          <w:tcPr/>
          <w:p>
            <w:pPr>
              <w:pStyle w:val="Compact"/>
            </w:pPr>
          </w:p>
        </w:tc>
        <w:tc>
          <w:tcPr/>
          <w:p>
            <w:pPr>
              <w:pStyle w:val="Compact"/>
              <w:jc w:val="left"/>
            </w:pPr>
            <w:r>
              <w:t xml:space="preserve">AI Control Plane + 5–15 Edge Nodes + Peering/Transit Exchanges</w:t>
            </w:r>
          </w:p>
        </w:tc>
      </w:tr>
      <w:tr>
        <w:tc>
          <w:tcPr/>
          <w:p>
            <w:pPr>
              <w:pStyle w:val="Compact"/>
              <w:jc w:val="left"/>
            </w:pPr>
            <w:r>
              <w:rPr>
                <w:b/>
                <w:bCs/>
              </w:rPr>
              <w:t xml:space="preserve">Tier 1</w:t>
            </w:r>
          </w:p>
        </w:tc>
        <w:tc>
          <w:tcPr/>
          <w:p>
            <w:pPr>
              <w:pStyle w:val="Compact"/>
              <w:jc w:val="left"/>
            </w:pPr>
            <w:r>
              <w:t xml:space="preserve">Edge Node 1</w:t>
            </w:r>
          </w:p>
        </w:tc>
        <w:tc>
          <w:tcPr/>
          <w:p>
            <w:pPr>
              <w:pStyle w:val="Compact"/>
              <w:jc w:val="left"/>
            </w:pPr>
            <w:r>
              <w:t xml:space="preserve">200kW–500kW</w:t>
            </w:r>
          </w:p>
        </w:tc>
        <w:tc>
          <w:tcPr/>
          <w:p>
            <w:pPr>
              <w:pStyle w:val="Compact"/>
              <w:jc w:val="left"/>
            </w:pPr>
            <w:r>
              <w:t xml:space="preserve">100s–1000s</w:t>
            </w:r>
          </w:p>
        </w:tc>
        <w:tc>
          <w:tcPr/>
          <w:p>
            <w:pPr>
              <w:pStyle w:val="Compact"/>
              <w:jc w:val="left"/>
            </w:pPr>
            <w:r>
              <w:t xml:space="preserve">Regional Hub (primary) + Adjacent Edge Nodes (mesh) + 2nd Regional Hub (redundant)</w:t>
            </w:r>
          </w:p>
        </w:tc>
      </w:tr>
      <w:tr>
        <w:tc>
          <w:tcPr/>
          <w:p>
            <w:pPr>
              <w:pStyle w:val="Compact"/>
              <w:jc w:val="left"/>
            </w:pPr>
            <w:r>
              <w:rPr>
                <w:b/>
                <w:bCs/>
              </w:rPr>
              <w:t xml:space="preserve">Tier 1</w:t>
            </w:r>
          </w:p>
        </w:tc>
        <w:tc>
          <w:tcPr/>
          <w:p>
            <w:pPr>
              <w:pStyle w:val="Compact"/>
              <w:jc w:val="left"/>
            </w:pPr>
            <w:r>
              <w:t xml:space="preserve">Edge Node 2</w:t>
            </w:r>
          </w:p>
        </w:tc>
        <w:tc>
          <w:tcPr/>
          <w:p>
            <w:pPr>
              <w:pStyle w:val="Compact"/>
              <w:jc w:val="left"/>
            </w:pPr>
            <w:r>
              <w:t xml:space="preserve">200kW–500kW</w:t>
            </w:r>
          </w:p>
        </w:tc>
        <w:tc>
          <w:tcPr/>
          <w:p>
            <w:pPr>
              <w:pStyle w:val="Compact"/>
            </w:pPr>
          </w:p>
        </w:tc>
        <w:tc>
          <w:tcPr/>
          <w:p>
            <w:pPr>
              <w:pStyle w:val="Compact"/>
              <w:jc w:val="left"/>
            </w:pPr>
            <w:r>
              <w:t xml:space="preserve">Regional Hub (primary) + Adjacent Edge Nodes (mesh) + 2nd Regional Hub (redundant)</w:t>
            </w:r>
          </w:p>
        </w:tc>
      </w:tr>
      <w:tr>
        <w:tc>
          <w:tcPr/>
          <w:p>
            <w:pPr>
              <w:pStyle w:val="Compact"/>
              <w:jc w:val="left"/>
            </w:pPr>
            <w:r>
              <w:rPr>
                <w:b/>
                <w:bCs/>
              </w:rPr>
              <w:t xml:space="preserve">Tier 1</w:t>
            </w:r>
          </w:p>
        </w:tc>
        <w:tc>
          <w:tcPr/>
          <w:p>
            <w:pPr>
              <w:pStyle w:val="Compact"/>
              <w:jc w:val="left"/>
            </w:pPr>
            <w:r>
              <w:t xml:space="preserve">Edge Node 3</w:t>
            </w:r>
          </w:p>
        </w:tc>
        <w:tc>
          <w:tcPr/>
          <w:p>
            <w:pPr>
              <w:pStyle w:val="Compact"/>
              <w:jc w:val="left"/>
            </w:pPr>
            <w:r>
              <w:t xml:space="preserve">200kW–500kW</w:t>
            </w:r>
          </w:p>
        </w:tc>
        <w:tc>
          <w:tcPr/>
          <w:p>
            <w:pPr>
              <w:pStyle w:val="Compact"/>
            </w:pPr>
          </w:p>
        </w:tc>
        <w:tc>
          <w:tcPr/>
          <w:p>
            <w:pPr>
              <w:pStyle w:val="Compact"/>
              <w:jc w:val="left"/>
            </w:pPr>
            <w:r>
              <w:t xml:space="preserve">Regional Hub (primary) + Adjacent Edge Nodes (mesh) + 2nd Regional Hub (redundant)</w:t>
            </w:r>
          </w:p>
        </w:tc>
      </w:tr>
    </w:tbl>
    <w:p>
      <w:pPr>
        <w:pStyle w:val="BodyText"/>
      </w:pPr>
      <w:r>
        <w:rPr>
          <w:i/>
          <w:iCs/>
        </w:rPr>
        <w:t xml:space="preserve">Each edge node peers with adjacent nodes and connects to at least 2 regional hubs. Each regional hub connects to the distributed AI Control Plane via Byzantine fault-tolerant consensus.</w:t>
      </w:r>
    </w:p>
    <w:bookmarkStart w:id="28" w:name="tier-1-edge-nodes-200kw500kw"/>
    <w:p>
      <w:pPr>
        <w:pStyle w:val="Heading4"/>
      </w:pPr>
      <w:r>
        <w:t xml:space="preserve">Tier 1 — Edge Nodes (200kW–500kW)</w:t>
      </w:r>
    </w:p>
    <w:p>
      <w:pPr>
        <w:pStyle w:val="FirstParagraph"/>
      </w:pPr>
      <w:r>
        <w:t xml:space="preserve">The atomic unit of the ANDD network. Each edge node is a modular, prefabricated facility deployable in 60–90 days, containing a configurable mix of compute, storage, connectivity, and AI accelerator hardware tailored to local demand.</w:t>
      </w:r>
    </w:p>
    <w:p>
      <w:pPr>
        <w:pStyle w:val="BodyText"/>
      </w:pPr>
      <w:r>
        <w:rPr>
          <w:b/>
          <w:bCs/>
        </w:rPr>
        <w:t xml:space="preserve">Physical specifications: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200kW Node</w:t>
            </w:r>
          </w:p>
        </w:tc>
        <w:tc>
          <w:tcPr/>
          <w:p>
            <w:pPr>
              <w:pStyle w:val="Compact"/>
              <w:jc w:val="left"/>
            </w:pPr>
            <w:r>
              <w:t xml:space="preserve">500kW Node</w:t>
            </w:r>
          </w:p>
        </w:tc>
      </w:tr>
      <w:tr>
        <w:tc>
          <w:tcPr/>
          <w:p>
            <w:pPr>
              <w:pStyle w:val="Compact"/>
              <w:jc w:val="left"/>
            </w:pPr>
            <w:r>
              <w:t xml:space="preserve">Footprint</w:t>
            </w:r>
          </w:p>
        </w:tc>
        <w:tc>
          <w:tcPr/>
          <w:p>
            <w:pPr>
              <w:pStyle w:val="Compact"/>
              <w:jc w:val="left"/>
            </w:pPr>
            <w:r>
              <w:t xml:space="preserve">400–600 sq ft</w:t>
            </w:r>
          </w:p>
        </w:tc>
        <w:tc>
          <w:tcPr/>
          <w:p>
            <w:pPr>
              <w:pStyle w:val="Compact"/>
              <w:jc w:val="left"/>
            </w:pPr>
            <w:r>
              <w:t xml:space="preserve">800–1,200 sq ft</w:t>
            </w:r>
          </w:p>
        </w:tc>
      </w:tr>
      <w:tr>
        <w:tc>
          <w:tcPr/>
          <w:p>
            <w:pPr>
              <w:pStyle w:val="Compact"/>
              <w:jc w:val="left"/>
            </w:pPr>
            <w:r>
              <w:t xml:space="preserve">Rack count</w:t>
            </w:r>
          </w:p>
        </w:tc>
        <w:tc>
          <w:tcPr/>
          <w:p>
            <w:pPr>
              <w:pStyle w:val="Compact"/>
              <w:jc w:val="left"/>
            </w:pPr>
            <w:r>
              <w:t xml:space="preserve">4–8 racks</w:t>
            </w:r>
          </w:p>
        </w:tc>
        <w:tc>
          <w:tcPr/>
          <w:p>
            <w:pPr>
              <w:pStyle w:val="Compact"/>
              <w:jc w:val="left"/>
            </w:pPr>
            <w:r>
              <w:t xml:space="preserve">10–20 racks</w:t>
            </w:r>
          </w:p>
        </w:tc>
      </w:tr>
      <w:tr>
        <w:tc>
          <w:tcPr/>
          <w:p>
            <w:pPr>
              <w:pStyle w:val="Compact"/>
              <w:jc w:val="left"/>
            </w:pPr>
            <w:r>
              <w:t xml:space="preserve">IT load capacity</w:t>
            </w:r>
          </w:p>
        </w:tc>
        <w:tc>
          <w:tcPr/>
          <w:p>
            <w:pPr>
              <w:pStyle w:val="Compact"/>
              <w:jc w:val="left"/>
            </w:pPr>
            <w:r>
              <w:t xml:space="preserve">150kW</w:t>
            </w:r>
          </w:p>
        </w:tc>
        <w:tc>
          <w:tcPr/>
          <w:p>
            <w:pPr>
              <w:pStyle w:val="Compact"/>
              <w:jc w:val="left"/>
            </w:pPr>
            <w:r>
              <w:t xml:space="preserve">380kW</w:t>
            </w:r>
          </w:p>
        </w:tc>
      </w:tr>
      <w:tr>
        <w:tc>
          <w:tcPr/>
          <w:p>
            <w:pPr>
              <w:pStyle w:val="Compact"/>
              <w:jc w:val="left"/>
            </w:pPr>
            <w:r>
              <w:t xml:space="preserve">Weight (loaded)</w:t>
            </w:r>
          </w:p>
        </w:tc>
        <w:tc>
          <w:tcPr/>
          <w:p>
            <w:pPr>
              <w:pStyle w:val="Compact"/>
              <w:jc w:val="left"/>
            </w:pPr>
            <w:r>
              <w:t xml:space="preserve">15,000–25,000 lbs</w:t>
            </w:r>
          </w:p>
        </w:tc>
        <w:tc>
          <w:tcPr/>
          <w:p>
            <w:pPr>
              <w:pStyle w:val="Compact"/>
              <w:jc w:val="left"/>
            </w:pPr>
            <w:r>
              <w:t xml:space="preserve">30,000–50,000 lbs</w:t>
            </w:r>
          </w:p>
        </w:tc>
      </w:tr>
      <w:tr>
        <w:tc>
          <w:tcPr/>
          <w:p>
            <w:pPr>
              <w:pStyle w:val="Compact"/>
              <w:jc w:val="left"/>
            </w:pPr>
            <w:r>
              <w:t xml:space="preserve">Form factor</w:t>
            </w:r>
          </w:p>
        </w:tc>
        <w:tc>
          <w:tcPr/>
          <w:p>
            <w:pPr>
              <w:pStyle w:val="Compact"/>
              <w:jc w:val="left"/>
            </w:pPr>
            <w:r>
              <w:t xml:space="preserve">Single modular enclosure or converted commercial space</w:t>
            </w:r>
          </w:p>
        </w:tc>
        <w:tc>
          <w:tcPr/>
          <w:p>
            <w:pPr>
              <w:pStyle w:val="Compact"/>
              <w:jc w:val="left"/>
            </w:pPr>
            <w:r>
              <w:t xml:space="preserve">Multi-module enclosure or small warehouse buildout</w:t>
            </w:r>
          </w:p>
        </w:tc>
      </w:tr>
      <w:tr>
        <w:tc>
          <w:tcPr/>
          <w:p>
            <w:pPr>
              <w:pStyle w:val="Compact"/>
              <w:jc w:val="left"/>
            </w:pPr>
            <w:r>
              <w:t xml:space="preserve">Deployment time</w:t>
            </w:r>
          </w:p>
        </w:tc>
        <w:tc>
          <w:tcPr/>
          <w:p>
            <w:pPr>
              <w:pStyle w:val="Compact"/>
              <w:jc w:val="left"/>
            </w:pPr>
            <w:r>
              <w:t xml:space="preserve">60–90 days (prefab), 90–120 days (buildout)</w:t>
            </w:r>
          </w:p>
        </w:tc>
        <w:tc>
          <w:tcPr/>
          <w:p>
            <w:pPr>
              <w:pStyle w:val="Compact"/>
              <w:jc w:val="left"/>
            </w:pPr>
            <w:r>
              <w:t xml:space="preserve">90–120 days (prefab), 120–180 days (buildout)</w:t>
            </w:r>
          </w:p>
        </w:tc>
      </w:tr>
      <w:tr>
        <w:tc>
          <w:tcPr/>
          <w:p>
            <w:pPr>
              <w:pStyle w:val="Compact"/>
              <w:jc w:val="left"/>
            </w:pPr>
            <w:r>
              <w:t xml:space="preserve">Power redundancy</w:t>
            </w:r>
          </w:p>
        </w:tc>
        <w:tc>
          <w:tcPr/>
          <w:p>
            <w:pPr>
              <w:pStyle w:val="Compact"/>
              <w:jc w:val="left"/>
            </w:pPr>
            <w:r>
              <w:t xml:space="preserve">N+1 UPS, dual utility feed where available</w:t>
            </w:r>
          </w:p>
        </w:tc>
        <w:tc>
          <w:tcPr/>
          <w:p>
            <w:pPr>
              <w:pStyle w:val="Compact"/>
              <w:jc w:val="left"/>
            </w:pPr>
            <w:r>
              <w:t xml:space="preserve">N+1 UPS, dual utility feed, optional generator/fuel cell</w:t>
            </w:r>
          </w:p>
        </w:tc>
      </w:tr>
      <w:tr>
        <w:tc>
          <w:tcPr/>
          <w:p>
            <w:pPr>
              <w:pStyle w:val="Compact"/>
              <w:jc w:val="left"/>
            </w:pPr>
            <w:r>
              <w:t xml:space="preserve">Cooling redundancy</w:t>
            </w:r>
          </w:p>
        </w:tc>
        <w:tc>
          <w:tcPr/>
          <w:p>
            <w:pPr>
              <w:pStyle w:val="Compact"/>
              <w:jc w:val="left"/>
            </w:pPr>
            <w:r>
              <w:t xml:space="preserve">N+1 DLC pumps, ambient air backup</w:t>
            </w:r>
          </w:p>
        </w:tc>
        <w:tc>
          <w:tcPr/>
          <w:p>
            <w:pPr>
              <w:pStyle w:val="Compact"/>
              <w:jc w:val="left"/>
            </w:pPr>
            <w:r>
              <w:t xml:space="preserve">N+1 DLC pumps + immersion cooling, ambient air backup</w:t>
            </w:r>
          </w:p>
        </w:tc>
      </w:tr>
      <w:tr>
        <w:tc>
          <w:tcPr/>
          <w:p>
            <w:pPr>
              <w:pStyle w:val="Compact"/>
              <w:jc w:val="left"/>
            </w:pPr>
            <w:r>
              <w:t xml:space="preserve">Network uplinks</w:t>
            </w:r>
          </w:p>
        </w:tc>
        <w:tc>
          <w:tcPr/>
          <w:p>
            <w:pPr>
              <w:pStyle w:val="Compact"/>
              <w:jc w:val="left"/>
            </w:pPr>
            <w:r>
              <w:t xml:space="preserve">2 (primary + redundant)</w:t>
            </w:r>
          </w:p>
        </w:tc>
        <w:tc>
          <w:tcPr/>
          <w:p>
            <w:pPr>
              <w:pStyle w:val="Compact"/>
              <w:jc w:val="left"/>
            </w:pPr>
            <w:r>
              <w:t xml:space="preserve">3+ (primary + redundant + mesh)</w:t>
            </w:r>
          </w:p>
        </w:tc>
      </w:tr>
    </w:tbl>
    <w:p>
      <w:pPr>
        <w:pStyle w:val="BodyText"/>
      </w:pPr>
      <w:r>
        <w:t xml:space="preserve">Edge nodes are deployed in Opportunity Zones, typically co-located with existing fiber or wireless backhaul infrastructure. Site selection is driven by the AI control plane’s demand model, which scores candidate locations based on: (1) population density within 50km, (2) proximity to existing fiber routes, (3) local power availability and cost, (4) distance to nearest existing ANDD node (for mesh formation), (5) Opportunity Zone designation, and (6) identified demand from pre-committed customers or DePIN projects.</w:t>
      </w:r>
    </w:p>
    <w:p>
      <w:pPr>
        <w:pStyle w:val="BodyText"/>
      </w:pPr>
      <w:r>
        <w:t xml:space="preserve">Each edge node runs a local instance of the AI management layer capable of autonomous operation if connectivity to the regional hub is temporarily lost. This</w:t>
      </w:r>
      <w:r>
        <w:t xml:space="preserve"> </w:t>
      </w:r>
      <w:r>
        <w:t xml:space="preserve">“</w:t>
      </w:r>
      <w:r>
        <w:t xml:space="preserve">survive in place</w:t>
      </w:r>
      <w:r>
        <w:t xml:space="preserve">”</w:t>
      </w:r>
      <w:r>
        <w:t xml:space="preserve"> </w:t>
      </w:r>
      <w:r>
        <w:t xml:space="preserve">capability ensures that local workloads — particularly emergency services, utility SCADA, and payment processing — continue functioning during network disruptions.</w:t>
      </w:r>
    </w:p>
    <w:bookmarkEnd w:id="28"/>
    <w:bookmarkStart w:id="29" w:name="tier-2-regional-hubs-12mw"/>
    <w:p>
      <w:pPr>
        <w:pStyle w:val="Heading4"/>
      </w:pPr>
      <w:r>
        <w:t xml:space="preserve">Tier 2 — Regional Hubs (1–2MW)</w:t>
      </w:r>
    </w:p>
    <w:p>
      <w:pPr>
        <w:pStyle w:val="FirstParagraph"/>
      </w:pPr>
      <w:r>
        <w:t xml:space="preserve">Aggregation points that provide higher-density compute, regional storage caching, peering interconnection, and backhaul concentration. Each regional hub serves 5–15 edge nodes and is placed at fiber intersections, carrier hotels, or existing network exchange points.</w:t>
      </w:r>
    </w:p>
    <w:p>
      <w:pPr>
        <w:pStyle w:val="BodyText"/>
      </w:pPr>
      <w:r>
        <w:rPr>
          <w:b/>
          <w:bCs/>
        </w:rPr>
        <w:t xml:space="preserve">Regional hubs provide capabilities that edge nodes cannot:</w:t>
      </w:r>
    </w:p>
    <w:p>
      <w:pPr>
        <w:pStyle w:val="Compact"/>
        <w:numPr>
          <w:ilvl w:val="0"/>
          <w:numId w:val="1002"/>
        </w:numPr>
      </w:pPr>
      <w:r>
        <w:rPr>
          <w:b/>
          <w:bCs/>
        </w:rPr>
        <w:t xml:space="preserve">Training-class GPU infrastructure.</w:t>
      </w:r>
      <w:r>
        <w:t xml:space="preserve"> </w:t>
      </w:r>
      <w:r>
        <w:t xml:space="preserve">Hubs deploy NVIDIA H100/H200/B200/GB200 GPUs with NVLink interconnect, enabling distributed training and large-model fine-tuning that requires tightly coupled, high-bandwidth GPU-to-GPU communication. Edge nodes handle inference; hubs handle training and the heaviest inference workloads (70B+ parameter models).</w:t>
      </w:r>
    </w:p>
    <w:p>
      <w:pPr>
        <w:pStyle w:val="Compact"/>
        <w:numPr>
          <w:ilvl w:val="0"/>
          <w:numId w:val="1002"/>
        </w:numPr>
      </w:pPr>
      <w:r>
        <w:rPr>
          <w:b/>
          <w:bCs/>
        </w:rPr>
        <w:t xml:space="preserve">Dense peering interconnection.</w:t>
      </w:r>
      <w:r>
        <w:t xml:space="preserve"> </w:t>
      </w:r>
      <w:r>
        <w:t xml:space="preserve">Hubs maintain BGP peering sessions with Tier 1 transit providers (Lumen, Zayo, Crown Castle), regional ISPs, cloud on-ramps (AWS Direct Connect, Azure ExpressRoute, Google Cloud Interconnect), and CDN providers (Cloudflare, Akamai, Fastly). Edge nodes peer through their hub rather than maintaining independent transit contracts.</w:t>
      </w:r>
    </w:p>
    <w:p>
      <w:pPr>
        <w:pStyle w:val="Compact"/>
        <w:numPr>
          <w:ilvl w:val="0"/>
          <w:numId w:val="1002"/>
        </w:numPr>
      </w:pPr>
      <w:r>
        <w:rPr>
          <w:b/>
          <w:bCs/>
        </w:rPr>
        <w:t xml:space="preserve">Regional storage cache.</w:t>
      </w:r>
      <w:r>
        <w:t xml:space="preserve"> </w:t>
      </w:r>
      <w:r>
        <w:t xml:space="preserve">Frequently accessed data from across the node cluster is cached at the hub for low-latency retrieval. The hub also serves as the primary target for cross-region data replication — when data needs to be replicated outside the region, it flows hub-to-hub rather than edge-to-edge.</w:t>
      </w:r>
    </w:p>
    <w:p>
      <w:pPr>
        <w:pStyle w:val="Compact"/>
        <w:numPr>
          <w:ilvl w:val="0"/>
          <w:numId w:val="1002"/>
        </w:numPr>
      </w:pPr>
      <w:r>
        <w:rPr>
          <w:b/>
          <w:bCs/>
        </w:rPr>
        <w:t xml:space="preserve">AI control plane weight.</w:t>
      </w:r>
      <w:r>
        <w:t xml:space="preserve"> </w:t>
      </w:r>
      <w:r>
        <w:t xml:space="preserve">Hubs run the larger models that power the AI management layer — the foundation LLM for customer interaction, the capacity planning optimizer, and the network-wide workload scheduler. Edge nodes run lighter inference models for local decisions; hubs run the full reasoning stack.</w:t>
      </w:r>
    </w:p>
    <w:p>
      <w:pPr>
        <w:pStyle w:val="Compact"/>
        <w:numPr>
          <w:ilvl w:val="0"/>
          <w:numId w:val="1002"/>
        </w:numPr>
      </w:pPr>
      <w:r>
        <w:rPr>
          <w:b/>
          <w:bCs/>
        </w:rPr>
        <w:t xml:space="preserve">Compliance boundary.</w:t>
      </w:r>
      <w:r>
        <w:t xml:space="preserve"> </w:t>
      </w:r>
      <w:r>
        <w:t xml:space="preserve">For government and regulated-industry customers, hubs serve as the compliance perimeter — the point at which cross-domain solutions interface with classified networks, where FedRAMP audit trails are concentrated, and where physical access controls meet SCIF requirements.</w:t>
      </w:r>
    </w:p>
    <w:p>
      <w:pPr>
        <w:pStyle w:val="FirstParagraph"/>
      </w:pPr>
      <w:r>
        <w:rPr>
          <w:b/>
          <w:bCs/>
        </w:rPr>
        <w:t xml:space="preserve">Hub-to-hub interconnection</w:t>
      </w:r>
      <w:r>
        <w:t xml:space="preserve"> </w:t>
      </w:r>
      <w:r>
        <w:t xml:space="preserve">uses dedicated high-bandwidth links (100 Gbps+) separate from the hub-to-edge backhaul. This backbone carries cross-region workload migration traffic, distributed training data, and control plane consensus messages. Hub-to-hub latency targets &lt;10ms within a region and &lt;50ms coast-to-coast.</w:t>
      </w:r>
    </w:p>
    <w:bookmarkEnd w:id="29"/>
    <w:bookmarkStart w:id="30" w:name="tier-3-ai-control-plane-distributed"/>
    <w:p>
      <w:pPr>
        <w:pStyle w:val="Heading4"/>
      </w:pPr>
      <w:r>
        <w:t xml:space="preserve">Tier 3 — AI Control Plane (Distributed)</w:t>
      </w:r>
    </w:p>
    <w:p>
      <w:pPr>
        <w:pStyle w:val="FirstParagraph"/>
      </w:pPr>
      <w:r>
        <w:t xml:space="preserve">Not a centralized cloud but a distributed consensus system running across all regional hubs. The control plane is the nervous system of the ANDD network.</w:t>
      </w:r>
    </w:p>
    <w:p>
      <w:pPr>
        <w:pStyle w:val="BodyText"/>
      </w:pPr>
      <w:r>
        <w:rPr>
          <w:b/>
          <w:bCs/>
        </w:rPr>
        <w:t xml:space="preserve">Control plane responsibilities:</w:t>
      </w:r>
    </w:p>
    <w:tbl>
      <w:tblPr>
        <w:tblStyle w:val="Table"/>
        <w:tblW w:type="pct" w:w="5000"/>
        <w:jc w:val="left"/>
        <w:tblLayout w:type="fixed"/>
        <w:tblLook w:firstRow="1" w:lastRow="0" w:firstColumn="0" w:lastColumn="0" w:noHBand="0" w:noVBand="0" w:val="0020"/>
      </w:tblPr>
      <w:tblGrid>
        <w:gridCol w:w="1885"/>
        <w:gridCol w:w="2451"/>
        <w:gridCol w:w="3582"/>
      </w:tblGrid>
      <w:tr>
        <w:trPr>
          <w:tblHeader w:val="on"/>
        </w:trPr>
        <w:tc>
          <w:tcPr/>
          <w:p>
            <w:pPr>
              <w:pStyle w:val="Compact"/>
              <w:jc w:val="left"/>
            </w:pPr>
            <w:r>
              <w:t xml:space="preserve">Function</w:t>
            </w:r>
          </w:p>
        </w:tc>
        <w:tc>
          <w:tcPr/>
          <w:p>
            <w:pPr>
              <w:pStyle w:val="Compact"/>
              <w:jc w:val="left"/>
            </w:pPr>
            <w:r>
              <w:t xml:space="preserve">Description</w:t>
            </w:r>
          </w:p>
        </w:tc>
        <w:tc>
          <w:tcPr/>
          <w:p>
            <w:pPr>
              <w:pStyle w:val="Compact"/>
              <w:jc w:val="left"/>
            </w:pPr>
            <w:r>
              <w:t xml:space="preserve">Consensus Required?</w:t>
            </w:r>
          </w:p>
        </w:tc>
      </w:tr>
      <w:tr>
        <w:tc>
          <w:tcPr/>
          <w:p>
            <w:pPr>
              <w:pStyle w:val="Compact"/>
              <w:jc w:val="left"/>
            </w:pPr>
            <w:r>
              <w:t xml:space="preserve">Workload routing</w:t>
            </w:r>
          </w:p>
        </w:tc>
        <w:tc>
          <w:tcPr/>
          <w:p>
            <w:pPr>
              <w:pStyle w:val="Compact"/>
              <w:jc w:val="left"/>
            </w:pPr>
            <w:r>
              <w:t xml:space="preserve">Determine optimal node for each workload based on latency, capacity, cost, data residency</w:t>
            </w:r>
          </w:p>
        </w:tc>
        <w:tc>
          <w:tcPr/>
          <w:p>
            <w:pPr>
              <w:pStyle w:val="Compact"/>
              <w:jc w:val="left"/>
            </w:pPr>
            <w:r>
              <w:t xml:space="preserve">No — local decisions with global optimization hints</w:t>
            </w:r>
          </w:p>
        </w:tc>
      </w:tr>
      <w:tr>
        <w:tc>
          <w:tcPr/>
          <w:p>
            <w:pPr>
              <w:pStyle w:val="Compact"/>
              <w:jc w:val="left"/>
            </w:pPr>
            <w:r>
              <w:t xml:space="preserve">Capacity planning</w:t>
            </w:r>
          </w:p>
        </w:tc>
        <w:tc>
          <w:tcPr/>
          <w:p>
            <w:pPr>
              <w:pStyle w:val="Compact"/>
              <w:jc w:val="left"/>
            </w:pPr>
            <w:r>
              <w:t xml:space="preserve">Model demand curves, recommend node deployments, trigger hardware procurement</w:t>
            </w:r>
          </w:p>
        </w:tc>
        <w:tc>
          <w:tcPr/>
          <w:p>
            <w:pPr>
              <w:pStyle w:val="Compact"/>
              <w:jc w:val="left"/>
            </w:pPr>
            <w:r>
              <w:t xml:space="preserve">Yes — network-wide state must be consistent</w:t>
            </w:r>
          </w:p>
        </w:tc>
      </w:tr>
      <w:tr>
        <w:tc>
          <w:tcPr/>
          <w:p>
            <w:pPr>
              <w:pStyle w:val="Compact"/>
              <w:jc w:val="left"/>
            </w:pPr>
            <w:r>
              <w:t xml:space="preserve">Billing reconciliation</w:t>
            </w:r>
          </w:p>
        </w:tc>
        <w:tc>
          <w:tcPr/>
          <w:p>
            <w:pPr>
              <w:pStyle w:val="Compact"/>
              <w:jc w:val="left"/>
            </w:pPr>
            <w:r>
              <w:t xml:space="preserve">Aggregate metering data from all nodes, settle cross-node resource usage</w:t>
            </w:r>
          </w:p>
        </w:tc>
        <w:tc>
          <w:tcPr/>
          <w:p>
            <w:pPr>
              <w:pStyle w:val="Compact"/>
              <w:jc w:val="left"/>
            </w:pPr>
            <w:r>
              <w:t xml:space="preserve">Yes — financial data requires strong consistency</w:t>
            </w:r>
          </w:p>
        </w:tc>
      </w:tr>
      <w:tr>
        <w:tc>
          <w:tcPr/>
          <w:p>
            <w:pPr>
              <w:pStyle w:val="Compact"/>
              <w:jc w:val="left"/>
            </w:pPr>
            <w:r>
              <w:t xml:space="preserve">Model updates</w:t>
            </w:r>
          </w:p>
        </w:tc>
        <w:tc>
          <w:tcPr/>
          <w:p>
            <w:pPr>
              <w:pStyle w:val="Compact"/>
              <w:jc w:val="left"/>
            </w:pPr>
            <w:r>
              <w:t xml:space="preserve">Distribute AI management layer model updates across all nodes</w:t>
            </w:r>
          </w:p>
        </w:tc>
        <w:tc>
          <w:tcPr/>
          <w:p>
            <w:pPr>
              <w:pStyle w:val="Compact"/>
              <w:jc w:val="left"/>
            </w:pPr>
            <w:r>
              <w:t xml:space="preserve">Yes — staged rollout requires coordinated versioning</w:t>
            </w:r>
          </w:p>
        </w:tc>
      </w:tr>
      <w:tr>
        <w:tc>
          <w:tcPr/>
          <w:p>
            <w:pPr>
              <w:pStyle w:val="Compact"/>
              <w:jc w:val="left"/>
            </w:pPr>
            <w:r>
              <w:t xml:space="preserve">Network configuration</w:t>
            </w:r>
          </w:p>
        </w:tc>
        <w:tc>
          <w:tcPr/>
          <w:p>
            <w:pPr>
              <w:pStyle w:val="Compact"/>
              <w:jc w:val="left"/>
            </w:pPr>
            <w:r>
              <w:t xml:space="preserve">Manage BGP announcements, DNS records, firewall rules across the mesh</w:t>
            </w:r>
          </w:p>
        </w:tc>
        <w:tc>
          <w:tcPr/>
          <w:p>
            <w:pPr>
              <w:pStyle w:val="Compact"/>
              <w:jc w:val="left"/>
            </w:pPr>
            <w:r>
              <w:t xml:space="preserve">Yes — routing consistency is safety-critical</w:t>
            </w:r>
          </w:p>
        </w:tc>
      </w:tr>
      <w:tr>
        <w:tc>
          <w:tcPr/>
          <w:p>
            <w:pPr>
              <w:pStyle w:val="Compact"/>
              <w:jc w:val="left"/>
            </w:pPr>
            <w:r>
              <w:t xml:space="preserve">Incident coordination</w:t>
            </w:r>
          </w:p>
        </w:tc>
        <w:tc>
          <w:tcPr/>
          <w:p>
            <w:pPr>
              <w:pStyle w:val="Compact"/>
              <w:jc w:val="left"/>
            </w:pPr>
            <w:r>
              <w:t xml:space="preserve">Coordinate multi-node response to outages, attacks, or capacity emergencies</w:t>
            </w:r>
          </w:p>
        </w:tc>
        <w:tc>
          <w:tcPr/>
          <w:p>
            <w:pPr>
              <w:pStyle w:val="Compact"/>
              <w:jc w:val="left"/>
            </w:pPr>
            <w:r>
              <w:t xml:space="preserve">No — federated response with local autonomy</w:t>
            </w:r>
          </w:p>
        </w:tc>
      </w:tr>
    </w:tbl>
    <w:p>
      <w:pPr>
        <w:pStyle w:val="BodyText"/>
      </w:pPr>
      <w:r>
        <w:rPr>
          <w:b/>
          <w:bCs/>
        </w:rPr>
        <w:t xml:space="preserve">Consensus mechanism.</w:t>
      </w:r>
      <w:r>
        <w:t xml:space="preserve"> </w:t>
      </w:r>
      <w:r>
        <w:t xml:space="preserve">The control plane uses a Byzantine fault-tolerant (BFT) consensus protocol (based on HotStuff/DiemBFT lineage) across regional hubs. This ensures that the network continues to function correctly even if up to one-third of hubs are compromised or offline. The consensus protocol is used only for the functions that require strong consistency (capacity planning, billing, routing configuration); latency-sensitive functions (workload routing, incident response) use eventually consistent federated protocols that allow local hubs to act immediately and reconcile later.</w:t>
      </w:r>
    </w:p>
    <w:p>
      <w:pPr>
        <w:pStyle w:val="BodyText"/>
      </w:pPr>
      <w:r>
        <w:rPr>
          <w:b/>
          <w:bCs/>
        </w:rPr>
        <w:t xml:space="preserve">Partition tolerance.</w:t>
      </w:r>
      <w:r>
        <w:t xml:space="preserve"> </w:t>
      </w:r>
      <w:r>
        <w:t xml:space="preserve">If the hub-to-hub backbone is partitioned (e.g., a fiber cut splitting the east and west coast hubs), each partition continues operating independently: local workload routing, billing, and customer service all function within each partition. When connectivity is restored, the control plane reconciles state using conflict-free replicated data types (CRDTs) for operational state and a merge protocol for financial records.</w:t>
      </w:r>
    </w:p>
    <w:p>
      <w:pPr>
        <w:pStyle w:val="BodyText"/>
      </w:pPr>
      <w:r>
        <w:rPr>
          <w:b/>
          <w:bCs/>
        </w:rPr>
        <w:t xml:space="preserve">Self-healing.</w:t>
      </w:r>
      <w:r>
        <w:t xml:space="preserve"> </w:t>
      </w:r>
      <w:r>
        <w:t xml:space="preserve">The control plane continuously monitors its own health. If a hub becomes unresponsive, its consensus voting weight is redistributed to surviving hubs within 30 seconds. The edge nodes served by the failed hub automatically reroute their management traffic to their secondary hub. No manual intervention is required for single-hub failure recovery.</w:t>
      </w:r>
    </w:p>
    <w:bookmarkEnd w:id="30"/>
    <w:bookmarkEnd w:id="31"/>
    <w:bookmarkStart w:id="32" w:name="mesh-interconnection-model"/>
    <w:p>
      <w:pPr>
        <w:pStyle w:val="Heading3"/>
      </w:pPr>
      <w:r>
        <w:t xml:space="preserve">3.3 Mesh Interconnection Model</w:t>
      </w:r>
    </w:p>
    <w:p>
      <w:pPr>
        <w:pStyle w:val="FirstParagraph"/>
      </w:pPr>
      <w:r>
        <w:rPr>
          <w:b/>
          <w:bCs/>
        </w:rPr>
        <w:t xml:space="preserve">Diagram 2: Mesh Interconnection Model</w:t>
      </w:r>
    </w:p>
    <w:tbl>
      <w:tblPr>
        <w:tblStyle w:val="Table"/>
        <w:tblW w:type="pct" w:w="5000"/>
        <w:jc w:val="left"/>
        <w:tblLayout w:type="fixed"/>
        <w:tblLook w:firstRow="1" w:lastRow="0" w:firstColumn="0" w:lastColumn="0" w:noHBand="0" w:noVBand="0" w:val="0020"/>
      </w:tblPr>
      <w:tblGrid>
        <w:gridCol w:w="1267"/>
        <w:gridCol w:w="2534"/>
        <w:gridCol w:w="2059"/>
        <w:gridCol w:w="2059"/>
      </w:tblGrid>
      <w:tr>
        <w:trPr>
          <w:tblHeader w:val="on"/>
        </w:trPr>
        <w:tc>
          <w:tcPr/>
          <w:p>
            <w:pPr>
              <w:pStyle w:val="Compact"/>
              <w:jc w:val="left"/>
            </w:pPr>
            <w:r>
              <w:t xml:space="preserve">Source</w:t>
            </w:r>
          </w:p>
        </w:tc>
        <w:tc>
          <w:tcPr/>
          <w:p>
            <w:pPr>
              <w:pStyle w:val="Compact"/>
              <w:jc w:val="left"/>
            </w:pPr>
            <w:r>
              <w:t xml:space="preserve">Connection Type</w:t>
            </w:r>
          </w:p>
        </w:tc>
        <w:tc>
          <w:tcPr/>
          <w:p>
            <w:pPr>
              <w:pStyle w:val="Compact"/>
              <w:jc w:val="left"/>
            </w:pPr>
            <w:r>
              <w:t xml:space="preserve">Destination</w:t>
            </w:r>
          </w:p>
        </w:tc>
        <w:tc>
          <w:tcPr/>
          <w:p>
            <w:pPr>
              <w:pStyle w:val="Compact"/>
              <w:jc w:val="left"/>
            </w:pPr>
            <w:r>
              <w:t xml:space="preserve">Link Medium</w:t>
            </w:r>
          </w:p>
        </w:tc>
      </w:tr>
      <w:tr>
        <w:tc>
          <w:tcPr/>
          <w:p>
            <w:pPr>
              <w:pStyle w:val="Compact"/>
              <w:jc w:val="left"/>
            </w:pPr>
            <w:r>
              <w:t xml:space="preserve">Edge Node A</w:t>
            </w:r>
          </w:p>
        </w:tc>
        <w:tc>
          <w:tcPr/>
          <w:p>
            <w:pPr>
              <w:pStyle w:val="Compact"/>
              <w:jc w:val="left"/>
            </w:pPr>
            <w:r>
              <w:t xml:space="preserve">Primary Backhaul</w:t>
            </w:r>
          </w:p>
        </w:tc>
        <w:tc>
          <w:tcPr/>
          <w:p>
            <w:pPr>
              <w:pStyle w:val="Compact"/>
              <w:jc w:val="left"/>
            </w:pPr>
            <w:r>
              <w:t xml:space="preserve">Regional Hub 1</w:t>
            </w:r>
          </w:p>
        </w:tc>
        <w:tc>
          <w:tcPr/>
          <w:p>
            <w:pPr>
              <w:pStyle w:val="Compact"/>
              <w:jc w:val="left"/>
            </w:pPr>
            <w:r>
              <w:t xml:space="preserve">Fiber / Licensed Wireless</w:t>
            </w:r>
          </w:p>
        </w:tc>
      </w:tr>
      <w:tr>
        <w:tc>
          <w:tcPr/>
          <w:p>
            <w:pPr>
              <w:pStyle w:val="Compact"/>
              <w:jc w:val="left"/>
            </w:pPr>
            <w:r>
              <w:t xml:space="preserve">Edge Node A</w:t>
            </w:r>
          </w:p>
        </w:tc>
        <w:tc>
          <w:tcPr/>
          <w:p>
            <w:pPr>
              <w:pStyle w:val="Compact"/>
              <w:jc w:val="left"/>
            </w:pPr>
            <w:r>
              <w:t xml:space="preserve">Mesh Peering</w:t>
            </w:r>
          </w:p>
        </w:tc>
        <w:tc>
          <w:tcPr/>
          <w:p>
            <w:pPr>
              <w:pStyle w:val="Compact"/>
              <w:jc w:val="left"/>
            </w:pPr>
            <w:r>
              <w:t xml:space="preserve">Edge Node B</w:t>
            </w:r>
          </w:p>
        </w:tc>
        <w:tc>
          <w:tcPr/>
          <w:p>
            <w:pPr>
              <w:pStyle w:val="Compact"/>
              <w:jc w:val="left"/>
            </w:pPr>
            <w:r>
              <w:t xml:space="preserve">Direct node-to-node (geographic proximity)</w:t>
            </w:r>
          </w:p>
        </w:tc>
      </w:tr>
      <w:tr>
        <w:tc>
          <w:tcPr/>
          <w:p>
            <w:pPr>
              <w:pStyle w:val="Compact"/>
              <w:jc w:val="left"/>
            </w:pPr>
            <w:r>
              <w:t xml:space="preserve">Edge Node A</w:t>
            </w:r>
          </w:p>
        </w:tc>
        <w:tc>
          <w:tcPr/>
          <w:p>
            <w:pPr>
              <w:pStyle w:val="Compact"/>
              <w:jc w:val="left"/>
            </w:pPr>
            <w:r>
              <w:t xml:space="preserve">Mesh Peering</w:t>
            </w:r>
          </w:p>
        </w:tc>
        <w:tc>
          <w:tcPr/>
          <w:p>
            <w:pPr>
              <w:pStyle w:val="Compact"/>
              <w:jc w:val="left"/>
            </w:pPr>
            <w:r>
              <w:t xml:space="preserve">Edge Node C</w:t>
            </w:r>
          </w:p>
        </w:tc>
        <w:tc>
          <w:tcPr/>
          <w:p>
            <w:pPr>
              <w:pStyle w:val="Compact"/>
              <w:jc w:val="left"/>
            </w:pPr>
            <w:r>
              <w:t xml:space="preserve">Direct node-to-node (geographic proximity)</w:t>
            </w:r>
          </w:p>
        </w:tc>
      </w:tr>
      <w:tr>
        <w:tc>
          <w:tcPr/>
          <w:p>
            <w:pPr>
              <w:pStyle w:val="Compact"/>
              <w:jc w:val="left"/>
            </w:pPr>
            <w:r>
              <w:t xml:space="preserve">Edge Node B</w:t>
            </w:r>
          </w:p>
        </w:tc>
        <w:tc>
          <w:tcPr/>
          <w:p>
            <w:pPr>
              <w:pStyle w:val="Compact"/>
              <w:jc w:val="left"/>
            </w:pPr>
            <w:r>
              <w:t xml:space="preserve">Primary Backhaul</w:t>
            </w:r>
          </w:p>
        </w:tc>
        <w:tc>
          <w:tcPr/>
          <w:p>
            <w:pPr>
              <w:pStyle w:val="Compact"/>
              <w:jc w:val="left"/>
            </w:pPr>
            <w:r>
              <w:t xml:space="preserve">Regional Hub 1</w:t>
            </w:r>
          </w:p>
        </w:tc>
        <w:tc>
          <w:tcPr/>
          <w:p>
            <w:pPr>
              <w:pStyle w:val="Compact"/>
              <w:jc w:val="left"/>
            </w:pPr>
            <w:r>
              <w:t xml:space="preserve">Fiber / Licensed Wireless</w:t>
            </w:r>
          </w:p>
        </w:tc>
      </w:tr>
      <w:tr>
        <w:tc>
          <w:tcPr/>
          <w:p>
            <w:pPr>
              <w:pStyle w:val="Compact"/>
              <w:jc w:val="left"/>
            </w:pPr>
            <w:r>
              <w:t xml:space="preserve">Edge Node B</w:t>
            </w:r>
          </w:p>
        </w:tc>
        <w:tc>
          <w:tcPr/>
          <w:p>
            <w:pPr>
              <w:pStyle w:val="Compact"/>
              <w:jc w:val="left"/>
            </w:pPr>
            <w:r>
              <w:t xml:space="preserve">Mesh Peering</w:t>
            </w:r>
          </w:p>
        </w:tc>
        <w:tc>
          <w:tcPr/>
          <w:p>
            <w:pPr>
              <w:pStyle w:val="Compact"/>
              <w:jc w:val="left"/>
            </w:pPr>
            <w:r>
              <w:t xml:space="preserve">Edge Node D</w:t>
            </w:r>
          </w:p>
        </w:tc>
        <w:tc>
          <w:tcPr/>
          <w:p>
            <w:pPr>
              <w:pStyle w:val="Compact"/>
              <w:jc w:val="left"/>
            </w:pPr>
            <w:r>
              <w:t xml:space="preserve">Direct node-to-node (geographic proximity)</w:t>
            </w:r>
          </w:p>
        </w:tc>
      </w:tr>
      <w:tr>
        <w:tc>
          <w:tcPr/>
          <w:p>
            <w:pPr>
              <w:pStyle w:val="Compact"/>
              <w:jc w:val="left"/>
            </w:pPr>
            <w:r>
              <w:t xml:space="preserve">Edge Node C</w:t>
            </w:r>
          </w:p>
        </w:tc>
        <w:tc>
          <w:tcPr/>
          <w:p>
            <w:pPr>
              <w:pStyle w:val="Compact"/>
              <w:jc w:val="left"/>
            </w:pPr>
            <w:r>
              <w:t xml:space="preserve">Primary Backhaul</w:t>
            </w:r>
          </w:p>
        </w:tc>
        <w:tc>
          <w:tcPr/>
          <w:p>
            <w:pPr>
              <w:pStyle w:val="Compact"/>
              <w:jc w:val="left"/>
            </w:pPr>
            <w:r>
              <w:t xml:space="preserve">Regional Hub 1</w:t>
            </w:r>
          </w:p>
        </w:tc>
        <w:tc>
          <w:tcPr/>
          <w:p>
            <w:pPr>
              <w:pStyle w:val="Compact"/>
              <w:jc w:val="left"/>
            </w:pPr>
            <w:r>
              <w:t xml:space="preserve">Fiber / Licensed Wireless</w:t>
            </w:r>
          </w:p>
        </w:tc>
      </w:tr>
      <w:tr>
        <w:tc>
          <w:tcPr/>
          <w:p>
            <w:pPr>
              <w:pStyle w:val="Compact"/>
              <w:jc w:val="left"/>
            </w:pPr>
            <w:r>
              <w:t xml:space="preserve">Edge Node C</w:t>
            </w:r>
          </w:p>
        </w:tc>
        <w:tc>
          <w:tcPr/>
          <w:p>
            <w:pPr>
              <w:pStyle w:val="Compact"/>
              <w:jc w:val="left"/>
            </w:pPr>
            <w:r>
              <w:t xml:space="preserve">Mesh Peering</w:t>
            </w:r>
          </w:p>
        </w:tc>
        <w:tc>
          <w:tcPr/>
          <w:p>
            <w:pPr>
              <w:pStyle w:val="Compact"/>
              <w:jc w:val="left"/>
            </w:pPr>
            <w:r>
              <w:t xml:space="preserve">Edge Node D</w:t>
            </w:r>
          </w:p>
        </w:tc>
        <w:tc>
          <w:tcPr/>
          <w:p>
            <w:pPr>
              <w:pStyle w:val="Compact"/>
              <w:jc w:val="left"/>
            </w:pPr>
            <w:r>
              <w:t xml:space="preserve">Direct node-to-node (geographic proximity)</w:t>
            </w:r>
          </w:p>
        </w:tc>
      </w:tr>
      <w:tr>
        <w:tc>
          <w:tcPr/>
          <w:p>
            <w:pPr>
              <w:pStyle w:val="Compact"/>
              <w:jc w:val="left"/>
            </w:pPr>
            <w:r>
              <w:t xml:space="preserve">Edge Node D</w:t>
            </w:r>
          </w:p>
        </w:tc>
        <w:tc>
          <w:tcPr/>
          <w:p>
            <w:pPr>
              <w:pStyle w:val="Compact"/>
              <w:jc w:val="left"/>
            </w:pPr>
            <w:r>
              <w:t xml:space="preserve">Primary Backhaul</w:t>
            </w:r>
          </w:p>
        </w:tc>
        <w:tc>
          <w:tcPr/>
          <w:p>
            <w:pPr>
              <w:pStyle w:val="Compact"/>
              <w:jc w:val="left"/>
            </w:pPr>
            <w:r>
              <w:t xml:space="preserve">Regional Hub 2</w:t>
            </w:r>
          </w:p>
        </w:tc>
        <w:tc>
          <w:tcPr/>
          <w:p>
            <w:pPr>
              <w:pStyle w:val="Compact"/>
              <w:jc w:val="left"/>
            </w:pPr>
            <w:r>
              <w:t xml:space="preserve">Fiber / Licensed Wireless</w:t>
            </w:r>
          </w:p>
        </w:tc>
      </w:tr>
      <w:tr>
        <w:tc>
          <w:tcPr/>
          <w:p>
            <w:pPr>
              <w:pStyle w:val="Compact"/>
              <w:jc w:val="left"/>
            </w:pPr>
            <w:r>
              <w:t xml:space="preserve">Edge Node D</w:t>
            </w:r>
          </w:p>
        </w:tc>
        <w:tc>
          <w:tcPr/>
          <w:p>
            <w:pPr>
              <w:pStyle w:val="Compact"/>
              <w:jc w:val="left"/>
            </w:pPr>
            <w:r>
              <w:t xml:space="preserve">Redundant Path</w:t>
            </w:r>
          </w:p>
        </w:tc>
        <w:tc>
          <w:tcPr/>
          <w:p>
            <w:pPr>
              <w:pStyle w:val="Compact"/>
              <w:jc w:val="left"/>
            </w:pPr>
            <w:r>
              <w:t xml:space="preserve">Regional Hub 1</w:t>
            </w:r>
          </w:p>
        </w:tc>
        <w:tc>
          <w:tcPr/>
          <w:p>
            <w:pPr>
              <w:pStyle w:val="Compact"/>
              <w:jc w:val="left"/>
            </w:pPr>
            <w:r>
              <w:t xml:space="preserve">Diverse Fiber / LTE-A/5G / Satellite</w:t>
            </w:r>
          </w:p>
        </w:tc>
      </w:tr>
      <w:tr>
        <w:tc>
          <w:tcPr/>
          <w:p>
            <w:pPr>
              <w:pStyle w:val="Compact"/>
              <w:jc w:val="left"/>
            </w:pPr>
            <w:r>
              <w:t xml:space="preserve">Edge Node E</w:t>
            </w:r>
          </w:p>
        </w:tc>
        <w:tc>
          <w:tcPr/>
          <w:p>
            <w:pPr>
              <w:pStyle w:val="Compact"/>
              <w:jc w:val="left"/>
            </w:pPr>
            <w:r>
              <w:t xml:space="preserve">Primary Backhaul</w:t>
            </w:r>
          </w:p>
        </w:tc>
        <w:tc>
          <w:tcPr/>
          <w:p>
            <w:pPr>
              <w:pStyle w:val="Compact"/>
              <w:jc w:val="left"/>
            </w:pPr>
            <w:r>
              <w:t xml:space="preserve">Regional Hub 2</w:t>
            </w:r>
          </w:p>
        </w:tc>
        <w:tc>
          <w:tcPr/>
          <w:p>
            <w:pPr>
              <w:pStyle w:val="Compact"/>
              <w:jc w:val="left"/>
            </w:pPr>
            <w:r>
              <w:t xml:space="preserve">Fiber / Licensed Wireless</w:t>
            </w:r>
          </w:p>
        </w:tc>
      </w:tr>
      <w:tr>
        <w:tc>
          <w:tcPr/>
          <w:p>
            <w:pPr>
              <w:pStyle w:val="Compact"/>
              <w:jc w:val="left"/>
            </w:pPr>
            <w:r>
              <w:t xml:space="preserve">All Nodes</w:t>
            </w:r>
          </w:p>
        </w:tc>
        <w:tc>
          <w:tcPr/>
          <w:p>
            <w:pPr>
              <w:pStyle w:val="Compact"/>
              <w:jc w:val="left"/>
            </w:pPr>
            <w:r>
              <w:t xml:space="preserve">Redundant Path</w:t>
            </w:r>
          </w:p>
        </w:tc>
        <w:tc>
          <w:tcPr/>
          <w:p>
            <w:pPr>
              <w:pStyle w:val="Compact"/>
              <w:jc w:val="left"/>
            </w:pPr>
            <w:r>
              <w:t xml:space="preserve">2nd Regional Hub</w:t>
            </w:r>
          </w:p>
        </w:tc>
        <w:tc>
          <w:tcPr/>
          <w:p>
            <w:pPr>
              <w:pStyle w:val="Compact"/>
              <w:jc w:val="left"/>
            </w:pPr>
            <w:r>
              <w:t xml:space="preserve">Diverse Fiber / LTE-A/5G / Satellite</w:t>
            </w:r>
          </w:p>
        </w:tc>
      </w:tr>
    </w:tbl>
    <w:p>
      <w:pPr>
        <w:pStyle w:val="BodyText"/>
      </w:pPr>
      <w:r>
        <w:rPr>
          <w:i/>
          <w:iCs/>
        </w:rPr>
        <w:t xml:space="preserve">Every node has: (1) primary uplink to its regional hub, (2) redundant uplink via diverse path, (3) mesh peering with adjacent edge nodes, (4) at least two regional hub paths.</w:t>
      </w:r>
    </w:p>
    <w:p>
      <w:pPr>
        <w:pStyle w:val="BodyText"/>
      </w:pPr>
      <w:r>
        <w:t xml:space="preserve">Every edge node maintains:</w:t>
      </w:r>
      <w:r>
        <w:t xml:space="preserve"> </w:t>
      </w:r>
      <w:r>
        <w:t xml:space="preserve">-</w:t>
      </w:r>
      <w:r>
        <w:t xml:space="preserve"> </w:t>
      </w:r>
      <w:r>
        <w:rPr>
          <w:b/>
          <w:bCs/>
        </w:rPr>
        <w:t xml:space="preserve">Primary uplink</w:t>
      </w:r>
      <w:r>
        <w:t xml:space="preserve"> </w:t>
      </w:r>
      <w:r>
        <w:t xml:space="preserve">to its regional hub (fiber or licensed microwave, minimum 10 Gbps)</w:t>
      </w:r>
      <w:r>
        <w:t xml:space="preserve"> </w:t>
      </w:r>
      <w:r>
        <w:t xml:space="preserve">-</w:t>
      </w:r>
      <w:r>
        <w:t xml:space="preserve"> </w:t>
      </w:r>
      <w:r>
        <w:rPr>
          <w:b/>
          <w:bCs/>
        </w:rPr>
        <w:t xml:space="preserve">Redundant uplink</w:t>
      </w:r>
      <w:r>
        <w:t xml:space="preserve"> </w:t>
      </w:r>
      <w:r>
        <w:t xml:space="preserve">via diverse path (secondary fiber route, 5G/LTE-A, or LEO satellite)</w:t>
      </w:r>
      <w:r>
        <w:t xml:space="preserve"> </w:t>
      </w:r>
      <w:r>
        <w:t xml:space="preserve">-</w:t>
      </w:r>
      <w:r>
        <w:t xml:space="preserve"> </w:t>
      </w:r>
      <w:r>
        <w:rPr>
          <w:b/>
          <w:bCs/>
        </w:rPr>
        <w:t xml:space="preserve">Mesh peering</w:t>
      </w:r>
      <w:r>
        <w:t xml:space="preserve"> </w:t>
      </w:r>
      <w:r>
        <w:t xml:space="preserve">with geographically adjacent edge nodes for local traffic exchange and failover</w:t>
      </w:r>
      <w:r>
        <w:t xml:space="preserve"> </w:t>
      </w:r>
      <w:r>
        <w:t xml:space="preserve">-</w:t>
      </w:r>
      <w:r>
        <w:t xml:space="preserve"> </w:t>
      </w:r>
      <w:r>
        <w:rPr>
          <w:b/>
          <w:bCs/>
        </w:rPr>
        <w:t xml:space="preserve">At least two regional hub paths</w:t>
      </w:r>
      <w:r>
        <w:t xml:space="preserve"> </w:t>
      </w:r>
      <w:r>
        <w:t xml:space="preserve">to ensure no single hub failure isolates the node</w:t>
      </w:r>
    </w:p>
    <w:p>
      <w:pPr>
        <w:pStyle w:val="BodyText"/>
      </w:pPr>
      <w:r>
        <w:rPr>
          <w:b/>
          <w:bCs/>
        </w:rPr>
        <w:t xml:space="preserve">Mesh peering is the architectural innovation that distinguishes ANDD from a traditional hub-and-spoke topology.</w:t>
      </w:r>
      <w:r>
        <w:t xml:space="preserve"> </w:t>
      </w:r>
      <w:r>
        <w:t xml:space="preserve">In a hub-and-spoke model, all traffic between edge nodes must traverse the hub — doubling latency and creating a bottleneck. In the ANDD mesh, edge nodes that are geographically adjacent (typically within 100km) establish direct peering links. This serves three functions:</w:t>
      </w:r>
    </w:p>
    <w:p>
      <w:pPr>
        <w:numPr>
          <w:ilvl w:val="0"/>
          <w:numId w:val="1003"/>
        </w:numPr>
      </w:pPr>
      <w:r>
        <w:rPr>
          <w:b/>
          <w:bCs/>
        </w:rPr>
        <w:t xml:space="preserve">Local traffic exchange.</w:t>
      </w:r>
      <w:r>
        <w:t xml:space="preserve"> </w:t>
      </w:r>
      <w:r>
        <w:t xml:space="preserve">When two tenants at adjacent edge nodes need to communicate (e.g., a fintech customer at Node A accessing a database at Node B), traffic flows directly between nodes at &lt;2ms latency rather than through the hub at 10–20ms.</w:t>
      </w:r>
    </w:p>
    <w:p>
      <w:pPr>
        <w:numPr>
          <w:ilvl w:val="0"/>
          <w:numId w:val="1003"/>
        </w:numPr>
      </w:pPr>
      <w:r>
        <w:rPr>
          <w:b/>
          <w:bCs/>
        </w:rPr>
        <w:t xml:space="preserve">Failover capacity.</w:t>
      </w:r>
      <w:r>
        <w:t xml:space="preserve"> </w:t>
      </w:r>
      <w:r>
        <w:t xml:space="preserve">If a node loses its primary hub uplink, it can route management and customer traffic through an adjacent mesh peer to reach the hub via an alternate path. The AI control plane detects the path failure and reroutes within seconds.</w:t>
      </w:r>
    </w:p>
    <w:p>
      <w:pPr>
        <w:numPr>
          <w:ilvl w:val="0"/>
          <w:numId w:val="1003"/>
        </w:numPr>
      </w:pPr>
      <w:r>
        <w:rPr>
          <w:b/>
          <w:bCs/>
        </w:rPr>
        <w:t xml:space="preserve">Distributed workload migration.</w:t>
      </w:r>
      <w:r>
        <w:t xml:space="preserve"> </w:t>
      </w:r>
      <w:r>
        <w:t xml:space="preserve">When the AI control plane needs to migrate workloads away from a node (for maintenance, thermal management, or load balancing), it can stream live-migration traffic directly to an adjacent peer rather than through the hub, reducing migration time and avoiding hub bandwidth contention.</w:t>
      </w:r>
    </w:p>
    <w:p>
      <w:pPr>
        <w:pStyle w:val="FirstParagraph"/>
      </w:pPr>
      <w:r>
        <w:rPr>
          <w:b/>
          <w:bCs/>
        </w:rPr>
        <w:t xml:space="preserve">Mesh formation is automated.</w:t>
      </w:r>
      <w:r>
        <w:t xml:space="preserve"> </w:t>
      </w:r>
      <w:r>
        <w:t xml:space="preserve">When a new edge node comes online, the AI control plane identifies candidate mesh peers based on geographic proximity, available connectivity options, and traffic pattern analysis. It then negotiates peering agreements (automated BGP session establishment, encryption key exchange, bandwidth allocation) without human intervention. As the network grows, the mesh becomes denser and more resilient — each new node adds connectivity options for its neighbors.</w:t>
      </w:r>
    </w:p>
    <w:p>
      <w:pPr>
        <w:pStyle w:val="BodyText"/>
      </w:pPr>
      <w:r>
        <w:t xml:space="preserve">This topology ensures that the loss of any single node, link, or regional hub does not partition the network. Workloads automatically reroute through adjacent nodes and alternate hub paths. The mathematical resilience is quantified in Section 9.6: with 100 nodes each at 99.95% uptime and only 70% of nodes required for full service, the probability of network-level failure is effectively zero (10^-47).</w:t>
      </w:r>
    </w:p>
    <w:bookmarkEnd w:id="32"/>
    <w:bookmarkStart w:id="36" w:name="single-site-physical-layout"/>
    <w:p>
      <w:pPr>
        <w:pStyle w:val="Heading3"/>
      </w:pPr>
      <w:r>
        <w:t xml:space="preserve">3.4 Single-Site Physical Layout</w:t>
      </w:r>
    </w:p>
    <w:p>
      <w:pPr>
        <w:pStyle w:val="FirstParagraph"/>
      </w:pPr>
      <w:r>
        <w:rPr>
          <w:b/>
          <w:bCs/>
        </w:rPr>
        <w:t xml:space="preserve">Diagram 3: ANDD Edge Node — Single-Site Physical Layout</w:t>
      </w:r>
    </w:p>
    <w:tbl>
      <w:tblPr>
        <w:tblStyle w:val="Table"/>
        <w:tblW w:type="pct" w:w="5000"/>
        <w:jc w:val="left"/>
        <w:tblLayout w:type="fixed"/>
        <w:tblLook w:firstRow="1" w:lastRow="0" w:firstColumn="0" w:lastColumn="0" w:noHBand="0" w:noVBand="0" w:val="0020"/>
      </w:tblPr>
      <w:tblGrid>
        <w:gridCol w:w="1205"/>
        <w:gridCol w:w="1893"/>
        <w:gridCol w:w="2582"/>
        <w:gridCol w:w="2238"/>
      </w:tblGrid>
      <w:tr>
        <w:trPr>
          <w:tblHeader w:val="on"/>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Connects To</w:t>
            </w:r>
          </w:p>
        </w:tc>
      </w:tr>
      <w:tr>
        <w:tc>
          <w:tcPr/>
          <w:p>
            <w:pPr>
              <w:pStyle w:val="Compact"/>
              <w:jc w:val="left"/>
            </w:pPr>
            <w:r>
              <w:rPr>
                <w:b/>
                <w:bCs/>
              </w:rPr>
              <w:t xml:space="preserve">IT Equipment</w:t>
            </w:r>
          </w:p>
        </w:tc>
        <w:tc>
          <w:tcPr/>
          <w:p>
            <w:pPr>
              <w:pStyle w:val="Compact"/>
              <w:jc w:val="left"/>
            </w:pPr>
            <w:r>
              <w:t xml:space="preserve">Compute Racks (x4–8)</w:t>
            </w:r>
          </w:p>
        </w:tc>
        <w:tc>
          <w:tcPr/>
          <w:p>
            <w:pPr>
              <w:pStyle w:val="Compact"/>
              <w:jc w:val="left"/>
            </w:pPr>
            <w:r>
              <w:t xml:space="preserve">High-density 1U/2U servers, ARM + x86</w:t>
            </w:r>
          </w:p>
        </w:tc>
        <w:tc>
          <w:tcPr/>
          <w:p>
            <w:pPr>
              <w:pStyle w:val="Compact"/>
              <w:jc w:val="left"/>
            </w:pPr>
            <w:r>
              <w:t xml:space="preserve">Top-of-Rack Fabric</w:t>
            </w:r>
          </w:p>
        </w:tc>
      </w:tr>
      <w:tr>
        <w:tc>
          <w:tcPr/>
          <w:p>
            <w:pPr>
              <w:pStyle w:val="Compact"/>
              <w:jc w:val="left"/>
            </w:pPr>
            <w:r>
              <w:rPr>
                <w:b/>
                <w:bCs/>
              </w:rPr>
              <w:t xml:space="preserve">IT Equipment</w:t>
            </w:r>
          </w:p>
        </w:tc>
        <w:tc>
          <w:tcPr/>
          <w:p>
            <w:pPr>
              <w:pStyle w:val="Compact"/>
              <w:jc w:val="left"/>
            </w:pPr>
            <w:r>
              <w:t xml:space="preserve">AI Accelerator Racks (x2–4)</w:t>
            </w:r>
          </w:p>
        </w:tc>
        <w:tc>
          <w:tcPr/>
          <w:p>
            <w:pPr>
              <w:pStyle w:val="Compact"/>
              <w:jc w:val="left"/>
            </w:pPr>
            <w:r>
              <w:t xml:space="preserve">GPU inference/training cards, liquid-cooled</w:t>
            </w:r>
          </w:p>
        </w:tc>
        <w:tc>
          <w:tcPr/>
          <w:p>
            <w:pPr>
              <w:pStyle w:val="Compact"/>
              <w:jc w:val="left"/>
            </w:pPr>
            <w:r>
              <w:t xml:space="preserve">Top-of-Rack Fabric</w:t>
            </w:r>
          </w:p>
        </w:tc>
      </w:tr>
      <w:tr>
        <w:tc>
          <w:tcPr/>
          <w:p>
            <w:pPr>
              <w:pStyle w:val="Compact"/>
              <w:jc w:val="left"/>
            </w:pPr>
            <w:r>
              <w:rPr>
                <w:b/>
                <w:bCs/>
              </w:rPr>
              <w:t xml:space="preserve">IT Equipment</w:t>
            </w:r>
          </w:p>
        </w:tc>
        <w:tc>
          <w:tcPr/>
          <w:p>
            <w:pPr>
              <w:pStyle w:val="Compact"/>
              <w:jc w:val="left"/>
            </w:pPr>
            <w:r>
              <w:t xml:space="preserve">Storage Racks (x2–4)</w:t>
            </w:r>
          </w:p>
        </w:tc>
        <w:tc>
          <w:tcPr/>
          <w:p>
            <w:pPr>
              <w:pStyle w:val="Compact"/>
              <w:jc w:val="left"/>
            </w:pPr>
            <w:r>
              <w:t xml:space="preserve">NVMe SSD + HDD arrays</w:t>
            </w:r>
          </w:p>
        </w:tc>
        <w:tc>
          <w:tcPr/>
          <w:p>
            <w:pPr>
              <w:pStyle w:val="Compact"/>
              <w:jc w:val="left"/>
            </w:pPr>
            <w:r>
              <w:t xml:space="preserve">Top-of-Rack Fabric</w:t>
            </w:r>
          </w:p>
        </w:tc>
      </w:tr>
      <w:tr>
        <w:tc>
          <w:tcPr/>
          <w:p>
            <w:pPr>
              <w:pStyle w:val="Compact"/>
              <w:jc w:val="left"/>
            </w:pPr>
            <w:r>
              <w:rPr>
                <w:b/>
                <w:bCs/>
              </w:rPr>
              <w:t xml:space="preserve">Network Fabric</w:t>
            </w:r>
          </w:p>
        </w:tc>
        <w:tc>
          <w:tcPr/>
          <w:p>
            <w:pPr>
              <w:pStyle w:val="Compact"/>
              <w:jc w:val="left"/>
            </w:pPr>
            <w:r>
              <w:t xml:space="preserve">Top-of-Rack / Leaf-Spine Switches</w:t>
            </w:r>
          </w:p>
        </w:tc>
        <w:tc>
          <w:tcPr/>
          <w:p>
            <w:pPr>
              <w:pStyle w:val="Compact"/>
              <w:jc w:val="left"/>
            </w:pPr>
            <w:r>
              <w:t xml:space="preserve">100GbE / 400GbE internal fabric</w:t>
            </w:r>
          </w:p>
        </w:tc>
        <w:tc>
          <w:tcPr/>
          <w:p>
            <w:pPr>
              <w:pStyle w:val="Compact"/>
              <w:jc w:val="left"/>
            </w:pPr>
            <w:r>
              <w:t xml:space="preserve">Edge Router</w:t>
            </w:r>
          </w:p>
        </w:tc>
      </w:tr>
      <w:tr>
        <w:tc>
          <w:tcPr/>
          <w:p>
            <w:pPr>
              <w:pStyle w:val="Compact"/>
              <w:jc w:val="left"/>
            </w:pPr>
            <w:r>
              <w:rPr>
                <w:b/>
                <w:bCs/>
              </w:rPr>
              <w:t xml:space="preserve">Network Edge</w:t>
            </w:r>
          </w:p>
        </w:tc>
        <w:tc>
          <w:tcPr/>
          <w:p>
            <w:pPr>
              <w:pStyle w:val="Compact"/>
              <w:jc w:val="left"/>
            </w:pPr>
            <w:r>
              <w:t xml:space="preserve">Edge Router / Firewall</w:t>
            </w:r>
          </w:p>
        </w:tc>
        <w:tc>
          <w:tcPr/>
          <w:p>
            <w:pPr>
              <w:pStyle w:val="Compact"/>
              <w:jc w:val="left"/>
            </w:pPr>
            <w:r>
              <w:t xml:space="preserve">BGP peering, SD-WAN, encryption</w:t>
            </w:r>
          </w:p>
        </w:tc>
        <w:tc>
          <w:tcPr/>
          <w:p>
            <w:pPr>
              <w:pStyle w:val="Compact"/>
              <w:jc w:val="left"/>
            </w:pPr>
            <w:r>
              <w:t xml:space="preserve">Primary + Redundant Uplinks</w:t>
            </w:r>
          </w:p>
        </w:tc>
      </w:tr>
      <w:tr>
        <w:tc>
          <w:tcPr/>
          <w:p>
            <w:pPr>
              <w:pStyle w:val="Compact"/>
              <w:jc w:val="left"/>
            </w:pPr>
            <w:r>
              <w:rPr>
                <w:b/>
                <w:bCs/>
              </w:rPr>
              <w:t xml:space="preserve">External Connectivity</w:t>
            </w:r>
          </w:p>
        </w:tc>
        <w:tc>
          <w:tcPr/>
          <w:p>
            <w:pPr>
              <w:pStyle w:val="Compact"/>
              <w:jc w:val="left"/>
            </w:pPr>
            <w:r>
              <w:t xml:space="preserve">Primary Uplink</w:t>
            </w:r>
          </w:p>
        </w:tc>
        <w:tc>
          <w:tcPr/>
          <w:p>
            <w:pPr>
              <w:pStyle w:val="Compact"/>
              <w:jc w:val="left"/>
            </w:pPr>
            <w:r>
              <w:t xml:space="preserve">Fiber, 10G+</w:t>
            </w:r>
          </w:p>
        </w:tc>
        <w:tc>
          <w:tcPr/>
          <w:p>
            <w:pPr>
              <w:pStyle w:val="Compact"/>
              <w:jc w:val="left"/>
            </w:pPr>
            <w:r>
              <w:t xml:space="preserve">ISP / Transit Provider</w:t>
            </w:r>
          </w:p>
        </w:tc>
      </w:tr>
      <w:tr>
        <w:tc>
          <w:tcPr/>
          <w:p>
            <w:pPr>
              <w:pStyle w:val="Compact"/>
              <w:jc w:val="left"/>
            </w:pPr>
            <w:r>
              <w:rPr>
                <w:b/>
                <w:bCs/>
              </w:rPr>
              <w:t xml:space="preserve">External Connectivity</w:t>
            </w:r>
          </w:p>
        </w:tc>
        <w:tc>
          <w:tcPr/>
          <w:p>
            <w:pPr>
              <w:pStyle w:val="Compact"/>
              <w:jc w:val="left"/>
            </w:pPr>
            <w:r>
              <w:t xml:space="preserve">Redundant Uplink</w:t>
            </w:r>
          </w:p>
        </w:tc>
        <w:tc>
          <w:tcPr/>
          <w:p>
            <w:pPr>
              <w:pStyle w:val="Compact"/>
              <w:jc w:val="left"/>
            </w:pPr>
            <w:r>
              <w:t xml:space="preserve">Diverse Fiber / 5G / LEO Satellite</w:t>
            </w:r>
          </w:p>
        </w:tc>
        <w:tc>
          <w:tcPr/>
          <w:p>
            <w:pPr>
              <w:pStyle w:val="Compact"/>
              <w:jc w:val="left"/>
            </w:pPr>
            <w:r>
              <w:t xml:space="preserve">Backup Provider</w:t>
            </w:r>
          </w:p>
        </w:tc>
      </w:tr>
      <w:tr>
        <w:tc>
          <w:tcPr/>
          <w:p>
            <w:pPr>
              <w:pStyle w:val="Compact"/>
              <w:jc w:val="left"/>
            </w:pPr>
            <w:r>
              <w:rPr>
                <w:b/>
                <w:bCs/>
              </w:rPr>
              <w:t xml:space="preserve">Power</w:t>
            </w:r>
          </w:p>
        </w:tc>
        <w:tc>
          <w:tcPr/>
          <w:p>
            <w:pPr>
              <w:pStyle w:val="Compact"/>
              <w:jc w:val="left"/>
            </w:pPr>
            <w:r>
              <w:t xml:space="preserve">Power System</w:t>
            </w:r>
          </w:p>
        </w:tc>
        <w:tc>
          <w:tcPr/>
          <w:p>
            <w:pPr>
              <w:pStyle w:val="Compact"/>
              <w:jc w:val="left"/>
            </w:pPr>
            <w:r>
              <w:t xml:space="preserve">Utility Feed + ATS + Li-Ion UPS + Battery + Optional Solar/Fuel Cell/Microgrid</w:t>
            </w:r>
          </w:p>
        </w:tc>
        <w:tc>
          <w:tcPr/>
          <w:p>
            <w:pPr>
              <w:pStyle w:val="Compact"/>
              <w:jc w:val="left"/>
            </w:pPr>
            <w:r>
              <w:t xml:space="preserve">All IT + Cooling Equipment</w:t>
            </w:r>
          </w:p>
        </w:tc>
      </w:tr>
      <w:tr>
        <w:tc>
          <w:tcPr/>
          <w:p>
            <w:pPr>
              <w:pStyle w:val="Compact"/>
              <w:jc w:val="left"/>
            </w:pPr>
            <w:r>
              <w:rPr>
                <w:b/>
                <w:bCs/>
              </w:rPr>
              <w:t xml:space="preserve">Cooling</w:t>
            </w:r>
          </w:p>
        </w:tc>
        <w:tc>
          <w:tcPr/>
          <w:p>
            <w:pPr>
              <w:pStyle w:val="Compact"/>
              <w:jc w:val="left"/>
            </w:pPr>
            <w:r>
              <w:t xml:space="preserve">Cooling System</w:t>
            </w:r>
          </w:p>
        </w:tc>
        <w:tc>
          <w:tcPr/>
          <w:p>
            <w:pPr>
              <w:pStyle w:val="Compact"/>
              <w:jc w:val="left"/>
            </w:pPr>
            <w:r>
              <w:t xml:space="preserve">Direct Liquid Cooling (DLC) + Ambient Air Economization</w:t>
            </w:r>
          </w:p>
        </w:tc>
        <w:tc>
          <w:tcPr/>
          <w:p>
            <w:pPr>
              <w:pStyle w:val="Compact"/>
              <w:jc w:val="left"/>
            </w:pPr>
            <w:r>
              <w:t xml:space="preserve">All IT Racks</w:t>
            </w:r>
          </w:p>
        </w:tc>
      </w:tr>
    </w:tbl>
    <w:p>
      <w:pPr>
        <w:pStyle w:val="BodyText"/>
      </w:pPr>
      <w:r>
        <w:rPr>
          <w:i/>
          <w:iCs/>
        </w:rPr>
        <w:t xml:space="preserve">All components housed within a modular, prefabricated enclosure deployable in 60–90 days.</w:t>
      </w:r>
    </w:p>
    <w:bookmarkStart w:id="33" w:name="internal-network-fabric"/>
    <w:p>
      <w:pPr>
        <w:pStyle w:val="Heading4"/>
      </w:pPr>
      <w:r>
        <w:t xml:space="preserve">Internal Network Fabric</w:t>
      </w:r>
    </w:p>
    <w:p>
      <w:pPr>
        <w:pStyle w:val="FirstParagraph"/>
      </w:pPr>
      <w:r>
        <w:t xml:space="preserve">Within each edge node, the internal network uses a leaf-spine topology — even at small scale — to ensure non-blocking, predictable bandwidth between any two servers. The architecture:</w:t>
      </w:r>
    </w:p>
    <w:p>
      <w:pPr>
        <w:pStyle w:val="Compact"/>
        <w:numPr>
          <w:ilvl w:val="0"/>
          <w:numId w:val="1004"/>
        </w:numPr>
      </w:pPr>
      <w:r>
        <w:rPr>
          <w:b/>
          <w:bCs/>
        </w:rPr>
        <w:t xml:space="preserve">Top-of-Rack (ToR) switches:</w:t>
      </w:r>
      <w:r>
        <w:t xml:space="preserve"> </w:t>
      </w:r>
      <w:r>
        <w:t xml:space="preserve">Each rack has a pair of 100GbE switches (upgradable to 400GbE) providing redundant connectivity. Running SONiC or Cumulus Linux for programmability and integration with the AI management layer.</w:t>
      </w:r>
    </w:p>
    <w:p>
      <w:pPr>
        <w:pStyle w:val="Compact"/>
        <w:numPr>
          <w:ilvl w:val="0"/>
          <w:numId w:val="1004"/>
        </w:numPr>
      </w:pPr>
      <w:r>
        <w:rPr>
          <w:b/>
          <w:bCs/>
        </w:rPr>
        <w:t xml:space="preserve">Spine switches:</w:t>
      </w:r>
      <w:r>
        <w:t xml:space="preserve"> </w:t>
      </w:r>
      <w:r>
        <w:t xml:space="preserve">2–4 spine switches (depending on rack count) provide full-mesh connectivity between all ToR pairs. Every ToR connects to every spine, ensuring that any single spine or ToR failure leaves the fabric fully operational.</w:t>
      </w:r>
    </w:p>
    <w:p>
      <w:pPr>
        <w:pStyle w:val="Compact"/>
        <w:numPr>
          <w:ilvl w:val="0"/>
          <w:numId w:val="1004"/>
        </w:numPr>
      </w:pPr>
      <w:r>
        <w:rPr>
          <w:b/>
          <w:bCs/>
        </w:rPr>
        <w:t xml:space="preserve">GPU interconnect:</w:t>
      </w:r>
      <w:r>
        <w:t xml:space="preserve"> </w:t>
      </w:r>
      <w:r>
        <w:t xml:space="preserve">AI accelerator racks use dedicated high-bandwidth links — NVLink within multi-GPU servers, RoCE v2 (RDMA over Converged Ethernet) between servers in the same rack, and dedicated 100GbE/400GbE links between GPU racks for distributed inference pipelines.</w:t>
      </w:r>
    </w:p>
    <w:p>
      <w:pPr>
        <w:pStyle w:val="Compact"/>
        <w:numPr>
          <w:ilvl w:val="0"/>
          <w:numId w:val="1004"/>
        </w:numPr>
      </w:pPr>
      <w:r>
        <w:rPr>
          <w:b/>
          <w:bCs/>
        </w:rPr>
        <w:t xml:space="preserve">Storage network:</w:t>
      </w:r>
      <w:r>
        <w:t xml:space="preserve"> </w:t>
      </w:r>
      <w:r>
        <w:t xml:space="preserve">A dedicated storage VLAN with jumbo frames (9000 MTU) provides low-latency, high-throughput access to local NVMe arrays and remote storage via the mesh.</w:t>
      </w:r>
    </w:p>
    <w:p>
      <w:pPr>
        <w:pStyle w:val="Compact"/>
        <w:numPr>
          <w:ilvl w:val="0"/>
          <w:numId w:val="1004"/>
        </w:numPr>
      </w:pPr>
      <w:r>
        <w:rPr>
          <w:b/>
          <w:bCs/>
        </w:rPr>
        <w:t xml:space="preserve">Management network:</w:t>
      </w:r>
      <w:r>
        <w:t xml:space="preserve"> </w:t>
      </w:r>
      <w:r>
        <w:t xml:space="preserve">An out-of-band management network connects BMC/IPMI/Redfish interfaces on all servers, PDU management ports, and environmental sensors to the local AI management agent. This network is physically separate from tenant data traffic.</w:t>
      </w:r>
    </w:p>
    <w:bookmarkEnd w:id="33"/>
    <w:bookmarkStart w:id="34" w:name="hardware-configuration-profiles"/>
    <w:p>
      <w:pPr>
        <w:pStyle w:val="Heading4"/>
      </w:pPr>
      <w:r>
        <w:t xml:space="preserve">Hardware Configuration Profiles</w:t>
      </w:r>
    </w:p>
    <w:p>
      <w:pPr>
        <w:pStyle w:val="FirstParagraph"/>
      </w:pPr>
      <w:r>
        <w:t xml:space="preserve">Not every edge node has the same hardware mix. The AI control plane configures each site’s hardware profile based on local demand analysis:</w:t>
      </w:r>
    </w:p>
    <w:tbl>
      <w:tblPr>
        <w:tblStyle w:val="Table"/>
        <w:tblW w:type="pct" w:w="5000"/>
        <w:jc w:val="left"/>
        <w:tblLayout w:type="fixed"/>
        <w:tblLook w:firstRow="1" w:lastRow="0" w:firstColumn="0" w:lastColumn="0" w:noHBand="0" w:noVBand="0" w:val="0020"/>
      </w:tblPr>
      <w:tblGrid>
        <w:gridCol w:w="869"/>
        <w:gridCol w:w="1352"/>
        <w:gridCol w:w="965"/>
        <w:gridCol w:w="1448"/>
        <w:gridCol w:w="1448"/>
        <w:gridCol w:w="1835"/>
      </w:tblGrid>
      <w:tr>
        <w:trPr>
          <w:tblHeader w:val="on"/>
        </w:trPr>
        <w:tc>
          <w:tcPr/>
          <w:p>
            <w:pPr>
              <w:pStyle w:val="Compact"/>
              <w:jc w:val="left"/>
            </w:pPr>
            <w:r>
              <w:t xml:space="preserve">Profile</w:t>
            </w:r>
          </w:p>
        </w:tc>
        <w:tc>
          <w:tcPr/>
          <w:p>
            <w:pPr>
              <w:pStyle w:val="Compact"/>
              <w:jc w:val="left"/>
            </w:pPr>
            <w:r>
              <w:t xml:space="preserve">Compute Racks</w:t>
            </w:r>
          </w:p>
        </w:tc>
        <w:tc>
          <w:tcPr/>
          <w:p>
            <w:pPr>
              <w:pStyle w:val="Compact"/>
              <w:jc w:val="left"/>
            </w:pPr>
            <w:r>
              <w:t xml:space="preserve">AI Racks</w:t>
            </w:r>
          </w:p>
        </w:tc>
        <w:tc>
          <w:tcPr/>
          <w:p>
            <w:pPr>
              <w:pStyle w:val="Compact"/>
              <w:jc w:val="left"/>
            </w:pPr>
            <w:r>
              <w:t xml:space="preserve">Storage Racks</w:t>
            </w:r>
          </w:p>
        </w:tc>
        <w:tc>
          <w:tcPr/>
          <w:p>
            <w:pPr>
              <w:pStyle w:val="Compact"/>
              <w:jc w:val="left"/>
            </w:pPr>
            <w:r>
              <w:t xml:space="preserve">Total IT Power</w:t>
            </w:r>
          </w:p>
        </w:tc>
        <w:tc>
          <w:tcPr/>
          <w:p>
            <w:pPr>
              <w:pStyle w:val="Compact"/>
              <w:jc w:val="left"/>
            </w:pPr>
            <w:r>
              <w:t xml:space="preserve">Primary Workloads</w:t>
            </w:r>
          </w:p>
        </w:tc>
      </w:tr>
      <w:tr>
        <w:tc>
          <w:tcPr/>
          <w:p>
            <w:pPr>
              <w:pStyle w:val="Compact"/>
              <w:jc w:val="left"/>
            </w:pPr>
            <w:r>
              <w:rPr>
                <w:b/>
                <w:bCs/>
              </w:rPr>
              <w:t xml:space="preserve">General Purpose</w:t>
            </w:r>
          </w:p>
        </w:tc>
        <w:tc>
          <w:tcPr/>
          <w:p>
            <w:pPr>
              <w:pStyle w:val="Compact"/>
              <w:jc w:val="left"/>
            </w:pPr>
            <w:r>
              <w:t xml:space="preserve">6</w:t>
            </w:r>
          </w:p>
        </w:tc>
        <w:tc>
          <w:tcPr/>
          <w:p>
            <w:pPr>
              <w:pStyle w:val="Compact"/>
              <w:jc w:val="left"/>
            </w:pPr>
            <w:r>
              <w:t xml:space="preserve">1</w:t>
            </w:r>
          </w:p>
        </w:tc>
        <w:tc>
          <w:tcPr/>
          <w:p>
            <w:pPr>
              <w:pStyle w:val="Compact"/>
              <w:jc w:val="left"/>
            </w:pPr>
            <w:r>
              <w:t xml:space="preserve">3</w:t>
            </w:r>
          </w:p>
        </w:tc>
        <w:tc>
          <w:tcPr/>
          <w:p>
            <w:pPr>
              <w:pStyle w:val="Compact"/>
              <w:jc w:val="left"/>
            </w:pPr>
            <w:r>
              <w:t xml:space="preserve">150kW</w:t>
            </w:r>
          </w:p>
        </w:tc>
        <w:tc>
          <w:tcPr/>
          <w:p>
            <w:pPr>
              <w:pStyle w:val="Compact"/>
              <w:jc w:val="left"/>
            </w:pPr>
            <w:r>
              <w:t xml:space="preserve">Web serving, APIs, containers, databases</w:t>
            </w:r>
          </w:p>
        </w:tc>
      </w:tr>
      <w:tr>
        <w:tc>
          <w:tcPr/>
          <w:p>
            <w:pPr>
              <w:pStyle w:val="Compact"/>
              <w:jc w:val="left"/>
            </w:pPr>
            <w:r>
              <w:rPr>
                <w:b/>
                <w:bCs/>
              </w:rPr>
              <w:t xml:space="preserve">AI Inference Heavy</w:t>
            </w:r>
          </w:p>
        </w:tc>
        <w:tc>
          <w:tcPr/>
          <w:p>
            <w:pPr>
              <w:pStyle w:val="Compact"/>
              <w:jc w:val="left"/>
            </w:pPr>
            <w:r>
              <w:t xml:space="preserve">3</w:t>
            </w:r>
          </w:p>
        </w:tc>
        <w:tc>
          <w:tcPr/>
          <w:p>
            <w:pPr>
              <w:pStyle w:val="Compact"/>
              <w:jc w:val="left"/>
            </w:pPr>
            <w:r>
              <w:t xml:space="preserve">4</w:t>
            </w:r>
          </w:p>
        </w:tc>
        <w:tc>
          <w:tcPr/>
          <w:p>
            <w:pPr>
              <w:pStyle w:val="Compact"/>
              <w:jc w:val="left"/>
            </w:pPr>
            <w:r>
              <w:t xml:space="preserve">2</w:t>
            </w:r>
          </w:p>
        </w:tc>
        <w:tc>
          <w:tcPr/>
          <w:p>
            <w:pPr>
              <w:pStyle w:val="Compact"/>
              <w:jc w:val="left"/>
            </w:pPr>
            <w:r>
              <w:t xml:space="preserve">200kW</w:t>
            </w:r>
          </w:p>
        </w:tc>
        <w:tc>
          <w:tcPr/>
          <w:p>
            <w:pPr>
              <w:pStyle w:val="Compact"/>
              <w:jc w:val="left"/>
            </w:pPr>
            <w:r>
              <w:t xml:space="preserve">LLM inference, image/video analysis, RAG</w:t>
            </w:r>
          </w:p>
        </w:tc>
      </w:tr>
      <w:tr>
        <w:tc>
          <w:tcPr/>
          <w:p>
            <w:pPr>
              <w:pStyle w:val="Compact"/>
              <w:jc w:val="left"/>
            </w:pPr>
            <w:r>
              <w:rPr>
                <w:b/>
                <w:bCs/>
              </w:rPr>
              <w:t xml:space="preserve">Storage Dense</w:t>
            </w:r>
          </w:p>
        </w:tc>
        <w:tc>
          <w:tcPr/>
          <w:p>
            <w:pPr>
              <w:pStyle w:val="Compact"/>
              <w:jc w:val="left"/>
            </w:pPr>
            <w:r>
              <w:t xml:space="preserve">2</w:t>
            </w:r>
          </w:p>
        </w:tc>
        <w:tc>
          <w:tcPr/>
          <w:p>
            <w:pPr>
              <w:pStyle w:val="Compact"/>
              <w:jc w:val="left"/>
            </w:pPr>
            <w:r>
              <w:t xml:space="preserve">1</w:t>
            </w:r>
          </w:p>
        </w:tc>
        <w:tc>
          <w:tcPr/>
          <w:p>
            <w:pPr>
              <w:pStyle w:val="Compact"/>
              <w:jc w:val="left"/>
            </w:pPr>
            <w:r>
              <w:t xml:space="preserve">6</w:t>
            </w:r>
          </w:p>
        </w:tc>
        <w:tc>
          <w:tcPr/>
          <w:p>
            <w:pPr>
              <w:pStyle w:val="Compact"/>
              <w:jc w:val="left"/>
            </w:pPr>
            <w:r>
              <w:t xml:space="preserve">120kW</w:t>
            </w:r>
          </w:p>
        </w:tc>
        <w:tc>
          <w:tcPr/>
          <w:p>
            <w:pPr>
              <w:pStyle w:val="Compact"/>
              <w:jc w:val="left"/>
            </w:pPr>
            <w:r>
              <w:t xml:space="preserve">CDN caching, backup targets, data lakes</w:t>
            </w:r>
          </w:p>
        </w:tc>
      </w:tr>
      <w:tr>
        <w:tc>
          <w:tcPr/>
          <w:p>
            <w:pPr>
              <w:pStyle w:val="Compact"/>
              <w:jc w:val="left"/>
            </w:pPr>
            <w:r>
              <w:rPr>
                <w:b/>
                <w:bCs/>
              </w:rPr>
              <w:t xml:space="preserve">Connectivity Hub</w:t>
            </w:r>
          </w:p>
        </w:tc>
        <w:tc>
          <w:tcPr/>
          <w:p>
            <w:pPr>
              <w:pStyle w:val="Compact"/>
              <w:jc w:val="left"/>
            </w:pPr>
            <w:r>
              <w:t xml:space="preserve">4</w:t>
            </w:r>
          </w:p>
        </w:tc>
        <w:tc>
          <w:tcPr/>
          <w:p>
            <w:pPr>
              <w:pStyle w:val="Compact"/>
              <w:jc w:val="left"/>
            </w:pPr>
            <w:r>
              <w:t xml:space="preserve">1</w:t>
            </w:r>
          </w:p>
        </w:tc>
        <w:tc>
          <w:tcPr/>
          <w:p>
            <w:pPr>
              <w:pStyle w:val="Compact"/>
              <w:jc w:val="left"/>
            </w:pPr>
            <w:r>
              <w:t xml:space="preserve">1</w:t>
            </w:r>
          </w:p>
        </w:tc>
        <w:tc>
          <w:tcPr/>
          <w:p>
            <w:pPr>
              <w:pStyle w:val="Compact"/>
              <w:jc w:val="left"/>
            </w:pPr>
            <w:r>
              <w:t xml:space="preserve">100kW</w:t>
            </w:r>
          </w:p>
        </w:tc>
        <w:tc>
          <w:tcPr/>
          <w:p>
            <w:pPr>
              <w:pStyle w:val="Compact"/>
              <w:jc w:val="left"/>
            </w:pPr>
            <w:r>
              <w:t xml:space="preserve">IXP, peering, CDN offload, network functions</w:t>
            </w:r>
          </w:p>
        </w:tc>
      </w:tr>
      <w:tr>
        <w:tc>
          <w:tcPr/>
          <w:p>
            <w:pPr>
              <w:pStyle w:val="Compact"/>
              <w:jc w:val="left"/>
            </w:pPr>
            <w:r>
              <w:rPr>
                <w:b/>
                <w:bCs/>
              </w:rPr>
              <w:t xml:space="preserve">Government / Secure</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150kW</w:t>
            </w:r>
          </w:p>
        </w:tc>
        <w:tc>
          <w:tcPr/>
          <w:p>
            <w:pPr>
              <w:pStyle w:val="Compact"/>
              <w:jc w:val="left"/>
            </w:pPr>
            <w:r>
              <w:t xml:space="preserve">FedRAMP workloads, CJIS, classified-adjacent</w:t>
            </w:r>
          </w:p>
        </w:tc>
      </w:tr>
      <w:tr>
        <w:tc>
          <w:tcPr/>
          <w:p>
            <w:pPr>
              <w:pStyle w:val="Compact"/>
              <w:jc w:val="left"/>
            </w:pPr>
            <w:r>
              <w:rPr>
                <w:b/>
                <w:bCs/>
              </w:rPr>
              <w:t xml:space="preserve">DePIN Backbone</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180kW</w:t>
            </w:r>
          </w:p>
        </w:tc>
        <w:tc>
          <w:tcPr/>
          <w:p>
            <w:pPr>
              <w:pStyle w:val="Compact"/>
              <w:jc w:val="left"/>
            </w:pPr>
            <w:r>
              <w:t xml:space="preserve">Validator hosting, DePIN compute, token settlement</w:t>
            </w:r>
          </w:p>
        </w:tc>
      </w:tr>
    </w:tbl>
    <w:p>
      <w:pPr>
        <w:pStyle w:val="BodyText"/>
      </w:pPr>
      <w:r>
        <w:t xml:space="preserve">Profiles are not static. The AI control plane monitors utilization patterns and can recommend hardware rebalancing during scheduled maintenance windows — swapping storage shelves for GPU trays, or adding compute nodes where demand has shifted. The modular rack-based architecture makes this a field-serviceable operation.</w:t>
      </w:r>
    </w:p>
    <w:bookmarkEnd w:id="34"/>
    <w:bookmarkStart w:id="35" w:name="site-hardening-and-physical-security"/>
    <w:p>
      <w:pPr>
        <w:pStyle w:val="Heading4"/>
      </w:pPr>
      <w:r>
        <w:t xml:space="preserve">Site Hardening and Physical Security</w:t>
      </w:r>
    </w:p>
    <w:p>
      <w:pPr>
        <w:pStyle w:val="FirstParagraph"/>
      </w:pPr>
      <w:r>
        <w:t xml:space="preserve">Every ANDD edge node implements a physical security posture appropriate to its customer mix:</w:t>
      </w:r>
    </w:p>
    <w:p>
      <w:pPr>
        <w:pStyle w:val="BodyText"/>
      </w:pPr>
      <w:r>
        <w:rPr>
          <w:b/>
          <w:bCs/>
        </w:rPr>
        <w:t xml:space="preserve">Standard sites (all deployments):</w:t>
      </w:r>
      <w:r>
        <w:t xml:space="preserve"> </w:t>
      </w:r>
      <w:r>
        <w:t xml:space="preserve">- Locked, windowless enclosure with steel-reinforced walls</w:t>
      </w:r>
      <w:r>
        <w:t xml:space="preserve"> </w:t>
      </w:r>
      <w:r>
        <w:t xml:space="preserve">- Biometric (fingerprint or facial) + badge access control with full audit logging</w:t>
      </w:r>
      <w:r>
        <w:t xml:space="preserve"> </w:t>
      </w:r>
      <w:r>
        <w:t xml:space="preserve">- 24/7 AI-monitored video surveillance (interior and perimeter) with automated anomaly detection</w:t>
      </w:r>
      <w:r>
        <w:t xml:space="preserve"> </w:t>
      </w:r>
      <w:r>
        <w:t xml:space="preserve">- Tamper-evident rack enclosures with door sensors</w:t>
      </w:r>
      <w:r>
        <w:t xml:space="preserve"> </w:t>
      </w:r>
      <w:r>
        <w:t xml:space="preserve">- Environmental monitoring: temperature, humidity, water leak, smoke, seismic</w:t>
      </w:r>
      <w:r>
        <w:t xml:space="preserve"> </w:t>
      </w:r>
      <w:r>
        <w:t xml:space="preserve">- No signage indicating the facility is a datacenter (low-profile deployment)</w:t>
      </w:r>
    </w:p>
    <w:p>
      <w:pPr>
        <w:pStyle w:val="BodyText"/>
      </w:pPr>
      <w:r>
        <w:rPr>
          <w:b/>
          <w:bCs/>
        </w:rPr>
        <w:t xml:space="preserve">Enhanced sites (government, fintech, defense-adjacent):</w:t>
      </w:r>
      <w:r>
        <w:t xml:space="preserve"> </w:t>
      </w:r>
      <w:r>
        <w:t xml:space="preserve">- Man-trap entry vestibule</w:t>
      </w:r>
      <w:r>
        <w:t xml:space="preserve"> </w:t>
      </w:r>
      <w:r>
        <w:t xml:space="preserve">- SCIF-compatible construction options (TEMPEST shielding, acoustic isolation, RF containment)</w:t>
      </w:r>
      <w:r>
        <w:t xml:space="preserve"> </w:t>
      </w:r>
      <w:r>
        <w:t xml:space="preserve">- Security guard post or rapid-response contract</w:t>
      </w:r>
      <w:r>
        <w:t xml:space="preserve"> </w:t>
      </w:r>
      <w:r>
        <w:t xml:space="preserve">- Anti-vehicle barriers (bollards) for facilities in high-risk areas</w:t>
      </w:r>
      <w:r>
        <w:t xml:space="preserve"> </w:t>
      </w:r>
      <w:r>
        <w:t xml:space="preserve">- EMI/EMP hardening options for defense customers</w:t>
      </w:r>
      <w:r>
        <w:t xml:space="preserve"> </w:t>
      </w:r>
      <w:r>
        <w:t xml:space="preserve">- Separate physical cages for tenant-dedicated hardware with independent access controls</w:t>
      </w:r>
    </w:p>
    <w:p>
      <w:r>
        <w:pict>
          <v:rect style="width:0;height:1.5pt" o:hralign="center" o:hrstd="t" o:hr="t"/>
        </w:pict>
      </w:r>
    </w:p>
    <w:bookmarkEnd w:id="35"/>
    <w:bookmarkEnd w:id="36"/>
    <w:bookmarkEnd w:id="37"/>
    <w:bookmarkStart w:id="45" w:name="technical-architecture"/>
    <w:p>
      <w:pPr>
        <w:pStyle w:val="Heading2"/>
      </w:pPr>
      <w:r>
        <w:t xml:space="preserve">4. Technical Architecture</w:t>
      </w:r>
    </w:p>
    <w:bookmarkStart w:id="42" w:name="four-hardware-domains"/>
    <w:p>
      <w:pPr>
        <w:pStyle w:val="Heading3"/>
      </w:pPr>
      <w:r>
        <w:t xml:space="preserve">4.1 Four Hardware Domains</w:t>
      </w:r>
    </w:p>
    <w:p>
      <w:pPr>
        <w:pStyle w:val="FirstParagraph"/>
      </w:pPr>
      <w:r>
        <w:t xml:space="preserve">Each ANDD site deploys a configurable mix across four hardware domains. The ratio is determined by the AI control plane based on local demand signals, regional workload patterns, and network-wide capacity optimization.</w:t>
      </w:r>
    </w:p>
    <w:bookmarkStart w:id="38" w:name="compute"/>
    <w:p>
      <w:pPr>
        <w:pStyle w:val="Heading4"/>
      </w:pPr>
      <w:r>
        <w:t xml:space="preserve">4.1.1 Compute</w:t>
      </w:r>
    </w:p>
    <w:tbl>
      <w:tblPr>
        <w:tblStyle w:val="Table"/>
        <w:tblW w:type="pct" w:w="5000"/>
        <w:jc w:val="left"/>
        <w:tblLayout w:type="fixed"/>
        <w:tblLook w:firstRow="1" w:lastRow="0" w:firstColumn="0" w:lastColumn="0" w:noHBand="0" w:noVBand="0" w:val="0020"/>
      </w:tblPr>
      <w:tblGrid>
        <w:gridCol w:w="3484"/>
        <w:gridCol w:w="4435"/>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Platform</w:t>
            </w:r>
          </w:p>
        </w:tc>
        <w:tc>
          <w:tcPr/>
          <w:p>
            <w:pPr>
              <w:pStyle w:val="Compact"/>
              <w:jc w:val="left"/>
            </w:pPr>
            <w:r>
              <w:t xml:space="preserve">High-density 1U/2U servers, ARM and x86</w:t>
            </w:r>
          </w:p>
        </w:tc>
      </w:tr>
      <w:tr>
        <w:tc>
          <w:tcPr/>
          <w:p>
            <w:pPr>
              <w:pStyle w:val="Compact"/>
              <w:jc w:val="left"/>
            </w:pPr>
            <w:r>
              <w:t xml:space="preserve">Processors</w:t>
            </w:r>
          </w:p>
        </w:tc>
        <w:tc>
          <w:tcPr/>
          <w:p>
            <w:pPr>
              <w:pStyle w:val="Compact"/>
              <w:jc w:val="left"/>
            </w:pPr>
            <w:r>
              <w:t xml:space="preserve">AMD EPYC 9004 series / Intel Xeon 6 / Ampere Altra Max</w:t>
            </w:r>
          </w:p>
        </w:tc>
      </w:tr>
      <w:tr>
        <w:tc>
          <w:tcPr/>
          <w:p>
            <w:pPr>
              <w:pStyle w:val="Compact"/>
              <w:jc w:val="left"/>
            </w:pPr>
            <w:r>
              <w:t xml:space="preserve">Memory</w:t>
            </w:r>
          </w:p>
        </w:tc>
        <w:tc>
          <w:tcPr/>
          <w:p>
            <w:pPr>
              <w:pStyle w:val="Compact"/>
              <w:jc w:val="left"/>
            </w:pPr>
            <w:r>
              <w:t xml:space="preserve">256GB–1TB DDR5 per node</w:t>
            </w:r>
          </w:p>
        </w:tc>
      </w:tr>
      <w:tr>
        <w:tc>
          <w:tcPr/>
          <w:p>
            <w:pPr>
              <w:pStyle w:val="Compact"/>
              <w:jc w:val="left"/>
            </w:pPr>
            <w:r>
              <w:t xml:space="preserve">Density</w:t>
            </w:r>
          </w:p>
        </w:tc>
        <w:tc>
          <w:tcPr/>
          <w:p>
            <w:pPr>
              <w:pStyle w:val="Compact"/>
              <w:jc w:val="left"/>
            </w:pPr>
            <w:r>
              <w:t xml:space="preserve">20–40kW per rack</w:t>
            </w:r>
          </w:p>
        </w:tc>
      </w:tr>
      <w:tr>
        <w:tc>
          <w:tcPr/>
          <w:p>
            <w:pPr>
              <w:pStyle w:val="Compact"/>
              <w:jc w:val="left"/>
            </w:pPr>
            <w:r>
              <w:t xml:space="preserve">Use Cases</w:t>
            </w:r>
          </w:p>
        </w:tc>
        <w:tc>
          <w:tcPr/>
          <w:p>
            <w:pPr>
              <w:pStyle w:val="Compact"/>
              <w:jc w:val="left"/>
            </w:pPr>
            <w:r>
              <w:t xml:space="preserve">Containerized workloads, VM hosting, CI/CD, general-purpose compute</w:t>
            </w:r>
          </w:p>
        </w:tc>
      </w:tr>
    </w:tbl>
    <w:p>
      <w:pPr>
        <w:pStyle w:val="BodyText"/>
      </w:pPr>
      <w:r>
        <w:t xml:space="preserve">Compute nodes handle the broad base of edge workloads: web serving, API backends, database hosting, CI/CD pipelines, and general-purpose containerized applications. ARM-based servers (Ampere Altra) are deployed for power-efficient always-on workloads; x86 servers handle legacy compatibility and specialized HPC tasks.</w:t>
      </w:r>
    </w:p>
    <w:bookmarkEnd w:id="38"/>
    <w:bookmarkStart w:id="39" w:name="storage"/>
    <w:p>
      <w:pPr>
        <w:pStyle w:val="Heading4"/>
      </w:pPr>
      <w:r>
        <w:t xml:space="preserve">4.1.2 Storage</w:t>
      </w:r>
    </w:p>
    <w:tbl>
      <w:tblPr>
        <w:tblStyle w:val="Table"/>
        <w:tblW w:type="pct" w:w="5000"/>
        <w:jc w:val="left"/>
        <w:tblLayout w:type="fixed"/>
        <w:tblLook w:firstRow="1" w:lastRow="0" w:firstColumn="0" w:lastColumn="0" w:noHBand="0" w:noVBand="0" w:val="0020"/>
      </w:tblPr>
      <w:tblGrid>
        <w:gridCol w:w="3484"/>
        <w:gridCol w:w="4435"/>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Hot Tier</w:t>
            </w:r>
          </w:p>
        </w:tc>
        <w:tc>
          <w:tcPr/>
          <w:p>
            <w:pPr>
              <w:pStyle w:val="Compact"/>
              <w:jc w:val="left"/>
            </w:pPr>
            <w:r>
              <w:t xml:space="preserve">NVMe SSD arrays, 100TB–500TB per site</w:t>
            </w:r>
          </w:p>
        </w:tc>
      </w:tr>
      <w:tr>
        <w:tc>
          <w:tcPr/>
          <w:p>
            <w:pPr>
              <w:pStyle w:val="Compact"/>
              <w:jc w:val="left"/>
            </w:pPr>
            <w:r>
              <w:t xml:space="preserve">Warm Tier</w:t>
            </w:r>
          </w:p>
        </w:tc>
        <w:tc>
          <w:tcPr/>
          <w:p>
            <w:pPr>
              <w:pStyle w:val="Compact"/>
              <w:jc w:val="left"/>
            </w:pPr>
            <w:r>
              <w:t xml:space="preserve">QLC SSD / high-density HDD, 500TB–2PB per site</w:t>
            </w:r>
          </w:p>
        </w:tc>
      </w:tr>
      <w:tr>
        <w:tc>
          <w:tcPr/>
          <w:p>
            <w:pPr>
              <w:pStyle w:val="Compact"/>
              <w:jc w:val="left"/>
            </w:pPr>
            <w:r>
              <w:t xml:space="preserve">Protocol</w:t>
            </w:r>
          </w:p>
        </w:tc>
        <w:tc>
          <w:tcPr/>
          <w:p>
            <w:pPr>
              <w:pStyle w:val="Compact"/>
              <w:jc w:val="left"/>
            </w:pPr>
            <w:r>
              <w:t xml:space="preserve">S3-compatible object, NFS/SMB block, distributed file system</w:t>
            </w:r>
          </w:p>
        </w:tc>
      </w:tr>
      <w:tr>
        <w:tc>
          <w:tcPr/>
          <w:p>
            <w:pPr>
              <w:pStyle w:val="Compact"/>
              <w:jc w:val="left"/>
            </w:pPr>
            <w:r>
              <w:t xml:space="preserve">Replication</w:t>
            </w:r>
          </w:p>
        </w:tc>
        <w:tc>
          <w:tcPr/>
          <w:p>
            <w:pPr>
              <w:pStyle w:val="Compact"/>
              <w:jc w:val="left"/>
            </w:pPr>
            <w:r>
              <w:t xml:space="preserve">Erasure coding across 3+ nodes, cross-site replication configurable</w:t>
            </w:r>
          </w:p>
        </w:tc>
      </w:tr>
      <w:tr>
        <w:tc>
          <w:tcPr/>
          <w:p>
            <w:pPr>
              <w:pStyle w:val="Compact"/>
              <w:jc w:val="left"/>
            </w:pPr>
            <w:r>
              <w:t xml:space="preserve">Use Cases</w:t>
            </w:r>
          </w:p>
        </w:tc>
        <w:tc>
          <w:tcPr/>
          <w:p>
            <w:pPr>
              <w:pStyle w:val="Compact"/>
              <w:jc w:val="left"/>
            </w:pPr>
            <w:r>
              <w:t xml:space="preserve">CDN caching, data lakes, AI training data staging, backup targets</w:t>
            </w:r>
          </w:p>
        </w:tc>
      </w:tr>
    </w:tbl>
    <w:p>
      <w:pPr>
        <w:pStyle w:val="BodyText"/>
      </w:pPr>
      <w:r>
        <w:t xml:space="preserve">Storage is distributed across the mesh using erasure coding. Data is chunked, encoded with redundancy, and spread across a minimum of three geographically distinct nodes. This provides durability exceeding 99.999999999% (11 nines) without requiring any single site to hold a complete copy — a critical property for data sovereignty and resilience.</w:t>
      </w:r>
    </w:p>
    <w:bookmarkEnd w:id="39"/>
    <w:bookmarkStart w:id="40" w:name="connectivity"/>
    <w:p>
      <w:pPr>
        <w:pStyle w:val="Heading4"/>
      </w:pPr>
      <w:r>
        <w:t xml:space="preserve">4.1.3 Connectivity</w:t>
      </w:r>
    </w:p>
    <w:tbl>
      <w:tblPr>
        <w:tblStyle w:val="Table"/>
        <w:tblW w:type="pct" w:w="5000"/>
        <w:jc w:val="left"/>
        <w:tblLayout w:type="fixed"/>
        <w:tblLook w:firstRow="1" w:lastRow="0" w:firstColumn="0" w:lastColumn="0" w:noHBand="0" w:noVBand="0" w:val="0020"/>
      </w:tblPr>
      <w:tblGrid>
        <w:gridCol w:w="3484"/>
        <w:gridCol w:w="4435"/>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Internal Fabric</w:t>
            </w:r>
          </w:p>
        </w:tc>
        <w:tc>
          <w:tcPr/>
          <w:p>
            <w:pPr>
              <w:pStyle w:val="Compact"/>
              <w:jc w:val="left"/>
            </w:pPr>
            <w:r>
              <w:t xml:space="preserve">100GbE leaf-spine, upgradable to 400GbE</w:t>
            </w:r>
          </w:p>
        </w:tc>
      </w:tr>
      <w:tr>
        <w:tc>
          <w:tcPr/>
          <w:p>
            <w:pPr>
              <w:pStyle w:val="Compact"/>
              <w:jc w:val="left"/>
            </w:pPr>
            <w:r>
              <w:t xml:space="preserve">Backhaul</w:t>
            </w:r>
          </w:p>
        </w:tc>
        <w:tc>
          <w:tcPr/>
          <w:p>
            <w:pPr>
              <w:pStyle w:val="Compact"/>
              <w:jc w:val="left"/>
            </w:pPr>
            <w:r>
              <w:t xml:space="preserve">10–100 Gbps fiber (primary), diverse redundant path</w:t>
            </w:r>
          </w:p>
        </w:tc>
      </w:tr>
      <w:tr>
        <w:tc>
          <w:tcPr/>
          <w:p>
            <w:pPr>
              <w:pStyle w:val="Compact"/>
              <w:jc w:val="left"/>
            </w:pPr>
            <w:r>
              <w:t xml:space="preserve">Peering</w:t>
            </w:r>
          </w:p>
        </w:tc>
        <w:tc>
          <w:tcPr/>
          <w:p>
            <w:pPr>
              <w:pStyle w:val="Compact"/>
              <w:jc w:val="left"/>
            </w:pPr>
            <w:r>
              <w:t xml:space="preserve">Direct peering with regional ISPs, CDNs, cloud on-ramps</w:t>
            </w:r>
          </w:p>
        </w:tc>
      </w:tr>
      <w:tr>
        <w:tc>
          <w:tcPr/>
          <w:p>
            <w:pPr>
              <w:pStyle w:val="Compact"/>
              <w:jc w:val="left"/>
            </w:pPr>
            <w:r>
              <w:t xml:space="preserve">Wireless</w:t>
            </w:r>
          </w:p>
        </w:tc>
        <w:tc>
          <w:tcPr/>
          <w:p>
            <w:pPr>
              <w:pStyle w:val="Compact"/>
              <w:jc w:val="left"/>
            </w:pPr>
            <w:r>
              <w:t xml:space="preserve">5G/LTE-A small cells, CBRS spectrum where applicable</w:t>
            </w:r>
          </w:p>
        </w:tc>
      </w:tr>
      <w:tr>
        <w:tc>
          <w:tcPr/>
          <w:p>
            <w:pPr>
              <w:pStyle w:val="Compact"/>
              <w:jc w:val="left"/>
            </w:pPr>
            <w:r>
              <w:t xml:space="preserve">Specialized</w:t>
            </w:r>
          </w:p>
        </w:tc>
        <w:tc>
          <w:tcPr/>
          <w:p>
            <w:pPr>
              <w:pStyle w:val="Compact"/>
              <w:jc w:val="left"/>
            </w:pPr>
            <w:r>
              <w:t xml:space="preserve">Defense network interconnection (SIPRNet/NIPRNet gateway capable)</w:t>
            </w:r>
          </w:p>
        </w:tc>
      </w:tr>
    </w:tbl>
    <w:p>
      <w:pPr>
        <w:pStyle w:val="BodyText"/>
      </w:pPr>
      <w:r>
        <w:t xml:space="preserve">Each site functions as a micro-exchange point. Local ISPs, wireless carriers, and enterprise customers can interconnect directly, reducing the distance data must travel and eliminating dependence on distant peering points. For government and defense customers, sites can be equipped with cross-domain solutions enabling controlled connectivity to classified networks.</w:t>
      </w:r>
    </w:p>
    <w:bookmarkEnd w:id="40"/>
    <w:bookmarkStart w:id="41" w:name="ai-hardware"/>
    <w:p>
      <w:pPr>
        <w:pStyle w:val="Heading4"/>
      </w:pPr>
      <w:r>
        <w:t xml:space="preserve">4.1.4 AI Hardware</w:t>
      </w:r>
    </w:p>
    <w:p>
      <w:pPr>
        <w:pStyle w:val="FirstParagraph"/>
      </w:pPr>
      <w:r>
        <w:rPr>
          <w:b/>
          <w:bCs/>
        </w:rPr>
        <w:t xml:space="preserve">Accelerator Specifications:</w:t>
      </w:r>
    </w:p>
    <w:tbl>
      <w:tblPr>
        <w:tblStyle w:val="Table"/>
        <w:tblW w:type="pct" w:w="5000"/>
        <w:jc w:val="left"/>
        <w:tblLayout w:type="fixed"/>
        <w:tblLook w:firstRow="1" w:lastRow="0" w:firstColumn="0" w:lastColumn="0" w:noHBand="0" w:noVBand="0" w:val="0020"/>
      </w:tblPr>
      <w:tblGrid>
        <w:gridCol w:w="1660"/>
        <w:gridCol w:w="1660"/>
        <w:gridCol w:w="1021"/>
        <w:gridCol w:w="1405"/>
        <w:gridCol w:w="2171"/>
      </w:tblGrid>
      <w:tr>
        <w:trPr>
          <w:tblHeader w:val="on"/>
        </w:trPr>
        <w:tc>
          <w:tcPr/>
          <w:p>
            <w:pPr>
              <w:pStyle w:val="Compact"/>
              <w:jc w:val="left"/>
            </w:pPr>
            <w:r>
              <w:t xml:space="preserve">Accelerator</w:t>
            </w:r>
          </w:p>
        </w:tc>
        <w:tc>
          <w:tcPr/>
          <w:p>
            <w:pPr>
              <w:pStyle w:val="Compact"/>
              <w:jc w:val="left"/>
            </w:pPr>
            <w:r>
              <w:t xml:space="preserve">TDP (Watts)</w:t>
            </w:r>
          </w:p>
        </w:tc>
        <w:tc>
          <w:tcPr/>
          <w:p>
            <w:pPr>
              <w:pStyle w:val="Compact"/>
              <w:jc w:val="left"/>
            </w:pPr>
            <w:r>
              <w:t xml:space="preserve">Memory</w:t>
            </w:r>
          </w:p>
        </w:tc>
        <w:tc>
          <w:tcPr/>
          <w:p>
            <w:pPr>
              <w:pStyle w:val="Compact"/>
              <w:jc w:val="left"/>
            </w:pPr>
            <w:r>
              <w:t xml:space="preserve">Memory BW</w:t>
            </w:r>
          </w:p>
        </w:tc>
        <w:tc>
          <w:tcPr/>
          <w:p>
            <w:pPr>
              <w:pStyle w:val="Compact"/>
              <w:jc w:val="left"/>
            </w:pPr>
            <w:r>
              <w:t xml:space="preserve">Deployment Tier</w:t>
            </w:r>
          </w:p>
        </w:tc>
      </w:tr>
      <w:tr>
        <w:tc>
          <w:tcPr/>
          <w:p>
            <w:pPr>
              <w:pStyle w:val="Compact"/>
              <w:jc w:val="left"/>
            </w:pPr>
            <w:r>
              <w:t xml:space="preserve">NVIDIA L40S</w:t>
            </w:r>
          </w:p>
        </w:tc>
        <w:tc>
          <w:tcPr/>
          <w:p>
            <w:pPr>
              <w:pStyle w:val="Compact"/>
              <w:jc w:val="left"/>
            </w:pPr>
            <w:r>
              <w:t xml:space="preserve">300W</w:t>
            </w:r>
          </w:p>
        </w:tc>
        <w:tc>
          <w:tcPr/>
          <w:p>
            <w:pPr>
              <w:pStyle w:val="Compact"/>
              <w:jc w:val="left"/>
            </w:pPr>
            <w:r>
              <w:t xml:space="preserve">48GB GDDR6X</w:t>
            </w:r>
          </w:p>
        </w:tc>
        <w:tc>
          <w:tcPr/>
          <w:p>
            <w:pPr>
              <w:pStyle w:val="Compact"/>
              <w:jc w:val="left"/>
            </w:pPr>
            <w:r>
              <w:t xml:space="preserve">864 GB/s</w:t>
            </w:r>
          </w:p>
        </w:tc>
        <w:tc>
          <w:tcPr/>
          <w:p>
            <w:pPr>
              <w:pStyle w:val="Compact"/>
              <w:jc w:val="left"/>
            </w:pPr>
            <w:r>
              <w:t xml:space="preserve">Edge Node (inference)</w:t>
            </w:r>
          </w:p>
        </w:tc>
      </w:tr>
      <w:tr>
        <w:tc>
          <w:tcPr/>
          <w:p>
            <w:pPr>
              <w:pStyle w:val="Compact"/>
              <w:jc w:val="left"/>
            </w:pPr>
            <w:r>
              <w:t xml:space="preserve">NVIDIA L4</w:t>
            </w:r>
          </w:p>
        </w:tc>
        <w:tc>
          <w:tcPr/>
          <w:p>
            <w:pPr>
              <w:pStyle w:val="Compact"/>
              <w:jc w:val="left"/>
            </w:pPr>
            <w:r>
              <w:t xml:space="preserve">72W</w:t>
            </w:r>
          </w:p>
        </w:tc>
        <w:tc>
          <w:tcPr/>
          <w:p>
            <w:pPr>
              <w:pStyle w:val="Compact"/>
              <w:jc w:val="left"/>
            </w:pPr>
            <w:r>
              <w:t xml:space="preserve">24GB GDDR6</w:t>
            </w:r>
          </w:p>
        </w:tc>
        <w:tc>
          <w:tcPr/>
          <w:p>
            <w:pPr>
              <w:pStyle w:val="Compact"/>
              <w:jc w:val="left"/>
            </w:pPr>
            <w:r>
              <w:t xml:space="preserve">300 GB/s</w:t>
            </w:r>
          </w:p>
        </w:tc>
        <w:tc>
          <w:tcPr/>
          <w:p>
            <w:pPr>
              <w:pStyle w:val="Compact"/>
              <w:jc w:val="left"/>
            </w:pPr>
            <w:r>
              <w:t xml:space="preserve">Edge Node (efficient inference)</w:t>
            </w:r>
          </w:p>
        </w:tc>
      </w:tr>
      <w:tr>
        <w:tc>
          <w:tcPr/>
          <w:p>
            <w:pPr>
              <w:pStyle w:val="Compact"/>
              <w:jc w:val="left"/>
            </w:pPr>
            <w:r>
              <w:t xml:space="preserve">AMD Instinct MI300X</w:t>
            </w:r>
          </w:p>
        </w:tc>
        <w:tc>
          <w:tcPr/>
          <w:p>
            <w:pPr>
              <w:pStyle w:val="Compact"/>
              <w:jc w:val="left"/>
            </w:pPr>
            <w:r>
              <w:t xml:space="preserve">750W</w:t>
            </w:r>
          </w:p>
        </w:tc>
        <w:tc>
          <w:tcPr/>
          <w:p>
            <w:pPr>
              <w:pStyle w:val="Compact"/>
              <w:jc w:val="left"/>
            </w:pPr>
            <w:r>
              <w:t xml:space="preserve">192GB HBM3</w:t>
            </w:r>
          </w:p>
        </w:tc>
        <w:tc>
          <w:tcPr/>
          <w:p>
            <w:pPr>
              <w:pStyle w:val="Compact"/>
              <w:jc w:val="left"/>
            </w:pPr>
            <w:r>
              <w:t xml:space="preserve">5.3 TB/s</w:t>
            </w:r>
          </w:p>
        </w:tc>
        <w:tc>
          <w:tcPr/>
          <w:p>
            <w:pPr>
              <w:pStyle w:val="Compact"/>
              <w:jc w:val="left"/>
            </w:pPr>
            <w:r>
              <w:t xml:space="preserve">Edge Node / Hub (inference)</w:t>
            </w:r>
          </w:p>
        </w:tc>
      </w:tr>
      <w:tr>
        <w:tc>
          <w:tcPr/>
          <w:p>
            <w:pPr>
              <w:pStyle w:val="Compact"/>
              <w:jc w:val="left"/>
            </w:pPr>
            <w:r>
              <w:t xml:space="preserve">AMD Instinct MI325X</w:t>
            </w:r>
          </w:p>
        </w:tc>
        <w:tc>
          <w:tcPr/>
          <w:p>
            <w:pPr>
              <w:pStyle w:val="Compact"/>
              <w:jc w:val="left"/>
            </w:pPr>
            <w:r>
              <w:t xml:space="preserve">750W</w:t>
            </w:r>
          </w:p>
        </w:tc>
        <w:tc>
          <w:tcPr/>
          <w:p>
            <w:pPr>
              <w:pStyle w:val="Compact"/>
              <w:jc w:val="left"/>
            </w:pPr>
            <w:r>
              <w:t xml:space="preserve">256GB HBM3e</w:t>
            </w:r>
          </w:p>
        </w:tc>
        <w:tc>
          <w:tcPr/>
          <w:p>
            <w:pPr>
              <w:pStyle w:val="Compact"/>
              <w:jc w:val="left"/>
            </w:pPr>
            <w:r>
              <w:t xml:space="preserve">6.0 TB/s</w:t>
            </w:r>
          </w:p>
        </w:tc>
        <w:tc>
          <w:tcPr/>
          <w:p>
            <w:pPr>
              <w:pStyle w:val="Compact"/>
              <w:jc w:val="left"/>
            </w:pPr>
            <w:r>
              <w:t xml:space="preserve">Edge Node / Hub (large model inference)</w:t>
            </w:r>
          </w:p>
        </w:tc>
      </w:tr>
      <w:tr>
        <w:tc>
          <w:tcPr/>
          <w:p>
            <w:pPr>
              <w:pStyle w:val="Compact"/>
              <w:jc w:val="left"/>
            </w:pPr>
            <w:r>
              <w:t xml:space="preserve">Intel Gaudi 3</w:t>
            </w:r>
          </w:p>
        </w:tc>
        <w:tc>
          <w:tcPr/>
          <w:p>
            <w:pPr>
              <w:pStyle w:val="Compact"/>
              <w:jc w:val="left"/>
            </w:pPr>
            <w:r>
              <w:t xml:space="preserve">~600W</w:t>
            </w:r>
          </w:p>
        </w:tc>
        <w:tc>
          <w:tcPr/>
          <w:p>
            <w:pPr>
              <w:pStyle w:val="Compact"/>
              <w:jc w:val="left"/>
            </w:pPr>
            <w:r>
              <w:t xml:space="preserve">128GB HBM2e</w:t>
            </w:r>
          </w:p>
        </w:tc>
        <w:tc>
          <w:tcPr/>
          <w:p>
            <w:pPr>
              <w:pStyle w:val="Compact"/>
              <w:jc w:val="left"/>
            </w:pPr>
            <w:r>
              <w:t xml:space="preserve">3.7 TB/s</w:t>
            </w:r>
          </w:p>
        </w:tc>
        <w:tc>
          <w:tcPr/>
          <w:p>
            <w:pPr>
              <w:pStyle w:val="Compact"/>
              <w:jc w:val="left"/>
            </w:pPr>
            <w:r>
              <w:t xml:space="preserve">Edge Node (cost-efficient inference)</w:t>
            </w:r>
          </w:p>
        </w:tc>
      </w:tr>
      <w:tr>
        <w:tc>
          <w:tcPr/>
          <w:p>
            <w:pPr>
              <w:pStyle w:val="Compact"/>
              <w:jc w:val="left"/>
            </w:pPr>
            <w:r>
              <w:t xml:space="preserve">NVIDIA H100 SXM</w:t>
            </w:r>
          </w:p>
        </w:tc>
        <w:tc>
          <w:tcPr/>
          <w:p>
            <w:pPr>
              <w:pStyle w:val="Compact"/>
              <w:jc w:val="left"/>
            </w:pPr>
            <w:r>
              <w:t xml:space="preserve">700W</w:t>
            </w:r>
          </w:p>
        </w:tc>
        <w:tc>
          <w:tcPr/>
          <w:p>
            <w:pPr>
              <w:pStyle w:val="Compact"/>
              <w:jc w:val="left"/>
            </w:pPr>
            <w:r>
              <w:t xml:space="preserve">80GB HBM3</w:t>
            </w:r>
          </w:p>
        </w:tc>
        <w:tc>
          <w:tcPr/>
          <w:p>
            <w:pPr>
              <w:pStyle w:val="Compact"/>
              <w:jc w:val="left"/>
            </w:pPr>
            <w:r>
              <w:t xml:space="preserve">3.35 TB/s</w:t>
            </w:r>
          </w:p>
        </w:tc>
        <w:tc>
          <w:tcPr/>
          <w:p>
            <w:pPr>
              <w:pStyle w:val="Compact"/>
              <w:jc w:val="left"/>
            </w:pPr>
            <w:r>
              <w:t xml:space="preserve">Regional Hub (training + inference)</w:t>
            </w:r>
          </w:p>
        </w:tc>
      </w:tr>
      <w:tr>
        <w:tc>
          <w:tcPr/>
          <w:p>
            <w:pPr>
              <w:pStyle w:val="Compact"/>
              <w:jc w:val="left"/>
            </w:pPr>
            <w:r>
              <w:t xml:space="preserve">NVIDIA H200 SXM</w:t>
            </w:r>
          </w:p>
        </w:tc>
        <w:tc>
          <w:tcPr/>
          <w:p>
            <w:pPr>
              <w:pStyle w:val="Compact"/>
              <w:jc w:val="left"/>
            </w:pPr>
            <w:r>
              <w:t xml:space="preserve">700W</w:t>
            </w:r>
          </w:p>
        </w:tc>
        <w:tc>
          <w:tcPr/>
          <w:p>
            <w:pPr>
              <w:pStyle w:val="Compact"/>
              <w:jc w:val="left"/>
            </w:pPr>
            <w:r>
              <w:t xml:space="preserve">141GB HBM3e</w:t>
            </w:r>
          </w:p>
        </w:tc>
        <w:tc>
          <w:tcPr/>
          <w:p>
            <w:pPr>
              <w:pStyle w:val="Compact"/>
              <w:jc w:val="left"/>
            </w:pPr>
            <w:r>
              <w:t xml:space="preserve">4.8 TB/s</w:t>
            </w:r>
          </w:p>
        </w:tc>
        <w:tc>
          <w:tcPr/>
          <w:p>
            <w:pPr>
              <w:pStyle w:val="Compact"/>
              <w:jc w:val="left"/>
            </w:pPr>
            <w:r>
              <w:t xml:space="preserve">Regional Hub (large model serving)</w:t>
            </w:r>
          </w:p>
        </w:tc>
      </w:tr>
      <w:tr>
        <w:tc>
          <w:tcPr/>
          <w:p>
            <w:pPr>
              <w:pStyle w:val="Compact"/>
              <w:jc w:val="left"/>
            </w:pPr>
            <w:r>
              <w:t xml:space="preserve">NVIDIA B200</w:t>
            </w:r>
          </w:p>
        </w:tc>
        <w:tc>
          <w:tcPr/>
          <w:p>
            <w:pPr>
              <w:pStyle w:val="Compact"/>
              <w:jc w:val="left"/>
            </w:pPr>
            <w:r>
              <w:t xml:space="preserve">1,000W</w:t>
            </w:r>
          </w:p>
        </w:tc>
        <w:tc>
          <w:tcPr/>
          <w:p>
            <w:pPr>
              <w:pStyle w:val="Compact"/>
              <w:jc w:val="left"/>
            </w:pPr>
            <w:r>
              <w:t xml:space="preserve">192GB HBM3e</w:t>
            </w:r>
          </w:p>
        </w:tc>
        <w:tc>
          <w:tcPr/>
          <w:p>
            <w:pPr>
              <w:pStyle w:val="Compact"/>
              <w:jc w:val="left"/>
            </w:pPr>
            <w:r>
              <w:t xml:space="preserve">8.0 TB/s</w:t>
            </w:r>
          </w:p>
        </w:tc>
        <w:tc>
          <w:tcPr/>
          <w:p>
            <w:pPr>
              <w:pStyle w:val="Compact"/>
              <w:jc w:val="left"/>
            </w:pPr>
            <w:r>
              <w:t xml:space="preserve">Regional Hub (training)</w:t>
            </w:r>
          </w:p>
        </w:tc>
      </w:tr>
      <w:tr>
        <w:tc>
          <w:tcPr/>
          <w:p>
            <w:pPr>
              <w:pStyle w:val="Compact"/>
              <w:jc w:val="left"/>
            </w:pPr>
            <w:r>
              <w:t xml:space="preserve">NVIDIA GB200 NVL2</w:t>
            </w:r>
          </w:p>
        </w:tc>
        <w:tc>
          <w:tcPr/>
          <w:p>
            <w:pPr>
              <w:pStyle w:val="Compact"/>
              <w:jc w:val="left"/>
            </w:pPr>
            <w:r>
              <w:t xml:space="preserve">2,700W</w:t>
            </w:r>
          </w:p>
        </w:tc>
        <w:tc>
          <w:tcPr/>
          <w:p>
            <w:pPr>
              <w:pStyle w:val="Compact"/>
              <w:jc w:val="left"/>
            </w:pPr>
            <w:r>
              <w:t xml:space="preserve">384GB HBM3e</w:t>
            </w:r>
          </w:p>
        </w:tc>
        <w:tc>
          <w:tcPr/>
          <w:p>
            <w:pPr>
              <w:pStyle w:val="Compact"/>
              <w:jc w:val="left"/>
            </w:pPr>
            <w:r>
              <w:t xml:space="preserve">16 TB/s</w:t>
            </w:r>
          </w:p>
        </w:tc>
        <w:tc>
          <w:tcPr/>
          <w:p>
            <w:pPr>
              <w:pStyle w:val="Compact"/>
              <w:jc w:val="left"/>
            </w:pPr>
            <w:r>
              <w:t xml:space="preserve">Regional Hub (liquid-cooled, Grace CPU + 2x B200)</w:t>
            </w:r>
          </w:p>
        </w:tc>
      </w:tr>
    </w:tbl>
    <w:p/>
    <w:tbl>
      <w:tblPr>
        <w:tblStyle w:val="Table"/>
        <w:tblW w:type="pct" w:w="5000"/>
        <w:jc w:val="left"/>
        <w:tblLayout w:type="fixed"/>
        <w:tblLook w:firstRow="1" w:lastRow="0" w:firstColumn="0" w:lastColumn="0" w:noHBand="0" w:noVBand="0" w:val="0020"/>
      </w:tblPr>
      <w:tblGrid>
        <w:gridCol w:w="3484"/>
        <w:gridCol w:w="4435"/>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Interconnect</w:t>
            </w:r>
          </w:p>
        </w:tc>
        <w:tc>
          <w:tcPr/>
          <w:p>
            <w:pPr>
              <w:pStyle w:val="Compact"/>
              <w:jc w:val="left"/>
            </w:pPr>
            <w:r>
              <w:t xml:space="preserve">NVLink / Infinity Fabric within rack; RoCE v2 across racks</w:t>
            </w:r>
          </w:p>
        </w:tc>
      </w:tr>
      <w:tr>
        <w:tc>
          <w:tcPr/>
          <w:p>
            <w:pPr>
              <w:pStyle w:val="Compact"/>
              <w:jc w:val="left"/>
            </w:pPr>
            <w:r>
              <w:t xml:space="preserve">Cooling</w:t>
            </w:r>
          </w:p>
        </w:tc>
        <w:tc>
          <w:tcPr/>
          <w:p>
            <w:pPr>
              <w:pStyle w:val="Compact"/>
              <w:jc w:val="left"/>
            </w:pPr>
            <w:r>
              <w:t xml:space="preserve">Direct liquid cooling mandatory for GPU racks (40–120kW/rack)</w:t>
            </w:r>
          </w:p>
        </w:tc>
      </w:tr>
      <w:tr>
        <w:tc>
          <w:tcPr/>
          <w:p>
            <w:pPr>
              <w:pStyle w:val="Compact"/>
              <w:jc w:val="left"/>
            </w:pPr>
            <w:r>
              <w:t xml:space="preserve">Rack Density</w:t>
            </w:r>
          </w:p>
        </w:tc>
        <w:tc>
          <w:tcPr/>
          <w:p>
            <w:pPr>
              <w:pStyle w:val="Compact"/>
              <w:jc w:val="left"/>
            </w:pPr>
            <w:r>
              <w:t xml:space="preserve">20–40kW (inference), 40–100kW (training), 120kW (GB200 NVL72)</w:t>
            </w:r>
          </w:p>
        </w:tc>
      </w:tr>
      <w:tr>
        <w:tc>
          <w:tcPr/>
          <w:p>
            <w:pPr>
              <w:pStyle w:val="Compact"/>
              <w:jc w:val="left"/>
            </w:pPr>
            <w:r>
              <w:t xml:space="preserve">Use Cases</w:t>
            </w:r>
          </w:p>
        </w:tc>
        <w:tc>
          <w:tcPr/>
          <w:p>
            <w:pPr>
              <w:pStyle w:val="Compact"/>
              <w:jc w:val="left"/>
            </w:pPr>
            <w:r>
              <w:t xml:space="preserve">Real-time inference, fine-tuning, RAG, AI-at-the-edge applications</w:t>
            </w:r>
          </w:p>
        </w:tc>
      </w:tr>
    </w:tbl>
    <w:p>
      <w:pPr>
        <w:pStyle w:val="BodyText"/>
      </w:pPr>
      <w:r>
        <w:rPr>
          <w:b/>
          <w:bCs/>
        </w:rPr>
        <w:t xml:space="preserve">Edge AI Workload Feasibility:</w:t>
      </w:r>
    </w:p>
    <w:tbl>
      <w:tblPr>
        <w:tblStyle w:val="Table"/>
        <w:tblW w:type="pct" w:w="5000"/>
        <w:jc w:val="left"/>
        <w:tblLayout w:type="fixed"/>
        <w:tblLook w:firstRow="1" w:lastRow="0" w:firstColumn="0" w:lastColumn="0" w:noHBand="0" w:noVBand="0" w:val="0020"/>
      </w:tblPr>
      <w:tblGrid>
        <w:gridCol w:w="1389"/>
        <w:gridCol w:w="2640"/>
        <w:gridCol w:w="2640"/>
        <w:gridCol w:w="1250"/>
      </w:tblGrid>
      <w:tr>
        <w:trPr>
          <w:tblHeader w:val="on"/>
        </w:trPr>
        <w:tc>
          <w:tcPr/>
          <w:p>
            <w:pPr>
              <w:pStyle w:val="Compact"/>
              <w:jc w:val="left"/>
            </w:pPr>
            <w:r>
              <w:t xml:space="preserve">Workload</w:t>
            </w:r>
          </w:p>
        </w:tc>
        <w:tc>
          <w:tcPr/>
          <w:p>
            <w:pPr>
              <w:pStyle w:val="Compact"/>
              <w:jc w:val="left"/>
            </w:pPr>
            <w:r>
              <w:t xml:space="preserve">Hardware Required</w:t>
            </w:r>
          </w:p>
        </w:tc>
        <w:tc>
          <w:tcPr/>
          <w:p>
            <w:pPr>
              <w:pStyle w:val="Compact"/>
              <w:jc w:val="left"/>
            </w:pPr>
            <w:r>
              <w:t xml:space="preserve">Power (per server)</w:t>
            </w:r>
          </w:p>
        </w:tc>
        <w:tc>
          <w:tcPr/>
          <w:p>
            <w:pPr>
              <w:pStyle w:val="Compact"/>
              <w:jc w:val="left"/>
            </w:pPr>
            <w:r>
              <w:t xml:space="preserve">Latency</w:t>
            </w:r>
          </w:p>
        </w:tc>
      </w:tr>
      <w:tr>
        <w:tc>
          <w:tcPr/>
          <w:p>
            <w:pPr>
              <w:pStyle w:val="Compact"/>
              <w:jc w:val="left"/>
            </w:pPr>
            <w:r>
              <w:t xml:space="preserve">LLM inference (7–13B params)</w:t>
            </w:r>
          </w:p>
        </w:tc>
        <w:tc>
          <w:tcPr/>
          <w:p>
            <w:pPr>
              <w:pStyle w:val="Compact"/>
              <w:jc w:val="left"/>
            </w:pPr>
            <w:r>
              <w:t xml:space="preserve">1x L40S or 1x MI300X</w:t>
            </w:r>
          </w:p>
        </w:tc>
        <w:tc>
          <w:tcPr/>
          <w:p>
            <w:pPr>
              <w:pStyle w:val="Compact"/>
              <w:jc w:val="left"/>
            </w:pPr>
            <w:r>
              <w:t xml:space="preserve">300–750W</w:t>
            </w:r>
          </w:p>
        </w:tc>
        <w:tc>
          <w:tcPr/>
          <w:p>
            <w:pPr>
              <w:pStyle w:val="Compact"/>
              <w:jc w:val="left"/>
            </w:pPr>
            <w:r>
              <w:t xml:space="preserve">20–100ms/token</w:t>
            </w:r>
          </w:p>
        </w:tc>
      </w:tr>
      <w:tr>
        <w:tc>
          <w:tcPr/>
          <w:p>
            <w:pPr>
              <w:pStyle w:val="Compact"/>
              <w:jc w:val="left"/>
            </w:pPr>
            <w:r>
              <w:t xml:space="preserve">LLM inference (70B params)</w:t>
            </w:r>
          </w:p>
        </w:tc>
        <w:tc>
          <w:tcPr/>
          <w:p>
            <w:pPr>
              <w:pStyle w:val="Compact"/>
              <w:jc w:val="left"/>
            </w:pPr>
            <w:r>
              <w:t xml:space="preserve">2–4x H100 PCIe or 1x MI300X</w:t>
            </w:r>
          </w:p>
        </w:tc>
        <w:tc>
          <w:tcPr/>
          <w:p>
            <w:pPr>
              <w:pStyle w:val="Compact"/>
              <w:jc w:val="left"/>
            </w:pPr>
            <w:r>
              <w:t xml:space="preserve">700W–1.4kW</w:t>
            </w:r>
          </w:p>
        </w:tc>
        <w:tc>
          <w:tcPr/>
          <w:p>
            <w:pPr>
              <w:pStyle w:val="Compact"/>
              <w:jc w:val="left"/>
            </w:pPr>
            <w:r>
              <w:t xml:space="preserve">50–200ms/token</w:t>
            </w:r>
          </w:p>
        </w:tc>
      </w:tr>
      <w:tr>
        <w:tc>
          <w:tcPr/>
          <w:p>
            <w:pPr>
              <w:pStyle w:val="Compact"/>
              <w:jc w:val="left"/>
            </w:pPr>
            <w:r>
              <w:t xml:space="preserve">Real-time image/video inference</w:t>
            </w:r>
          </w:p>
        </w:tc>
        <w:tc>
          <w:tcPr/>
          <w:p>
            <w:pPr>
              <w:pStyle w:val="Compact"/>
              <w:jc w:val="left"/>
            </w:pPr>
            <w:r>
              <w:t xml:space="preserve">1x L4</w:t>
            </w:r>
          </w:p>
        </w:tc>
        <w:tc>
          <w:tcPr/>
          <w:p>
            <w:pPr>
              <w:pStyle w:val="Compact"/>
              <w:jc w:val="left"/>
            </w:pPr>
            <w:r>
              <w:t xml:space="preserve">72W</w:t>
            </w:r>
          </w:p>
        </w:tc>
        <w:tc>
          <w:tcPr/>
          <w:p>
            <w:pPr>
              <w:pStyle w:val="Compact"/>
              <w:jc w:val="left"/>
            </w:pPr>
            <w:r>
              <w:t xml:space="preserve">5–20ms</w:t>
            </w:r>
          </w:p>
        </w:tc>
      </w:tr>
      <w:tr>
        <w:tc>
          <w:tcPr/>
          <w:p>
            <w:pPr>
              <w:pStyle w:val="Compact"/>
              <w:jc w:val="left"/>
            </w:pPr>
            <w:r>
              <w:t xml:space="preserve">Speech recognition (streaming)</w:t>
            </w:r>
          </w:p>
        </w:tc>
        <w:tc>
          <w:tcPr/>
          <w:p>
            <w:pPr>
              <w:pStyle w:val="Compact"/>
              <w:jc w:val="left"/>
            </w:pPr>
            <w:r>
              <w:t xml:space="preserve">1x L4</w:t>
            </w:r>
          </w:p>
        </w:tc>
        <w:tc>
          <w:tcPr/>
          <w:p>
            <w:pPr>
              <w:pStyle w:val="Compact"/>
              <w:jc w:val="left"/>
            </w:pPr>
            <w:r>
              <w:t xml:space="preserve">72W</w:t>
            </w:r>
          </w:p>
        </w:tc>
        <w:tc>
          <w:tcPr/>
          <w:p>
            <w:pPr>
              <w:pStyle w:val="Compact"/>
              <w:jc w:val="left"/>
            </w:pPr>
            <w:r>
              <w:t xml:space="preserve">&lt;100ms</w:t>
            </w:r>
          </w:p>
        </w:tc>
      </w:tr>
      <w:tr>
        <w:tc>
          <w:tcPr/>
          <w:p>
            <w:pPr>
              <w:pStyle w:val="Compact"/>
              <w:jc w:val="left"/>
            </w:pPr>
            <w:r>
              <w:t xml:space="preserve">Recommender systems</w:t>
            </w:r>
          </w:p>
        </w:tc>
        <w:tc>
          <w:tcPr/>
          <w:p>
            <w:pPr>
              <w:pStyle w:val="Compact"/>
              <w:jc w:val="left"/>
            </w:pPr>
            <w:r>
              <w:t xml:space="preserve">2–4x GPU + high-memory CPU</w:t>
            </w:r>
          </w:p>
        </w:tc>
        <w:tc>
          <w:tcPr/>
          <w:p>
            <w:pPr>
              <w:pStyle w:val="Compact"/>
              <w:jc w:val="left"/>
            </w:pPr>
            <w:r>
              <w:t xml:space="preserve">1–3kW</w:t>
            </w:r>
          </w:p>
        </w:tc>
        <w:tc>
          <w:tcPr/>
          <w:p>
            <w:pPr>
              <w:pStyle w:val="Compact"/>
              <w:jc w:val="left"/>
            </w:pPr>
            <w:r>
              <w:t xml:space="preserve">10–50ms</w:t>
            </w:r>
          </w:p>
        </w:tc>
      </w:tr>
      <w:tr>
        <w:tc>
          <w:tcPr/>
          <w:p>
            <w:pPr>
              <w:pStyle w:val="Compact"/>
              <w:jc w:val="left"/>
            </w:pPr>
            <w:r>
              <w:t xml:space="preserve">RAG (Retrieval Augmented Gen.)</w:t>
            </w:r>
          </w:p>
        </w:tc>
        <w:tc>
          <w:tcPr/>
          <w:p>
            <w:pPr>
              <w:pStyle w:val="Compact"/>
              <w:jc w:val="left"/>
            </w:pPr>
            <w:r>
              <w:t xml:space="preserve">1–2x H100 + vector DB</w:t>
            </w:r>
          </w:p>
        </w:tc>
        <w:tc>
          <w:tcPr/>
          <w:p>
            <w:pPr>
              <w:pStyle w:val="Compact"/>
              <w:jc w:val="left"/>
            </w:pPr>
            <w:r>
              <w:t xml:space="preserve">1–2kW</w:t>
            </w:r>
          </w:p>
        </w:tc>
        <w:tc>
          <w:tcPr/>
          <w:p>
            <w:pPr>
              <w:pStyle w:val="Compact"/>
              <w:jc w:val="left"/>
            </w:pPr>
            <w:r>
              <w:t xml:space="preserve">100–500ms total</w:t>
            </w:r>
          </w:p>
        </w:tc>
      </w:tr>
      <w:tr>
        <w:tc>
          <w:tcPr/>
          <w:p>
            <w:pPr>
              <w:pStyle w:val="Compact"/>
              <w:jc w:val="left"/>
            </w:pPr>
            <w:r>
              <w:t xml:space="preserve">Real-time fraud detection</w:t>
            </w:r>
          </w:p>
        </w:tc>
        <w:tc>
          <w:tcPr/>
          <w:p>
            <w:pPr>
              <w:pStyle w:val="Compact"/>
              <w:jc w:val="left"/>
            </w:pPr>
            <w:r>
              <w:t xml:space="preserve">1x L40S</w:t>
            </w:r>
          </w:p>
        </w:tc>
        <w:tc>
          <w:tcPr/>
          <w:p>
            <w:pPr>
              <w:pStyle w:val="Compact"/>
              <w:jc w:val="left"/>
            </w:pPr>
            <w:r>
              <w:t xml:space="preserve">300W</w:t>
            </w:r>
          </w:p>
        </w:tc>
        <w:tc>
          <w:tcPr/>
          <w:p>
            <w:pPr>
              <w:pStyle w:val="Compact"/>
              <w:jc w:val="left"/>
            </w:pPr>
            <w:r>
              <w:t xml:space="preserve">&lt;50ms</w:t>
            </w:r>
          </w:p>
        </w:tc>
      </w:tr>
      <w:tr>
        <w:tc>
          <w:tcPr/>
          <w:p>
            <w:pPr>
              <w:pStyle w:val="Compact"/>
              <w:jc w:val="left"/>
            </w:pPr>
            <w:r>
              <w:t xml:space="preserve">Medical image analysis</w:t>
            </w:r>
          </w:p>
        </w:tc>
        <w:tc>
          <w:tcPr/>
          <w:p>
            <w:pPr>
              <w:pStyle w:val="Compact"/>
              <w:jc w:val="left"/>
            </w:pPr>
            <w:r>
              <w:t xml:space="preserve">1x L40S</w:t>
            </w:r>
          </w:p>
        </w:tc>
        <w:tc>
          <w:tcPr/>
          <w:p>
            <w:pPr>
              <w:pStyle w:val="Compact"/>
              <w:jc w:val="left"/>
            </w:pPr>
            <w:r>
              <w:t xml:space="preserve">300W</w:t>
            </w:r>
          </w:p>
        </w:tc>
        <w:tc>
          <w:tcPr/>
          <w:p>
            <w:pPr>
              <w:pStyle w:val="Compact"/>
              <w:jc w:val="left"/>
            </w:pPr>
            <w:r>
              <w:t xml:space="preserve">&lt;1s</w:t>
            </w:r>
          </w:p>
        </w:tc>
      </w:tr>
    </w:tbl>
    <w:p>
      <w:pPr>
        <w:pStyle w:val="BodyText"/>
      </w:pPr>
      <w:r>
        <w:t xml:space="preserve">AI accelerators are the highest-value hardware in the network and the primary driver of edge demand. A critical insight is that while training large foundation models remains centralized (requiring thousands of tightly coupled GPUs),</w:t>
      </w:r>
      <w:r>
        <w:t xml:space="preserve"> </w:t>
      </w:r>
      <w:r>
        <w:rPr>
          <w:b/>
          <w:bCs/>
        </w:rPr>
        <w:t xml:space="preserve">inference accounts for 60–70% of all AI compute cycles</w:t>
      </w:r>
      <w:r>
        <w:t xml:space="preserve"> </w:t>
      </w:r>
      <w:r>
        <w:t xml:space="preserve">and is growing as deployed model count increases. Inference is bursty (30–70% average GPU utilization), latency-sensitive, and geographically distributed — making it ideally suited for edge deployment.</w:t>
      </w:r>
    </w:p>
    <w:p>
      <w:pPr>
        <w:pStyle w:val="BodyText"/>
      </w:pPr>
      <w:r>
        <w:t xml:space="preserve">Inference-optimized cards (L4 at 72W, L40S at 300W, MI300X at 750W) are deployed at edge nodes for low-latency model serving. A single inference server with 4–8x L40S cards (1.2–2.4kW) can serve meaningful regional AI workloads within a sub-2MW edge facility. Training-capable GPUs (H100, H200, B200, GB200) are concentrated at regional hubs where power density, liquid cooling, and high-bandwidth interconnect support sustained operation.</w:t>
      </w:r>
    </w:p>
    <w:bookmarkEnd w:id="41"/>
    <w:bookmarkEnd w:id="42"/>
    <w:bookmarkStart w:id="43" w:name="software-stack"/>
    <w:p>
      <w:pPr>
        <w:pStyle w:val="Heading3"/>
      </w:pPr>
      <w:r>
        <w:t xml:space="preserve">4.2 Software Stack</w:t>
      </w:r>
    </w:p>
    <w:p>
      <w:pPr>
        <w:pStyle w:val="FirstParagraph"/>
      </w:pPr>
      <w:r>
        <w:rPr>
          <w:b/>
          <w:bCs/>
        </w:rPr>
        <w:t xml:space="preserve">Diagram 4: ANDD Software Stack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Stack Layer</w:t>
            </w:r>
          </w:p>
        </w:tc>
        <w:tc>
          <w:tcPr/>
          <w:p>
            <w:pPr>
              <w:pStyle w:val="Compact"/>
              <w:jc w:val="left"/>
            </w:pPr>
            <w:r>
              <w:t xml:space="preserve">Component 1</w:t>
            </w:r>
          </w:p>
        </w:tc>
        <w:tc>
          <w:tcPr/>
          <w:p>
            <w:pPr>
              <w:pStyle w:val="Compact"/>
              <w:jc w:val="left"/>
            </w:pPr>
            <w:r>
              <w:t xml:space="preserve">Component 2</w:t>
            </w:r>
          </w:p>
        </w:tc>
        <w:tc>
          <w:tcPr/>
          <w:p>
            <w:pPr>
              <w:pStyle w:val="Compact"/>
              <w:jc w:val="left"/>
            </w:pPr>
            <w:r>
              <w:t xml:space="preserve">Component 3</w:t>
            </w:r>
          </w:p>
        </w:tc>
      </w:tr>
      <w:tr>
        <w:tc>
          <w:tcPr/>
          <w:p>
            <w:pPr>
              <w:pStyle w:val="Compact"/>
              <w:jc w:val="left"/>
            </w:pPr>
            <w:r>
              <w:rPr>
                <w:b/>
                <w:bCs/>
              </w:rPr>
              <w:t xml:space="preserve">Layer 4: AI Management</w:t>
            </w:r>
          </w:p>
        </w:tc>
        <w:tc>
          <w:tcPr/>
          <w:p>
            <w:pPr>
              <w:pStyle w:val="Compact"/>
              <w:jc w:val="left"/>
            </w:pPr>
            <w:r>
              <w:t xml:space="preserve">Onboarding Agent</w:t>
            </w:r>
          </w:p>
        </w:tc>
        <w:tc>
          <w:tcPr/>
          <w:p>
            <w:pPr>
              <w:pStyle w:val="Compact"/>
              <w:jc w:val="left"/>
            </w:pPr>
            <w:r>
              <w:t xml:space="preserve">Provisioning Agent</w:t>
            </w:r>
          </w:p>
        </w:tc>
        <w:tc>
          <w:tcPr/>
          <w:p>
            <w:pPr>
              <w:pStyle w:val="Compact"/>
              <w:jc w:val="left"/>
            </w:pPr>
            <w:r>
              <w:t xml:space="preserve">Billing Agent + SLA Monitor</w:t>
            </w:r>
          </w:p>
        </w:tc>
      </w:tr>
      <w:tr>
        <w:tc>
          <w:tcPr/>
          <w:p>
            <w:pPr>
              <w:pStyle w:val="Compact"/>
              <w:jc w:val="left"/>
            </w:pPr>
            <w:r>
              <w:rPr>
                <w:b/>
                <w:bCs/>
              </w:rPr>
              <w:t xml:space="preserve">Layer 3: Orchestration</w:t>
            </w:r>
          </w:p>
        </w:tc>
        <w:tc>
          <w:tcPr/>
          <w:p>
            <w:pPr>
              <w:pStyle w:val="Compact"/>
              <w:jc w:val="left"/>
            </w:pPr>
            <w:r>
              <w:t xml:space="preserve">Kubernetes (K3s / RKE2)</w:t>
            </w:r>
          </w:p>
        </w:tc>
        <w:tc>
          <w:tcPr/>
          <w:p>
            <w:pPr>
              <w:pStyle w:val="Compact"/>
              <w:jc w:val="left"/>
            </w:pPr>
            <w:r>
              <w:t xml:space="preserve">Service Mesh (Istio)</w:t>
            </w:r>
          </w:p>
        </w:tc>
        <w:tc>
          <w:tcPr/>
          <w:p>
            <w:pPr>
              <w:pStyle w:val="Compact"/>
              <w:jc w:val="left"/>
            </w:pPr>
            <w:r>
              <w:t xml:space="preserve">AI-Optimized Workload Scheduler</w:t>
            </w:r>
          </w:p>
        </w:tc>
      </w:tr>
      <w:tr>
        <w:tc>
          <w:tcPr/>
          <w:p>
            <w:pPr>
              <w:pStyle w:val="Compact"/>
              <w:jc w:val="left"/>
            </w:pPr>
            <w:r>
              <w:rPr>
                <w:b/>
                <w:bCs/>
              </w:rPr>
              <w:t xml:space="preserve">Layer 2: Infrastructure</w:t>
            </w:r>
          </w:p>
        </w:tc>
        <w:tc>
          <w:tcPr/>
          <w:p>
            <w:pPr>
              <w:pStyle w:val="Compact"/>
              <w:jc w:val="left"/>
            </w:pPr>
            <w:r>
              <w:t xml:space="preserve">SD-WAN / SDN (OVS / VPP)</w:t>
            </w:r>
          </w:p>
        </w:tc>
        <w:tc>
          <w:tcPr/>
          <w:p>
            <w:pPr>
              <w:pStyle w:val="Compact"/>
              <w:jc w:val="left"/>
            </w:pPr>
            <w:r>
              <w:t xml:space="preserve">Storage Fabric (Ceph / MinIO)</w:t>
            </w:r>
          </w:p>
        </w:tc>
        <w:tc>
          <w:tcPr/>
          <w:p>
            <w:pPr>
              <w:pStyle w:val="Compact"/>
              <w:jc w:val="left"/>
            </w:pPr>
            <w:r>
              <w:t xml:space="preserve">Power &amp; Cooling DCIM / BMS (AI-Controlled)</w:t>
            </w:r>
          </w:p>
        </w:tc>
      </w:tr>
      <w:tr>
        <w:tc>
          <w:tcPr/>
          <w:p>
            <w:pPr>
              <w:pStyle w:val="Compact"/>
              <w:jc w:val="left"/>
            </w:pPr>
            <w:r>
              <w:rPr>
                <w:b/>
                <w:bCs/>
              </w:rPr>
              <w:t xml:space="preserve">Layer 1: Hardware Abstraction</w:t>
            </w:r>
          </w:p>
        </w:tc>
        <w:tc>
          <w:tcPr/>
          <w:p>
            <w:pPr>
              <w:pStyle w:val="Compact"/>
              <w:jc w:val="left"/>
            </w:pPr>
            <w:r>
              <w:t xml:space="preserve">BMC / IPMI / Redfish</w:t>
            </w:r>
          </w:p>
        </w:tc>
        <w:tc>
          <w:tcPr/>
          <w:p>
            <w:pPr>
              <w:pStyle w:val="Compact"/>
              <w:jc w:val="left"/>
            </w:pPr>
            <w:r>
              <w:t xml:space="preserve">GPU Driver Layer</w:t>
            </w:r>
          </w:p>
        </w:tc>
        <w:tc>
          <w:tcPr/>
          <w:p>
            <w:pPr>
              <w:pStyle w:val="Compact"/>
              <w:jc w:val="left"/>
            </w:pPr>
            <w:r>
              <w:t xml:space="preserve">Network Switch OS (SONiC / Cumulus)</w:t>
            </w:r>
          </w:p>
        </w:tc>
      </w:tr>
    </w:tbl>
    <w:p>
      <w:pPr>
        <w:pStyle w:val="BodyText"/>
      </w:pPr>
      <w:r>
        <w:rPr>
          <w:i/>
          <w:iCs/>
        </w:rPr>
        <w:t xml:space="preserve">Each layer communicates downward via APIs. The AI Management layer (Layer 4) orchestrates all layers below it autonomously.</w:t>
      </w:r>
    </w:p>
    <w:p>
      <w:pPr>
        <w:pStyle w:val="BodyText"/>
      </w:pPr>
      <w:r>
        <w:rPr>
          <w:b/>
          <w:bCs/>
        </w:rPr>
        <w:t xml:space="preserve">Orchestration:</w:t>
      </w:r>
      <w:r>
        <w:t xml:space="preserve"> </w:t>
      </w:r>
      <w:r>
        <w:t xml:space="preserve">Lightweight Kubernetes (K3s or RKE2) runs on every node, with federation across the mesh. Workloads are described as standard Kubernetes resources but scheduled by an AI-optimized scheduler that considers latency, power cost, thermal headroom, and cross-node data locality.</w:t>
      </w:r>
    </w:p>
    <w:p>
      <w:pPr>
        <w:pStyle w:val="BodyText"/>
      </w:pPr>
      <w:r>
        <w:rPr>
          <w:b/>
          <w:bCs/>
        </w:rPr>
        <w:t xml:space="preserve">Networking:</w:t>
      </w:r>
      <w:r>
        <w:t xml:space="preserve"> </w:t>
      </w:r>
      <w:r>
        <w:t xml:space="preserve">Software-defined networking (Open vSwitch or VPP) provides tenant isolation, traffic engineering, and encrypted overlay networks across the mesh. BGP peering is automated — the AI control plane negotiates peering sessions, manages route announcements, and detects anomalies.</w:t>
      </w:r>
    </w:p>
    <w:p>
      <w:pPr>
        <w:pStyle w:val="BodyText"/>
      </w:pPr>
      <w:r>
        <w:rPr>
          <w:b/>
          <w:bCs/>
        </w:rPr>
        <w:t xml:space="preserve">Storage Fabric:</w:t>
      </w:r>
      <w:r>
        <w:t xml:space="preserve"> </w:t>
      </w:r>
      <w:r>
        <w:t xml:space="preserve">Ceph or MinIO provides unified object/block/file storage across nodes, with placement policies enforced by the AI layer (e.g.,</w:t>
      </w:r>
      <w:r>
        <w:t xml:space="preserve"> </w:t>
      </w:r>
      <w:r>
        <w:t xml:space="preserve">“</w:t>
      </w:r>
      <w:r>
        <w:t xml:space="preserve">government tenant data must remain within Region X,</w:t>
      </w:r>
      <w:r>
        <w:t xml:space="preserve">”</w:t>
      </w:r>
      <w:r>
        <w:t xml:space="preserve"> </w:t>
      </w:r>
      <w:r>
        <w:t xml:space="preserve">“</w:t>
      </w:r>
      <w:r>
        <w:t xml:space="preserve">DePIN project Y requires 3-site erasure coding</w:t>
      </w:r>
      <w:r>
        <w:t xml:space="preserve">”</w:t>
      </w:r>
      <w:r>
        <w:t xml:space="preserve">).</w:t>
      </w:r>
    </w:p>
    <w:p>
      <w:pPr>
        <w:pStyle w:val="BodyText"/>
      </w:pPr>
      <w:r>
        <w:rPr>
          <w:b/>
          <w:bCs/>
        </w:rPr>
        <w:t xml:space="preserve">DCIM/BMS:</w:t>
      </w:r>
      <w:r>
        <w:t xml:space="preserve"> </w:t>
      </w:r>
      <w:r>
        <w:t xml:space="preserve">Every power, cooling, and environmental sensor feeds into an AI-controlled building management system. The AI optimizes cooling setpoints, manages UPS charge cycles, schedules maintenance, and predicts failures before they occur.</w:t>
      </w:r>
    </w:p>
    <w:bookmarkEnd w:id="43"/>
    <w:bookmarkStart w:id="44" w:name="security-architecture"/>
    <w:p>
      <w:pPr>
        <w:pStyle w:val="Heading3"/>
      </w:pPr>
      <w:r>
        <w:t xml:space="preserve">4.3 Security Architecture</w:t>
      </w:r>
    </w:p>
    <w:p>
      <w:pPr>
        <w:pStyle w:val="FirstParagraph"/>
      </w:pPr>
      <w:r>
        <w:t xml:space="preserve">Security is foundational, not bolted on:</w:t>
      </w:r>
    </w:p>
    <w:p>
      <w:pPr>
        <w:pStyle w:val="Compact"/>
        <w:numPr>
          <w:ilvl w:val="0"/>
          <w:numId w:val="1005"/>
        </w:numPr>
      </w:pPr>
      <w:r>
        <w:rPr>
          <w:b/>
          <w:bCs/>
        </w:rPr>
        <w:t xml:space="preserve">Zero-trust networking:</w:t>
      </w:r>
      <w:r>
        <w:t xml:space="preserve"> </w:t>
      </w:r>
      <w:r>
        <w:t xml:space="preserve">Every workload-to-workload communication is mTLS encrypted. No implicit trust based on network location.</w:t>
      </w:r>
    </w:p>
    <w:p>
      <w:pPr>
        <w:pStyle w:val="Compact"/>
        <w:numPr>
          <w:ilvl w:val="0"/>
          <w:numId w:val="1005"/>
        </w:numPr>
      </w:pPr>
      <w:r>
        <w:rPr>
          <w:b/>
          <w:bCs/>
        </w:rPr>
        <w:t xml:space="preserve">Hardware root of trust:</w:t>
      </w:r>
      <w:r>
        <w:t xml:space="preserve"> </w:t>
      </w:r>
      <w:r>
        <w:t xml:space="preserve">TPM 2.0 modules on all servers. Measured boot ensures firmware integrity. Remote attestation allows the AI control plane to verify node health cryptographically.</w:t>
      </w:r>
    </w:p>
    <w:p>
      <w:pPr>
        <w:pStyle w:val="Compact"/>
        <w:numPr>
          <w:ilvl w:val="0"/>
          <w:numId w:val="1005"/>
        </w:numPr>
      </w:pPr>
      <w:r>
        <w:rPr>
          <w:b/>
          <w:bCs/>
        </w:rPr>
        <w:t xml:space="preserve">Tenant isolation:</w:t>
      </w:r>
      <w:r>
        <w:t xml:space="preserve"> </w:t>
      </w:r>
      <w:r>
        <w:t xml:space="preserve">Hardware-enforced isolation via SR-IOV for network, SEV-SNP/TDX for compute confidential computing, and separate encryption keys per tenant.</w:t>
      </w:r>
    </w:p>
    <w:p>
      <w:pPr>
        <w:pStyle w:val="Compact"/>
        <w:numPr>
          <w:ilvl w:val="0"/>
          <w:numId w:val="1005"/>
        </w:numPr>
      </w:pPr>
      <w:r>
        <w:rPr>
          <w:b/>
          <w:bCs/>
        </w:rPr>
        <w:t xml:space="preserve">Physical security:</w:t>
      </w:r>
      <w:r>
        <w:t xml:space="preserve"> </w:t>
      </w:r>
      <w:r>
        <w:t xml:space="preserve">Biometric access control, 24/7 AI-monitored video surveillance, tamper-evident rack enclosures. For government sites: SCIF-compatible buildout options.</w:t>
      </w:r>
    </w:p>
    <w:p>
      <w:pPr>
        <w:pStyle w:val="Compact"/>
        <w:numPr>
          <w:ilvl w:val="0"/>
          <w:numId w:val="1005"/>
        </w:numPr>
      </w:pPr>
      <w:r>
        <w:rPr>
          <w:b/>
          <w:bCs/>
        </w:rPr>
        <w:t xml:space="preserve">Compliance:</w:t>
      </w:r>
      <w:r>
        <w:t xml:space="preserve"> </w:t>
      </w:r>
      <w:r>
        <w:t xml:space="preserve">FedRAMP, SOC 2, HIPAA, CJIS, and ITAR compliance paths built into the site design and operational procedures from day one.</w:t>
      </w:r>
    </w:p>
    <w:p>
      <w:r>
        <w:pict>
          <v:rect style="width:0;height:1.5pt" o:hralign="center" o:hrstd="t" o:hr="t"/>
        </w:pict>
      </w:r>
    </w:p>
    <w:bookmarkEnd w:id="44"/>
    <w:bookmarkEnd w:id="45"/>
    <w:bookmarkStart w:id="69" w:name="software-platform-architecture"/>
    <w:p>
      <w:pPr>
        <w:pStyle w:val="Heading2"/>
      </w:pPr>
      <w:r>
        <w:t xml:space="preserve">5. Software Platform Architecture</w:t>
      </w:r>
    </w:p>
    <w:p>
      <w:pPr>
        <w:pStyle w:val="FirstParagraph"/>
      </w:pPr>
      <w:r>
        <w:t xml:space="preserve">The previous sections describe what hardware is deployed and what AI agents do. This section describes the software platform that sits between them — the operating system of the ANDD network. This is the layer that enables AI agents to observe, reason about, and actuate on physical infrastructure across hundreds of distributed sites in real time.</w:t>
      </w:r>
    </w:p>
    <w:bookmarkStart w:id="46" w:name="platform-overview"/>
    <w:p>
      <w:pPr>
        <w:pStyle w:val="Heading3"/>
      </w:pPr>
      <w:r>
        <w:t xml:space="preserve">5.1 Platform Overview</w:t>
      </w:r>
    </w:p>
    <w:p>
      <w:pPr>
        <w:pStyle w:val="FirstParagraph"/>
      </w:pPr>
      <w:r>
        <w:t xml:space="preserve">The ANDD software platform is not a monolithic application. It is a set of loosely coupled, event-driven microservices running on the same Kubernetes infrastructure it manages — a self-hosting architecture where the management plane consumes the same compute, storage, and networking resources it provisions for customers. This alignment ensures the platform team has direct incentive to keep the infrastructure reliable: if the infrastructure degrades, the management plane degrades with it.</w:t>
      </w:r>
    </w:p>
    <w:p>
      <w:pPr>
        <w:pStyle w:val="BodyText"/>
      </w:pPr>
      <w:r>
        <w:rPr>
          <w:b/>
          <w:bCs/>
        </w:rPr>
        <w:t xml:space="preserve">Platform Architecture Layers:</w:t>
      </w:r>
    </w:p>
    <w:tbl>
      <w:tblPr>
        <w:tblStyle w:val="Table"/>
        <w:tblW w:type="pct" w:w="5000"/>
        <w:jc w:val="left"/>
        <w:tblLayout w:type="fixed"/>
        <w:tblLook w:firstRow="1" w:lastRow="0" w:firstColumn="0" w:lastColumn="0" w:noHBand="0" w:noVBand="0" w:val="0020"/>
      </w:tblPr>
      <w:tblGrid>
        <w:gridCol w:w="1320"/>
        <w:gridCol w:w="1697"/>
        <w:gridCol w:w="3205"/>
        <w:gridCol w:w="1697"/>
      </w:tblGrid>
      <w:tr>
        <w:trPr>
          <w:tblHeader w:val="on"/>
        </w:trPr>
        <w:tc>
          <w:tcPr/>
          <w:p>
            <w:pPr>
              <w:pStyle w:val="Compact"/>
              <w:jc w:val="left"/>
            </w:pPr>
            <w:r>
              <w:t xml:space="preserve">Layer</w:t>
            </w:r>
          </w:p>
        </w:tc>
        <w:tc>
          <w:tcPr/>
          <w:p>
            <w:pPr>
              <w:pStyle w:val="Compact"/>
              <w:jc w:val="left"/>
            </w:pPr>
            <w:r>
              <w:t xml:space="preserve">Purpose</w:t>
            </w:r>
          </w:p>
        </w:tc>
        <w:tc>
          <w:tcPr/>
          <w:p>
            <w:pPr>
              <w:pStyle w:val="Compact"/>
              <w:jc w:val="left"/>
            </w:pPr>
            <w:r>
              <w:t xml:space="preserve">Key Technologies</w:t>
            </w:r>
          </w:p>
        </w:tc>
        <w:tc>
          <w:tcPr/>
          <w:p>
            <w:pPr>
              <w:pStyle w:val="Compact"/>
              <w:jc w:val="left"/>
            </w:pPr>
            <w:r>
              <w:t xml:space="preserve">Runs On</w:t>
            </w:r>
          </w:p>
        </w:tc>
      </w:tr>
      <w:tr>
        <w:tc>
          <w:tcPr/>
          <w:p>
            <w:pPr>
              <w:pStyle w:val="Compact"/>
              <w:jc w:val="left"/>
            </w:pPr>
            <w:r>
              <w:rPr>
                <w:b/>
                <w:bCs/>
              </w:rPr>
              <w:t xml:space="preserve">Agent Runtime</w:t>
            </w:r>
          </w:p>
        </w:tc>
        <w:tc>
          <w:tcPr/>
          <w:p>
            <w:pPr>
              <w:pStyle w:val="Compact"/>
              <w:jc w:val="left"/>
            </w:pPr>
            <w:r>
              <w:t xml:space="preserve">Hosts AI agent processes, manages agent lifecycle, enforces guardrails</w:t>
            </w:r>
          </w:p>
        </w:tc>
        <w:tc>
          <w:tcPr/>
          <w:p>
            <w:pPr>
              <w:pStyle w:val="Compact"/>
              <w:jc w:val="left"/>
            </w:pPr>
            <w:r>
              <w:t xml:space="preserve">Custom agent framework, LLM inference engine, tool-use sandboxing</w:t>
            </w:r>
          </w:p>
        </w:tc>
        <w:tc>
          <w:tcPr/>
          <w:p>
            <w:pPr>
              <w:pStyle w:val="Compact"/>
              <w:jc w:val="left"/>
            </w:pPr>
            <w:r>
              <w:t xml:space="preserve">Regional Hubs (primary), Edge Nodes (lightweight agents)</w:t>
            </w:r>
          </w:p>
        </w:tc>
      </w:tr>
      <w:tr>
        <w:tc>
          <w:tcPr/>
          <w:p>
            <w:pPr>
              <w:pStyle w:val="Compact"/>
              <w:jc w:val="left"/>
            </w:pPr>
            <w:r>
              <w:rPr>
                <w:b/>
                <w:bCs/>
              </w:rPr>
              <w:t xml:space="preserve">Event Fabric</w:t>
            </w:r>
          </w:p>
        </w:tc>
        <w:tc>
          <w:tcPr/>
          <w:p>
            <w:pPr>
              <w:pStyle w:val="Compact"/>
              <w:jc w:val="left"/>
            </w:pPr>
            <w:r>
              <w:t xml:space="preserve">Collects, routes, and stores all system events and telemetry</w:t>
            </w:r>
          </w:p>
        </w:tc>
        <w:tc>
          <w:tcPr/>
          <w:p>
            <w:pPr>
              <w:pStyle w:val="Compact"/>
              <w:jc w:val="left"/>
            </w:pPr>
            <w:r>
              <w:t xml:space="preserve">Apache Kafka (or Redpanda), Apache Flink for stream processing</w:t>
            </w:r>
          </w:p>
        </w:tc>
        <w:tc>
          <w:tcPr/>
          <w:p>
            <w:pPr>
              <w:pStyle w:val="Compact"/>
              <w:jc w:val="left"/>
            </w:pPr>
            <w:r>
              <w:t xml:space="preserve">Regional Hubs (brokers), Edge Nodes (producers/consumers)</w:t>
            </w:r>
          </w:p>
        </w:tc>
      </w:tr>
      <w:tr>
        <w:tc>
          <w:tcPr/>
          <w:p>
            <w:pPr>
              <w:pStyle w:val="Compact"/>
              <w:jc w:val="left"/>
            </w:pPr>
            <w:r>
              <w:rPr>
                <w:b/>
                <w:bCs/>
              </w:rPr>
              <w:t xml:space="preserve">State Store</w:t>
            </w:r>
          </w:p>
        </w:tc>
        <w:tc>
          <w:tcPr/>
          <w:p>
            <w:pPr>
              <w:pStyle w:val="Compact"/>
              <w:jc w:val="left"/>
            </w:pPr>
            <w:r>
              <w:t xml:space="preserve">Persistent, consistent state for all operational data</w:t>
            </w:r>
          </w:p>
        </w:tc>
        <w:tc>
          <w:tcPr/>
          <w:p>
            <w:pPr>
              <w:pStyle w:val="Compact"/>
              <w:jc w:val="left"/>
            </w:pPr>
            <w:r>
              <w:t xml:space="preserve">CockroachDB (distributed SQL) for transactional state; etcd for Kubernetes and config state; Redis for hot caches</w:t>
            </w:r>
          </w:p>
        </w:tc>
        <w:tc>
          <w:tcPr/>
          <w:p>
            <w:pPr>
              <w:pStyle w:val="Compact"/>
              <w:jc w:val="left"/>
            </w:pPr>
            <w:r>
              <w:t xml:space="preserve">Regional Hubs (primary replicas), Edge Nodes (read replicas)</w:t>
            </w:r>
          </w:p>
        </w:tc>
      </w:tr>
      <w:tr>
        <w:tc>
          <w:tcPr/>
          <w:p>
            <w:pPr>
              <w:pStyle w:val="Compact"/>
              <w:jc w:val="left"/>
            </w:pPr>
            <w:r>
              <w:rPr>
                <w:b/>
                <w:bCs/>
              </w:rPr>
              <w:t xml:space="preserve">Actuation Layer</w:t>
            </w:r>
          </w:p>
        </w:tc>
        <w:tc>
          <w:tcPr/>
          <w:p>
            <w:pPr>
              <w:pStyle w:val="Compact"/>
              <w:jc w:val="left"/>
            </w:pPr>
            <w:r>
              <w:t xml:space="preserve">Translates agent decisions into infrastructure changes</w:t>
            </w:r>
          </w:p>
        </w:tc>
        <w:tc>
          <w:tcPr/>
          <w:p>
            <w:pPr>
              <w:pStyle w:val="Compact"/>
              <w:jc w:val="left"/>
            </w:pPr>
            <w:r>
              <w:t xml:space="preserve">Kubernetes API, Redfish/IPMI for hardware, gNMI/NETCONF for network devices, Modbus/BACnet for power/cooling</w:t>
            </w:r>
          </w:p>
        </w:tc>
        <w:tc>
          <w:tcPr/>
          <w:p>
            <w:pPr>
              <w:pStyle w:val="Compact"/>
              <w:jc w:val="left"/>
            </w:pPr>
            <w:r>
              <w:t xml:space="preserve">All nodes</w:t>
            </w:r>
          </w:p>
        </w:tc>
      </w:tr>
      <w:tr>
        <w:tc>
          <w:tcPr/>
          <w:p>
            <w:pPr>
              <w:pStyle w:val="Compact"/>
              <w:jc w:val="left"/>
            </w:pPr>
            <w:r>
              <w:rPr>
                <w:b/>
                <w:bCs/>
              </w:rPr>
              <w:t xml:space="preserve">Observability Stack</w:t>
            </w:r>
          </w:p>
        </w:tc>
        <w:tc>
          <w:tcPr/>
          <w:p>
            <w:pPr>
              <w:pStyle w:val="Compact"/>
              <w:jc w:val="left"/>
            </w:pPr>
            <w:r>
              <w:t xml:space="preserve">Metrics, logs, traces, and AI decision audit trails</w:t>
            </w:r>
          </w:p>
        </w:tc>
        <w:tc>
          <w:tcPr/>
          <w:p>
            <w:pPr>
              <w:pStyle w:val="Compact"/>
              <w:jc w:val="left"/>
            </w:pPr>
            <w:r>
              <w:t xml:space="preserve">Prometheus + Thanos (metrics), Loki (logs), Jaeger (traces), custom audit logger</w:t>
            </w:r>
          </w:p>
        </w:tc>
        <w:tc>
          <w:tcPr/>
          <w:p>
            <w:pPr>
              <w:pStyle w:val="Compact"/>
              <w:jc w:val="left"/>
            </w:pPr>
            <w:r>
              <w:t xml:space="preserve">Regional Hubs (storage), Edge Nodes (collection)</w:t>
            </w:r>
          </w:p>
        </w:tc>
      </w:tr>
      <w:tr>
        <w:tc>
          <w:tcPr/>
          <w:p>
            <w:pPr>
              <w:pStyle w:val="Compact"/>
              <w:jc w:val="left"/>
            </w:pPr>
            <w:r>
              <w:rPr>
                <w:b/>
                <w:bCs/>
              </w:rPr>
              <w:t xml:space="preserve">API Gateway</w:t>
            </w:r>
          </w:p>
        </w:tc>
        <w:tc>
          <w:tcPr/>
          <w:p>
            <w:pPr>
              <w:pStyle w:val="Compact"/>
              <w:jc w:val="left"/>
            </w:pPr>
            <w:r>
              <w:t xml:space="preserve">Customer-facing and DePIN integration APIs</w:t>
            </w:r>
          </w:p>
        </w:tc>
        <w:tc>
          <w:tcPr/>
          <w:p>
            <w:pPr>
              <w:pStyle w:val="Compact"/>
              <w:jc w:val="left"/>
            </w:pPr>
            <w:r>
              <w:t xml:space="preserve">Kong or Envoy-based gateway, GraphQL + REST + gRPC</w:t>
            </w:r>
          </w:p>
        </w:tc>
        <w:tc>
          <w:tcPr/>
          <w:p>
            <w:pPr>
              <w:pStyle w:val="Compact"/>
              <w:jc w:val="left"/>
            </w:pPr>
            <w:r>
              <w:t xml:space="preserve">Regional Hubs (primary), Edge Nodes (local cache)</w:t>
            </w:r>
          </w:p>
        </w:tc>
      </w:tr>
      <w:tr>
        <w:tc>
          <w:tcPr/>
          <w:p>
            <w:pPr>
              <w:pStyle w:val="Compact"/>
              <w:jc w:val="left"/>
            </w:pPr>
            <w:r>
              <w:rPr>
                <w:b/>
                <w:bCs/>
              </w:rPr>
              <w:t xml:space="preserve">Identity &amp; Access</w:t>
            </w:r>
          </w:p>
        </w:tc>
        <w:tc>
          <w:tcPr/>
          <w:p>
            <w:pPr>
              <w:pStyle w:val="Compact"/>
              <w:jc w:val="left"/>
            </w:pPr>
            <w:r>
              <w:t xml:space="preserve">Authentication, authorization, tenant isolation</w:t>
            </w:r>
          </w:p>
        </w:tc>
        <w:tc>
          <w:tcPr/>
          <w:p>
            <w:pPr>
              <w:pStyle w:val="Compact"/>
              <w:jc w:val="left"/>
            </w:pPr>
            <w:r>
              <w:t xml:space="preserve">OIDC/OAuth2, SPIFFE/SPIRE for workload identity, OPA for policy</w:t>
            </w:r>
          </w:p>
        </w:tc>
        <w:tc>
          <w:tcPr/>
          <w:p>
            <w:pPr>
              <w:pStyle w:val="Compact"/>
              <w:jc w:val="left"/>
            </w:pPr>
            <w:r>
              <w:t xml:space="preserve">Distributed across all nodes</w:t>
            </w:r>
          </w:p>
        </w:tc>
      </w:tr>
    </w:tbl>
    <w:bookmarkEnd w:id="46"/>
    <w:bookmarkStart w:id="49" w:name="event-driven-data-architecture"/>
    <w:p>
      <w:pPr>
        <w:pStyle w:val="Heading3"/>
      </w:pPr>
      <w:r>
        <w:t xml:space="preserve">5.2 Event-Driven Data Architecture</w:t>
      </w:r>
    </w:p>
    <w:p>
      <w:pPr>
        <w:pStyle w:val="FirstParagraph"/>
      </w:pPr>
      <w:r>
        <w:t xml:space="preserve">The ANDD platform is fundamentally event-driven. Every state change in the network — a temperature reading, a workload deployment, a payment received, a disk error, a BGP route change — is captured as an immutable event and published to the event fabric. AI agents consume event streams rather than polling for state, enabling real-time response and full auditability.</w:t>
      </w:r>
    </w:p>
    <w:bookmarkStart w:id="47" w:name="telemetry-collection"/>
    <w:p>
      <w:pPr>
        <w:pStyle w:val="Heading4"/>
      </w:pPr>
      <w:r>
        <w:t xml:space="preserve">Telemetry Collection</w:t>
      </w:r>
    </w:p>
    <w:p>
      <w:pPr>
        <w:pStyle w:val="FirstParagraph"/>
      </w:pPr>
      <w:r>
        <w:t xml:space="preserve">Every ANDD site generates a continuous stream of telemetry:</w:t>
      </w:r>
    </w:p>
    <w:tbl>
      <w:tblPr>
        <w:tblStyle w:val="Table"/>
        <w:tblW w:type="pct" w:w="5000"/>
        <w:jc w:val="left"/>
        <w:tblLayout w:type="fixed"/>
        <w:tblLook w:firstRow="1" w:lastRow="0" w:firstColumn="0" w:lastColumn="0" w:noHBand="0" w:noVBand="0" w:val="0020"/>
      </w:tblPr>
      <w:tblGrid>
        <w:gridCol w:w="1951"/>
        <w:gridCol w:w="2180"/>
        <w:gridCol w:w="1262"/>
        <w:gridCol w:w="2525"/>
      </w:tblGrid>
      <w:tr>
        <w:trPr>
          <w:tblHeader w:val="on"/>
        </w:trPr>
        <w:tc>
          <w:tcPr/>
          <w:p>
            <w:pPr>
              <w:pStyle w:val="Compact"/>
              <w:jc w:val="left"/>
            </w:pPr>
            <w:r>
              <w:t xml:space="preserve">Telemetry Source</w:t>
            </w:r>
          </w:p>
        </w:tc>
        <w:tc>
          <w:tcPr/>
          <w:p>
            <w:pPr>
              <w:pStyle w:val="Compact"/>
              <w:jc w:val="left"/>
            </w:pPr>
            <w:r>
              <w:t xml:space="preserve">Collection Method</w:t>
            </w:r>
          </w:p>
        </w:tc>
        <w:tc>
          <w:tcPr/>
          <w:p>
            <w:pPr>
              <w:pStyle w:val="Compact"/>
              <w:jc w:val="left"/>
            </w:pPr>
            <w:r>
              <w:t xml:space="preserve">Frequency</w:t>
            </w:r>
          </w:p>
        </w:tc>
        <w:tc>
          <w:tcPr/>
          <w:p>
            <w:pPr>
              <w:pStyle w:val="Compact"/>
              <w:jc w:val="left"/>
            </w:pPr>
            <w:r>
              <w:t xml:space="preserve">Data Volume (per site)</w:t>
            </w:r>
          </w:p>
        </w:tc>
      </w:tr>
      <w:tr>
        <w:tc>
          <w:tcPr/>
          <w:p>
            <w:pPr>
              <w:pStyle w:val="Compact"/>
              <w:jc w:val="left"/>
            </w:pPr>
            <w:r>
              <w:t xml:space="preserve">Server hardware (CPU temp, fan speed, power draw, memory errors)</w:t>
            </w:r>
          </w:p>
        </w:tc>
        <w:tc>
          <w:tcPr/>
          <w:p>
            <w:pPr>
              <w:pStyle w:val="Compact"/>
              <w:jc w:val="left"/>
            </w:pPr>
            <w:r>
              <w:t xml:space="preserve">Redfish API polling + BMC event subscription</w:t>
            </w:r>
          </w:p>
        </w:tc>
        <w:tc>
          <w:tcPr/>
          <w:p>
            <w:pPr>
              <w:pStyle w:val="Compact"/>
              <w:jc w:val="left"/>
            </w:pPr>
            <w:r>
              <w:t xml:space="preserve">5–30 second intervals</w:t>
            </w:r>
          </w:p>
        </w:tc>
        <w:tc>
          <w:tcPr/>
          <w:p>
            <w:pPr>
              <w:pStyle w:val="Compact"/>
              <w:jc w:val="left"/>
            </w:pPr>
            <w:r>
              <w:t xml:space="preserve">~50 MB/day</w:t>
            </w:r>
          </w:p>
        </w:tc>
      </w:tr>
      <w:tr>
        <w:tc>
          <w:tcPr/>
          <w:p>
            <w:pPr>
              <w:pStyle w:val="Compact"/>
              <w:jc w:val="left"/>
            </w:pPr>
            <w:r>
              <w:t xml:space="preserve">GPU accelerators (temperature, utilization, memory, power, ECC errors)</w:t>
            </w:r>
          </w:p>
        </w:tc>
        <w:tc>
          <w:tcPr/>
          <w:p>
            <w:pPr>
              <w:pStyle w:val="Compact"/>
              <w:jc w:val="left"/>
            </w:pPr>
            <w:r>
              <w:t xml:space="preserve">NVIDIA DCGM / AMD ROCm SMI</w:t>
            </w:r>
          </w:p>
        </w:tc>
        <w:tc>
          <w:tcPr/>
          <w:p>
            <w:pPr>
              <w:pStyle w:val="Compact"/>
              <w:jc w:val="left"/>
            </w:pPr>
            <w:r>
              <w:t xml:space="preserve">1–10 second intervals</w:t>
            </w:r>
          </w:p>
        </w:tc>
        <w:tc>
          <w:tcPr/>
          <w:p>
            <w:pPr>
              <w:pStyle w:val="Compact"/>
              <w:jc w:val="left"/>
            </w:pPr>
            <w:r>
              <w:t xml:space="preserve">~200 MB/day</w:t>
            </w:r>
          </w:p>
        </w:tc>
      </w:tr>
      <w:tr>
        <w:tc>
          <w:tcPr/>
          <w:p>
            <w:pPr>
              <w:pStyle w:val="Compact"/>
              <w:jc w:val="left"/>
            </w:pPr>
            <w:r>
              <w:t xml:space="preserve">Storage devices (SMART data, latency histograms, IOPS, error counters)</w:t>
            </w:r>
          </w:p>
        </w:tc>
        <w:tc>
          <w:tcPr/>
          <w:p>
            <w:pPr>
              <w:pStyle w:val="Compact"/>
              <w:jc w:val="left"/>
            </w:pPr>
            <w:r>
              <w:t xml:space="preserve">smartctl + vendor APIs</w:t>
            </w:r>
          </w:p>
        </w:tc>
        <w:tc>
          <w:tcPr/>
          <w:p>
            <w:pPr>
              <w:pStyle w:val="Compact"/>
              <w:jc w:val="left"/>
            </w:pPr>
            <w:r>
              <w:t xml:space="preserve">60 second intervals</w:t>
            </w:r>
          </w:p>
        </w:tc>
        <w:tc>
          <w:tcPr/>
          <w:p>
            <w:pPr>
              <w:pStyle w:val="Compact"/>
              <w:jc w:val="left"/>
            </w:pPr>
            <w:r>
              <w:t xml:space="preserve">~20 MB/day</w:t>
            </w:r>
          </w:p>
        </w:tc>
      </w:tr>
      <w:tr>
        <w:tc>
          <w:tcPr/>
          <w:p>
            <w:pPr>
              <w:pStyle w:val="Compact"/>
              <w:jc w:val="left"/>
            </w:pPr>
            <w:r>
              <w:t xml:space="preserve">Network switches (interface counters, BGP state, flow data, errors)</w:t>
            </w:r>
          </w:p>
        </w:tc>
        <w:tc>
          <w:tcPr/>
          <w:p>
            <w:pPr>
              <w:pStyle w:val="Compact"/>
              <w:jc w:val="left"/>
            </w:pPr>
            <w:r>
              <w:t xml:space="preserve">gNMI streaming telemetry + sFlow</w:t>
            </w:r>
          </w:p>
        </w:tc>
        <w:tc>
          <w:tcPr/>
          <w:p>
            <w:pPr>
              <w:pStyle w:val="Compact"/>
              <w:jc w:val="left"/>
            </w:pPr>
            <w:r>
              <w:t xml:space="preserve">1–10 second intervals</w:t>
            </w:r>
          </w:p>
        </w:tc>
        <w:tc>
          <w:tcPr/>
          <w:p>
            <w:pPr>
              <w:pStyle w:val="Compact"/>
              <w:jc w:val="left"/>
            </w:pPr>
            <w:r>
              <w:t xml:space="preserve">~500 MB/day</w:t>
            </w:r>
          </w:p>
        </w:tc>
      </w:tr>
      <w:tr>
        <w:tc>
          <w:tcPr/>
          <w:p>
            <w:pPr>
              <w:pStyle w:val="Compact"/>
              <w:jc w:val="left"/>
            </w:pPr>
            <w:r>
              <w:t xml:space="preserve">Power systems (UPS state, PDU per-outlet power, battery SoC, grid voltage)</w:t>
            </w:r>
          </w:p>
        </w:tc>
        <w:tc>
          <w:tcPr/>
          <w:p>
            <w:pPr>
              <w:pStyle w:val="Compact"/>
              <w:jc w:val="left"/>
            </w:pPr>
            <w:r>
              <w:t xml:space="preserve">Modbus TCP / SNMP</w:t>
            </w:r>
          </w:p>
        </w:tc>
        <w:tc>
          <w:tcPr/>
          <w:p>
            <w:pPr>
              <w:pStyle w:val="Compact"/>
              <w:jc w:val="left"/>
            </w:pPr>
            <w:r>
              <w:t xml:space="preserve">5–15 second intervals</w:t>
            </w:r>
          </w:p>
        </w:tc>
        <w:tc>
          <w:tcPr/>
          <w:p>
            <w:pPr>
              <w:pStyle w:val="Compact"/>
              <w:jc w:val="left"/>
            </w:pPr>
            <w:r>
              <w:t xml:space="preserve">~30 MB/day</w:t>
            </w:r>
          </w:p>
        </w:tc>
      </w:tr>
      <w:tr>
        <w:tc>
          <w:tcPr/>
          <w:p>
            <w:pPr>
              <w:pStyle w:val="Compact"/>
              <w:jc w:val="left"/>
            </w:pPr>
            <w:r>
              <w:t xml:space="preserve">Cooling systems (inlet/outlet temps, flow rates, pump status, ambient)</w:t>
            </w:r>
          </w:p>
        </w:tc>
        <w:tc>
          <w:tcPr/>
          <w:p>
            <w:pPr>
              <w:pStyle w:val="Compact"/>
              <w:jc w:val="left"/>
            </w:pPr>
            <w:r>
              <w:t xml:space="preserve">BACnet / Modbus</w:t>
            </w:r>
          </w:p>
        </w:tc>
        <w:tc>
          <w:tcPr/>
          <w:p>
            <w:pPr>
              <w:pStyle w:val="Compact"/>
              <w:jc w:val="left"/>
            </w:pPr>
            <w:r>
              <w:t xml:space="preserve">10–30 second intervals</w:t>
            </w:r>
          </w:p>
        </w:tc>
        <w:tc>
          <w:tcPr/>
          <w:p>
            <w:pPr>
              <w:pStyle w:val="Compact"/>
              <w:jc w:val="left"/>
            </w:pPr>
            <w:r>
              <w:t xml:space="preserve">~15 MB/day</w:t>
            </w:r>
          </w:p>
        </w:tc>
      </w:tr>
      <w:tr>
        <w:tc>
          <w:tcPr/>
          <w:p>
            <w:pPr>
              <w:pStyle w:val="Compact"/>
              <w:jc w:val="left"/>
            </w:pPr>
            <w:r>
              <w:t xml:space="preserve">Environmental sensors (room temp, humidity, water leak, smoke, door status)</w:t>
            </w:r>
          </w:p>
        </w:tc>
        <w:tc>
          <w:tcPr/>
          <w:p>
            <w:pPr>
              <w:pStyle w:val="Compact"/>
              <w:jc w:val="left"/>
            </w:pPr>
            <w:r>
              <w:t xml:space="preserve">MQTT from IoT sensors</w:t>
            </w:r>
          </w:p>
        </w:tc>
        <w:tc>
          <w:tcPr/>
          <w:p>
            <w:pPr>
              <w:pStyle w:val="Compact"/>
              <w:jc w:val="left"/>
            </w:pPr>
            <w:r>
              <w:t xml:space="preserve">Event-driven + 60 second heartbeat</w:t>
            </w:r>
          </w:p>
        </w:tc>
        <w:tc>
          <w:tcPr/>
          <w:p>
            <w:pPr>
              <w:pStyle w:val="Compact"/>
              <w:jc w:val="left"/>
            </w:pPr>
            <w:r>
              <w:t xml:space="preserve">~5 MB/day</w:t>
            </w:r>
          </w:p>
        </w:tc>
      </w:tr>
      <w:tr>
        <w:tc>
          <w:tcPr/>
          <w:p>
            <w:pPr>
              <w:pStyle w:val="Compact"/>
              <w:jc w:val="left"/>
            </w:pPr>
            <w:r>
              <w:t xml:space="preserve">Kubernetes cluster (pod state, resource usage, scheduling events, node health)</w:t>
            </w:r>
          </w:p>
        </w:tc>
        <w:tc>
          <w:tcPr/>
          <w:p>
            <w:pPr>
              <w:pStyle w:val="Compact"/>
              <w:jc w:val="left"/>
            </w:pPr>
            <w:r>
              <w:t xml:space="preserve">kube-state-metrics + cAdvisor</w:t>
            </w:r>
          </w:p>
        </w:tc>
        <w:tc>
          <w:tcPr/>
          <w:p>
            <w:pPr>
              <w:pStyle w:val="Compact"/>
              <w:jc w:val="left"/>
            </w:pPr>
            <w:r>
              <w:t xml:space="preserve">15 second intervals</w:t>
            </w:r>
          </w:p>
        </w:tc>
        <w:tc>
          <w:tcPr/>
          <w:p>
            <w:pPr>
              <w:pStyle w:val="Compact"/>
              <w:jc w:val="left"/>
            </w:pPr>
            <w:r>
              <w:t xml:space="preserve">~100 MB/day</w:t>
            </w:r>
          </w:p>
        </w:tc>
      </w:tr>
      <w:tr>
        <w:tc>
          <w:tcPr/>
          <w:p>
            <w:pPr>
              <w:pStyle w:val="Compact"/>
              <w:jc w:val="left"/>
            </w:pPr>
            <w:r>
              <w:t xml:space="preserve">Customer workloads (resource metering for billing: CPU-seconds, GPU-seconds, storage bytes, bandwidth)</w:t>
            </w:r>
          </w:p>
        </w:tc>
        <w:tc>
          <w:tcPr/>
          <w:p>
            <w:pPr>
              <w:pStyle w:val="Compact"/>
              <w:jc w:val="left"/>
            </w:pPr>
            <w:r>
              <w:t xml:space="preserve">Custom metering sidecar + eBPF</w:t>
            </w:r>
          </w:p>
        </w:tc>
        <w:tc>
          <w:tcPr/>
          <w:p>
            <w:pPr>
              <w:pStyle w:val="Compact"/>
              <w:jc w:val="left"/>
            </w:pPr>
            <w:r>
              <w:t xml:space="preserve">1 second intervals (aggregated to 10s for billing)</w:t>
            </w:r>
          </w:p>
        </w:tc>
        <w:tc>
          <w:tcPr/>
          <w:p>
            <w:pPr>
              <w:pStyle w:val="Compact"/>
              <w:jc w:val="left"/>
            </w:pPr>
            <w:r>
              <w:t xml:space="preserve">~300 MB/day</w:t>
            </w:r>
          </w:p>
        </w:tc>
      </w:tr>
    </w:tbl>
    <w:p>
      <w:pPr>
        <w:pStyle w:val="BodyText"/>
      </w:pPr>
      <w:r>
        <w:rPr>
          <w:b/>
          <w:bCs/>
        </w:rPr>
        <w:t xml:space="preserve">Total telemetry per edge node: ~1.2 GB/day (~15 KB/second sustained)</w:t>
      </w:r>
      <w:r>
        <w:t xml:space="preserve">. This is well within the backhaul capacity of even the smallest sites and is processed locally before transmission — only anomalies, aggregated metrics, and billing events are forwarded to the regional hub. Raw telemetry is retained locally for 30 days for forensic analysis and forwarded to hub-based long-term storage on a compressed, batched schedule.</w:t>
      </w:r>
    </w:p>
    <w:bookmarkEnd w:id="47"/>
    <w:bookmarkStart w:id="48" w:name="event-fabric-architecture"/>
    <w:p>
      <w:pPr>
        <w:pStyle w:val="Heading4"/>
      </w:pPr>
      <w:r>
        <w:t xml:space="preserve">Event Fabric Architecture</w:t>
      </w:r>
    </w:p>
    <w:p>
      <w:pPr>
        <w:pStyle w:val="FirstParagraph"/>
      </w:pPr>
      <w:r>
        <w:t xml:space="preserve">Events flow through a three-stage pipeline:</w:t>
      </w:r>
    </w:p>
    <w:p>
      <w:pPr>
        <w:pStyle w:val="BodyText"/>
      </w:pPr>
      <w:r>
        <w:rPr>
          <w:b/>
          <w:bCs/>
        </w:rPr>
        <w:t xml:space="preserve">Stage 1: Local Processing (Edge Node).</w:t>
      </w:r>
      <w:r>
        <w:t xml:space="preserve"> </w:t>
      </w:r>
      <w:r>
        <w:t xml:space="preserve">A lightweight stream processor (Flink-based or custom Rust agent) runs on each edge node, performing:</w:t>
      </w:r>
      <w:r>
        <w:t xml:space="preserve"> </w:t>
      </w:r>
      <w:r>
        <w:t xml:space="preserve">- Real-time anomaly detection on hardware telemetry (temperature spikes, error rate increases, power anomalies)</w:t>
      </w:r>
      <w:r>
        <w:t xml:space="preserve"> </w:t>
      </w:r>
      <w:r>
        <w:t xml:space="preserve">- Billing metering aggregation (1-second raw → 10-second windows → per-minute billing events)</w:t>
      </w:r>
      <w:r>
        <w:t xml:space="preserve"> </w:t>
      </w:r>
      <w:r>
        <w:t xml:space="preserve">- Local alert evaluation (if temperature &gt; threshold → trigger local cooling response before waiting for hub)</w:t>
      </w:r>
      <w:r>
        <w:t xml:space="preserve"> </w:t>
      </w:r>
      <w:r>
        <w:t xml:space="preserve">- Event filtering (only forward significant events to the hub; suppress noise)</w:t>
      </w:r>
    </w:p>
    <w:p>
      <w:pPr>
        <w:pStyle w:val="BodyText"/>
      </w:pPr>
      <w:r>
        <w:rPr>
          <w:b/>
          <w:bCs/>
        </w:rPr>
        <w:t xml:space="preserve">Stage 2: Regional Aggregation (Hub).</w:t>
      </w:r>
      <w:r>
        <w:t xml:space="preserve"> </w:t>
      </w:r>
      <w:r>
        <w:t xml:space="preserve">The regional hub’s Kafka cluster receives events from all its edge nodes and performs:</w:t>
      </w:r>
      <w:r>
        <w:t xml:space="preserve"> </w:t>
      </w:r>
      <w:r>
        <w:t xml:space="preserve">- Cross-node correlation (e.g., detecting that three nodes in the same area are experiencing power fluctuations → possible grid event)</w:t>
      </w:r>
      <w:r>
        <w:t xml:space="preserve"> </w:t>
      </w:r>
      <w:r>
        <w:t xml:space="preserve">- Workload-level SLA monitoring (aggregating metrics across the nodes serving a multi-node tenant deployment)</w:t>
      </w:r>
      <w:r>
        <w:t xml:space="preserve"> </w:t>
      </w:r>
      <w:r>
        <w:t xml:space="preserve">- Input preparation for AI agents (packaging telemetry, alerts, and context into structured prompts for the agent runtime)</w:t>
      </w:r>
      <w:r>
        <w:t xml:space="preserve"> </w:t>
      </w:r>
      <w:r>
        <w:t xml:space="preserve">- Persistent storage of all events in time-series format (Thanos for metrics, Loki for logs)</w:t>
      </w:r>
    </w:p>
    <w:p>
      <w:pPr>
        <w:pStyle w:val="BodyText"/>
      </w:pPr>
      <w:r>
        <w:rPr>
          <w:b/>
          <w:bCs/>
        </w:rPr>
        <w:t xml:space="preserve">Stage 3: Global Reconciliation (Control Plane).</w:t>
      </w:r>
      <w:r>
        <w:t xml:space="preserve"> </w:t>
      </w:r>
      <w:r>
        <w:t xml:space="preserve">The distributed control plane consumes aggregated events from all hubs for:</w:t>
      </w:r>
      <w:r>
        <w:t xml:space="preserve"> </w:t>
      </w:r>
      <w:r>
        <w:t xml:space="preserve">- Network-wide capacity planning and demand forecasting</w:t>
      </w:r>
      <w:r>
        <w:t xml:space="preserve"> </w:t>
      </w:r>
      <w:r>
        <w:t xml:space="preserve">- Cross-region billing reconciliation</w:t>
      </w:r>
      <w:r>
        <w:t xml:space="preserve"> </w:t>
      </w:r>
      <w:r>
        <w:t xml:space="preserve">- Model performance monitoring (are AI agents making good decisions across all regions?)</w:t>
      </w:r>
      <w:r>
        <w:t xml:space="preserve"> </w:t>
      </w:r>
      <w:r>
        <w:t xml:space="preserve">- Global incident correlation and response coordination</w:t>
      </w:r>
    </w:p>
    <w:bookmarkEnd w:id="48"/>
    <w:bookmarkEnd w:id="49"/>
    <w:bookmarkStart w:id="52" w:name="agent-to-infrastructure-actuation"/>
    <w:p>
      <w:pPr>
        <w:pStyle w:val="Heading3"/>
      </w:pPr>
      <w:r>
        <w:t xml:space="preserve">5.3 Agent-to-Infrastructure Actuation</w:t>
      </w:r>
    </w:p>
    <w:p>
      <w:pPr>
        <w:pStyle w:val="FirstParagraph"/>
      </w:pPr>
      <w:r>
        <w:t xml:space="preserve">AI agents do not execute shell commands or click buttons. They issue structured, validated, reversible actions through a controlled actuation layer. This is the most safety-critical component of the platform.</w:t>
      </w:r>
    </w:p>
    <w:bookmarkStart w:id="50" w:name="actuation-api-design"/>
    <w:p>
      <w:pPr>
        <w:pStyle w:val="Heading4"/>
      </w:pPr>
      <w:r>
        <w:t xml:space="preserve">Actuation API Design</w:t>
      </w:r>
    </w:p>
    <w:p>
      <w:pPr>
        <w:pStyle w:val="FirstParagraph"/>
      </w:pPr>
      <w:r>
        <w:t xml:space="preserve">Every action an AI agent can take is defined as a typed, parameterized operation with:</w:t>
      </w:r>
      <w:r>
        <w:t xml:space="preserve"> </w:t>
      </w:r>
      <w:r>
        <w:t xml:space="preserve">-</w:t>
      </w:r>
      <w:r>
        <w:t xml:space="preserve"> </w:t>
      </w:r>
      <w:r>
        <w:rPr>
          <w:b/>
          <w:bCs/>
        </w:rPr>
        <w:t xml:space="preserve">Pre-conditions:</w:t>
      </w:r>
      <w:r>
        <w:t xml:space="preserve"> </w:t>
      </w:r>
      <w:r>
        <w:t xml:space="preserve">Checks that must pass before the action executes (e.g.,</w:t>
      </w:r>
      <w:r>
        <w:t xml:space="preserve"> </w:t>
      </w:r>
      <w:r>
        <w:t xml:space="preserve">“</w:t>
      </w:r>
      <w:r>
        <w:t xml:space="preserve">target node has sufficient capacity</w:t>
      </w:r>
      <w:r>
        <w:t xml:space="preserve">”</w:t>
      </w:r>
      <w:r>
        <w:t xml:space="preserve"> </w:t>
      </w:r>
      <w:r>
        <w:t xml:space="preserve">before migrating a workload)</w:t>
      </w:r>
      <w:r>
        <w:t xml:space="preserve"> </w:t>
      </w:r>
      <w:r>
        <w:t xml:space="preserve">-</w:t>
      </w:r>
      <w:r>
        <w:t xml:space="preserve"> </w:t>
      </w:r>
      <w:r>
        <w:rPr>
          <w:b/>
          <w:bCs/>
        </w:rPr>
        <w:t xml:space="preserve">Dry-run mode:</w:t>
      </w:r>
      <w:r>
        <w:t xml:space="preserve"> </w:t>
      </w:r>
      <w:r>
        <w:t xml:space="preserve">The action can be simulated without effect, returning what would change</w:t>
      </w:r>
      <w:r>
        <w:t xml:space="preserve"> </w:t>
      </w:r>
      <w:r>
        <w:t xml:space="preserve">-</w:t>
      </w:r>
      <w:r>
        <w:t xml:space="preserve"> </w:t>
      </w:r>
      <w:r>
        <w:rPr>
          <w:b/>
          <w:bCs/>
        </w:rPr>
        <w:t xml:space="preserve">Blast radius annotation:</w:t>
      </w:r>
      <w:r>
        <w:t xml:space="preserve"> </w:t>
      </w:r>
      <w:r>
        <w:t xml:space="preserve">Each action is tagged with its potential impact scope (single pod, single server, single rack, single node, multi-node)</w:t>
      </w:r>
      <w:r>
        <w:t xml:space="preserve"> </w:t>
      </w:r>
      <w:r>
        <w:t xml:space="preserve">-</w:t>
      </w:r>
      <w:r>
        <w:t xml:space="preserve"> </w:t>
      </w:r>
      <w:r>
        <w:rPr>
          <w:b/>
          <w:bCs/>
        </w:rPr>
        <w:t xml:space="preserve">Rollback procedure:</w:t>
      </w:r>
      <w:r>
        <w:t xml:space="preserve"> </w:t>
      </w:r>
      <w:r>
        <w:t xml:space="preserve">Every action has a defined inverse operation for automated rollback</w:t>
      </w:r>
      <w:r>
        <w:t xml:space="preserve"> </w:t>
      </w:r>
      <w:r>
        <w:t xml:space="preserve">-</w:t>
      </w:r>
      <w:r>
        <w:t xml:space="preserve"> </w:t>
      </w:r>
      <w:r>
        <w:rPr>
          <w:b/>
          <w:bCs/>
        </w:rPr>
        <w:t xml:space="preserve">Approval gate:</w:t>
      </w:r>
      <w:r>
        <w:t xml:space="preserve"> </w:t>
      </w:r>
      <w:r>
        <w:t xml:space="preserve">Actions above a configurable blast radius require a second agent’s confirmation or human approval</w:t>
      </w:r>
    </w:p>
    <w:p>
      <w:pPr>
        <w:pStyle w:val="BodyText"/>
      </w:pPr>
      <w:r>
        <w:rPr>
          <w:b/>
          <w:bCs/>
        </w:rPr>
        <w:t xml:space="preserve">Actuation domains and their interfaces:</w:t>
      </w:r>
    </w:p>
    <w:tbl>
      <w:tblPr>
        <w:tblStyle w:val="Table"/>
        <w:tblW w:type="pct" w:w="5000"/>
        <w:jc w:val="left"/>
        <w:tblLayout w:type="fixed"/>
        <w:tblLook w:firstRow="1" w:lastRow="0" w:firstColumn="0" w:lastColumn="0" w:noHBand="0" w:noVBand="0" w:val="0020"/>
      </w:tblPr>
      <w:tblGrid>
        <w:gridCol w:w="1320"/>
        <w:gridCol w:w="1815"/>
        <w:gridCol w:w="2640"/>
        <w:gridCol w:w="2145"/>
      </w:tblGrid>
      <w:tr>
        <w:trPr>
          <w:tblHeader w:val="on"/>
        </w:trPr>
        <w:tc>
          <w:tcPr/>
          <w:p>
            <w:pPr>
              <w:pStyle w:val="Compact"/>
              <w:jc w:val="left"/>
            </w:pPr>
            <w:r>
              <w:t xml:space="preserve">Domain</w:t>
            </w:r>
          </w:p>
        </w:tc>
        <w:tc>
          <w:tcPr/>
          <w:p>
            <w:pPr>
              <w:pStyle w:val="Compact"/>
              <w:jc w:val="left"/>
            </w:pPr>
            <w:r>
              <w:t xml:space="preserve">Interface</w:t>
            </w:r>
          </w:p>
        </w:tc>
        <w:tc>
          <w:tcPr/>
          <w:p>
            <w:pPr>
              <w:pStyle w:val="Compact"/>
              <w:jc w:val="left"/>
            </w:pPr>
            <w:r>
              <w:t xml:space="preserve">Example Actions</w:t>
            </w:r>
          </w:p>
        </w:tc>
        <w:tc>
          <w:tcPr/>
          <w:p>
            <w:pPr>
              <w:pStyle w:val="Compact"/>
              <w:jc w:val="left"/>
            </w:pPr>
            <w:r>
              <w:t xml:space="preserve">Blast Radius</w:t>
            </w:r>
          </w:p>
        </w:tc>
      </w:tr>
      <w:tr>
        <w:tc>
          <w:tcPr/>
          <w:p>
            <w:pPr>
              <w:pStyle w:val="Compact"/>
              <w:jc w:val="left"/>
            </w:pPr>
            <w:r>
              <w:rPr>
                <w:b/>
                <w:bCs/>
              </w:rPr>
              <w:t xml:space="preserve">Compute</w:t>
            </w:r>
          </w:p>
        </w:tc>
        <w:tc>
          <w:tcPr/>
          <w:p>
            <w:pPr>
              <w:pStyle w:val="Compact"/>
              <w:jc w:val="left"/>
            </w:pPr>
            <w:r>
              <w:t xml:space="preserve">Kubernetes API (kubectl-equivalent)</w:t>
            </w:r>
          </w:p>
        </w:tc>
        <w:tc>
          <w:tcPr/>
          <w:p>
            <w:pPr>
              <w:pStyle w:val="Compact"/>
              <w:jc w:val="left"/>
            </w:pPr>
            <w:r>
              <w:t xml:space="preserve">Deploy pod, scale deployment, migrate workload, drain node</w:t>
            </w:r>
          </w:p>
        </w:tc>
        <w:tc>
          <w:tcPr/>
          <w:p>
            <w:pPr>
              <w:pStyle w:val="Compact"/>
              <w:jc w:val="left"/>
            </w:pPr>
            <w:r>
              <w:t xml:space="preserve">Pod → Deployment → Node</w:t>
            </w:r>
          </w:p>
        </w:tc>
      </w:tr>
      <w:tr>
        <w:tc>
          <w:tcPr/>
          <w:p>
            <w:pPr>
              <w:pStyle w:val="Compact"/>
              <w:jc w:val="left"/>
            </w:pPr>
            <w:r>
              <w:rPr>
                <w:b/>
                <w:bCs/>
              </w:rPr>
              <w:t xml:space="preserve">Hardware</w:t>
            </w:r>
          </w:p>
        </w:tc>
        <w:tc>
          <w:tcPr/>
          <w:p>
            <w:pPr>
              <w:pStyle w:val="Compact"/>
              <w:jc w:val="left"/>
            </w:pPr>
            <w:r>
              <w:t xml:space="preserve">Redfish REST API</w:t>
            </w:r>
          </w:p>
        </w:tc>
        <w:tc>
          <w:tcPr/>
          <w:p>
            <w:pPr>
              <w:pStyle w:val="Compact"/>
              <w:jc w:val="left"/>
            </w:pPr>
            <w:r>
              <w:t xml:space="preserve">Reboot server, update firmware, set power cap, read sensor</w:t>
            </w:r>
          </w:p>
        </w:tc>
        <w:tc>
          <w:tcPr/>
          <w:p>
            <w:pPr>
              <w:pStyle w:val="Compact"/>
              <w:jc w:val="left"/>
            </w:pPr>
            <w:r>
              <w:t xml:space="preserve">Single server</w:t>
            </w:r>
          </w:p>
        </w:tc>
      </w:tr>
      <w:tr>
        <w:tc>
          <w:tcPr/>
          <w:p>
            <w:pPr>
              <w:pStyle w:val="Compact"/>
              <w:jc w:val="left"/>
            </w:pPr>
            <w:r>
              <w:rPr>
                <w:b/>
                <w:bCs/>
              </w:rPr>
              <w:t xml:space="preserve">Network</w:t>
            </w:r>
          </w:p>
        </w:tc>
        <w:tc>
          <w:tcPr/>
          <w:p>
            <w:pPr>
              <w:pStyle w:val="Compact"/>
              <w:jc w:val="left"/>
            </w:pPr>
            <w:r>
              <w:t xml:space="preserve">gNMI + NETCONF</w:t>
            </w:r>
          </w:p>
        </w:tc>
        <w:tc>
          <w:tcPr/>
          <w:p>
            <w:pPr>
              <w:pStyle w:val="Compact"/>
              <w:jc w:val="left"/>
            </w:pPr>
            <w:r>
              <w:t xml:space="preserve">Reconfigure VLAN, update ACL, establish BGP peer, modify QoS</w:t>
            </w:r>
          </w:p>
        </w:tc>
        <w:tc>
          <w:tcPr/>
          <w:p>
            <w:pPr>
              <w:pStyle w:val="Compact"/>
              <w:jc w:val="left"/>
            </w:pPr>
            <w:r>
              <w:t xml:space="preserve">Port → Switch → Site → Network</w:t>
            </w:r>
          </w:p>
        </w:tc>
      </w:tr>
      <w:tr>
        <w:tc>
          <w:tcPr/>
          <w:p>
            <w:pPr>
              <w:pStyle w:val="Compact"/>
              <w:jc w:val="left"/>
            </w:pPr>
            <w:r>
              <w:rPr>
                <w:b/>
                <w:bCs/>
              </w:rPr>
              <w:t xml:space="preserve">Storage</w:t>
            </w:r>
          </w:p>
        </w:tc>
        <w:tc>
          <w:tcPr/>
          <w:p>
            <w:pPr>
              <w:pStyle w:val="Compact"/>
              <w:jc w:val="left"/>
            </w:pPr>
            <w:r>
              <w:t xml:space="preserve">Ceph/MinIO admin API</w:t>
            </w:r>
          </w:p>
        </w:tc>
        <w:tc>
          <w:tcPr/>
          <w:p>
            <w:pPr>
              <w:pStyle w:val="Compact"/>
              <w:jc w:val="left"/>
            </w:pPr>
            <w:r>
              <w:t xml:space="preserve">Create pool, set replication policy, rebalance placement groups, expand cluster</w:t>
            </w:r>
          </w:p>
        </w:tc>
        <w:tc>
          <w:tcPr/>
          <w:p>
            <w:pPr>
              <w:pStyle w:val="Compact"/>
              <w:jc w:val="left"/>
            </w:pPr>
            <w:r>
              <w:t xml:space="preserve">Volume → Pool → Cluster</w:t>
            </w:r>
          </w:p>
        </w:tc>
      </w:tr>
      <w:tr>
        <w:tc>
          <w:tcPr/>
          <w:p>
            <w:pPr>
              <w:pStyle w:val="Compact"/>
              <w:jc w:val="left"/>
            </w:pPr>
            <w:r>
              <w:rPr>
                <w:b/>
                <w:bCs/>
              </w:rPr>
              <w:t xml:space="preserve">Power</w:t>
            </w:r>
          </w:p>
        </w:tc>
        <w:tc>
          <w:tcPr/>
          <w:p>
            <w:pPr>
              <w:pStyle w:val="Compact"/>
              <w:jc w:val="left"/>
            </w:pPr>
            <w:r>
              <w:t xml:space="preserve">Modbus TCP + PDU API</w:t>
            </w:r>
          </w:p>
        </w:tc>
        <w:tc>
          <w:tcPr/>
          <w:p>
            <w:pPr>
              <w:pStyle w:val="Compact"/>
              <w:jc w:val="left"/>
            </w:pPr>
            <w:r>
              <w:t xml:space="preserve">Switch outlet, set power budget, trigger UPS test, enable generator</w:t>
            </w:r>
          </w:p>
        </w:tc>
        <w:tc>
          <w:tcPr/>
          <w:p>
            <w:pPr>
              <w:pStyle w:val="Compact"/>
              <w:jc w:val="left"/>
            </w:pPr>
            <w:r>
              <w:t xml:space="preserve">Outlet → Rack → Site</w:t>
            </w:r>
          </w:p>
        </w:tc>
      </w:tr>
      <w:tr>
        <w:tc>
          <w:tcPr/>
          <w:p>
            <w:pPr>
              <w:pStyle w:val="Compact"/>
              <w:jc w:val="left"/>
            </w:pPr>
            <w:r>
              <w:rPr>
                <w:b/>
                <w:bCs/>
              </w:rPr>
              <w:t xml:space="preserve">Cooling</w:t>
            </w:r>
          </w:p>
        </w:tc>
        <w:tc>
          <w:tcPr/>
          <w:p>
            <w:pPr>
              <w:pStyle w:val="Compact"/>
              <w:jc w:val="left"/>
            </w:pPr>
            <w:r>
              <w:t xml:space="preserve">BACnet + custom API</w:t>
            </w:r>
          </w:p>
        </w:tc>
        <w:tc>
          <w:tcPr/>
          <w:p>
            <w:pPr>
              <w:pStyle w:val="Compact"/>
              <w:jc w:val="left"/>
            </w:pPr>
            <w:r>
              <w:t xml:space="preserve">Adjust setpoint, change pump speed, switch cooling mode, activate economizer</w:t>
            </w:r>
          </w:p>
        </w:tc>
        <w:tc>
          <w:tcPr/>
          <w:p>
            <w:pPr>
              <w:pStyle w:val="Compact"/>
              <w:jc w:val="left"/>
            </w:pPr>
            <w:r>
              <w:t xml:space="preserve">Rack → Site</w:t>
            </w:r>
          </w:p>
        </w:tc>
      </w:tr>
      <w:tr>
        <w:tc>
          <w:tcPr/>
          <w:p>
            <w:pPr>
              <w:pStyle w:val="Compact"/>
              <w:jc w:val="left"/>
            </w:pPr>
            <w:r>
              <w:rPr>
                <w:b/>
                <w:bCs/>
              </w:rPr>
              <w:t xml:space="preserve">Customer</w:t>
            </w:r>
          </w:p>
        </w:tc>
        <w:tc>
          <w:tcPr/>
          <w:p>
            <w:pPr>
              <w:pStyle w:val="Compact"/>
              <w:jc w:val="left"/>
            </w:pPr>
            <w:r>
              <w:t xml:space="preserve">ANDD Customer API</w:t>
            </w:r>
          </w:p>
        </w:tc>
        <w:tc>
          <w:tcPr/>
          <w:p>
            <w:pPr>
              <w:pStyle w:val="Compact"/>
              <w:jc w:val="left"/>
            </w:pPr>
            <w:r>
              <w:t xml:space="preserve">Create tenant, provision resources, modify SLA, issue credit, send notification</w:t>
            </w:r>
          </w:p>
        </w:tc>
        <w:tc>
          <w:tcPr/>
          <w:p>
            <w:pPr>
              <w:pStyle w:val="Compact"/>
              <w:jc w:val="left"/>
            </w:pPr>
            <w:r>
              <w:t xml:space="preserve">Single tenant → Multi-tenant</w:t>
            </w:r>
          </w:p>
        </w:tc>
      </w:tr>
      <w:tr>
        <w:tc>
          <w:tcPr/>
          <w:p>
            <w:pPr>
              <w:pStyle w:val="Compact"/>
              <w:jc w:val="left"/>
            </w:pPr>
            <w:r>
              <w:rPr>
                <w:b/>
                <w:bCs/>
              </w:rPr>
              <w:t xml:space="preserve">Billing</w:t>
            </w:r>
          </w:p>
        </w:tc>
        <w:tc>
          <w:tcPr/>
          <w:p>
            <w:pPr>
              <w:pStyle w:val="Compact"/>
              <w:jc w:val="left"/>
            </w:pPr>
            <w:r>
              <w:t xml:space="preserve">Billing service API</w:t>
            </w:r>
          </w:p>
        </w:tc>
        <w:tc>
          <w:tcPr/>
          <w:p>
            <w:pPr>
              <w:pStyle w:val="Compact"/>
              <w:jc w:val="left"/>
            </w:pPr>
            <w:r>
              <w:t xml:space="preserve">Generate invoice, process payment, record metering event, adjust credit balance</w:t>
            </w:r>
          </w:p>
        </w:tc>
        <w:tc>
          <w:tcPr/>
          <w:p>
            <w:pPr>
              <w:pStyle w:val="Compact"/>
              <w:jc w:val="left"/>
            </w:pPr>
            <w:r>
              <w:t xml:space="preserve">Single account → Financial</w:t>
            </w:r>
          </w:p>
        </w:tc>
      </w:tr>
      <w:tr>
        <w:tc>
          <w:tcPr/>
          <w:p>
            <w:pPr>
              <w:pStyle w:val="Compact"/>
              <w:jc w:val="left"/>
            </w:pPr>
            <w:r>
              <w:rPr>
                <w:b/>
                <w:bCs/>
              </w:rPr>
              <w:t xml:space="preserve">DNS/Routing</w:t>
            </w:r>
          </w:p>
        </w:tc>
        <w:tc>
          <w:tcPr/>
          <w:p>
            <w:pPr>
              <w:pStyle w:val="Compact"/>
              <w:jc w:val="left"/>
            </w:pPr>
            <w:r>
              <w:t xml:space="preserve">PowerDNS API + BGP control</w:t>
            </w:r>
          </w:p>
        </w:tc>
        <w:tc>
          <w:tcPr/>
          <w:p>
            <w:pPr>
              <w:pStyle w:val="Compact"/>
              <w:jc w:val="left"/>
            </w:pPr>
            <w:r>
              <w:t xml:space="preserve">Update DNS record, announce/withdraw route, modify GSLB weight</w:t>
            </w:r>
          </w:p>
        </w:tc>
        <w:tc>
          <w:tcPr/>
          <w:p>
            <w:pPr>
              <w:pStyle w:val="Compact"/>
              <w:jc w:val="left"/>
            </w:pPr>
            <w:r>
              <w:t xml:space="preserve">Record → Zone → Global routing</w:t>
            </w:r>
          </w:p>
        </w:tc>
      </w:tr>
    </w:tbl>
    <w:bookmarkEnd w:id="50"/>
    <w:bookmarkStart w:id="51" w:name="action-execution-pipeline"/>
    <w:p>
      <w:pPr>
        <w:pStyle w:val="Heading4"/>
      </w:pPr>
      <w:r>
        <w:t xml:space="preserve">Action Execution Pipeline</w:t>
      </w:r>
    </w:p>
    <w:p>
      <w:pPr>
        <w:pStyle w:val="FirstParagraph"/>
      </w:pPr>
      <w:r>
        <w:t xml:space="preserve">When an AI agent decides to take an action, it does not execute directly. The action flows through a pipeline:</w:t>
      </w:r>
    </w:p>
    <w:p>
      <w:pPr>
        <w:numPr>
          <w:ilvl w:val="0"/>
          <w:numId w:val="1006"/>
        </w:numPr>
      </w:pPr>
      <w:r>
        <w:rPr>
          <w:b/>
          <w:bCs/>
        </w:rPr>
        <w:t xml:space="preserve">Agent emits intent.</w:t>
      </w:r>
      <w:r>
        <w:t xml:space="preserve"> </w:t>
      </w:r>
      <w:r>
        <w:t xml:space="preserve">The agent produces a structured action request:</w:t>
      </w:r>
      <w:r>
        <w:t xml:space="preserve"> </w:t>
      </w:r>
      <w:r>
        <w:rPr>
          <w:rStyle w:val="VerbatimChar"/>
        </w:rPr>
        <w:t xml:space="preserve">{"action": "migrate_workload", "workload_id": "w-123", "from_node": "edge-42", "to_node": "edge-43", "reason": "thermal_headroom", "urgency": "low"}</w:t>
      </w:r>
    </w:p>
    <w:p>
      <w:pPr>
        <w:numPr>
          <w:ilvl w:val="0"/>
          <w:numId w:val="1006"/>
        </w:numPr>
      </w:pPr>
      <w:r>
        <w:rPr>
          <w:b/>
          <w:bCs/>
        </w:rPr>
        <w:t xml:space="preserve">Validation engine.</w:t>
      </w:r>
      <w:r>
        <w:t xml:space="preserve"> </w:t>
      </w:r>
      <w:r>
        <w:t xml:space="preserve">A stateless validation service checks pre-conditions: Does the workload exist? Does the target node have capacity? Is the target node healthy? Are there any active maintenance windows? Would this violate any data residency policy?</w:t>
      </w:r>
    </w:p>
    <w:p>
      <w:pPr>
        <w:numPr>
          <w:ilvl w:val="0"/>
          <w:numId w:val="1006"/>
        </w:numPr>
      </w:pPr>
      <w:r>
        <w:rPr>
          <w:b/>
          <w:bCs/>
        </w:rPr>
        <w:t xml:space="preserve">Policy engine (OPA).</w:t>
      </w:r>
      <w:r>
        <w:t xml:space="preserve"> </w:t>
      </w:r>
      <w:r>
        <w:t xml:space="preserve">Open Policy Agent evaluates the action against tenant policies, compliance rules, and safety guardrails. Example policy:</w:t>
      </w:r>
      <w:r>
        <w:t xml:space="preserve"> </w:t>
      </w:r>
      <w:r>
        <w:t xml:space="preserve">“</w:t>
      </w:r>
      <w:r>
        <w:t xml:space="preserve">Government tenant workloads may not be migrated outside Region X.</w:t>
      </w:r>
      <w:r>
        <w:t xml:space="preserve">”</w:t>
      </w:r>
      <w:r>
        <w:t xml:space="preserve"> </w:t>
      </w:r>
      <w:r>
        <w:t xml:space="preserve">“</w:t>
      </w:r>
      <w:r>
        <w:t xml:space="preserve">No more than 10% of a tenant’s workloads may be in-migration simultaneously.</w:t>
      </w:r>
      <w:r>
        <w:t xml:space="preserve">”</w:t>
      </w:r>
    </w:p>
    <w:p>
      <w:pPr>
        <w:numPr>
          <w:ilvl w:val="0"/>
          <w:numId w:val="1006"/>
        </w:numPr>
      </w:pPr>
      <w:r>
        <w:rPr>
          <w:b/>
          <w:bCs/>
        </w:rPr>
        <w:t xml:space="preserve">Approval gate.</w:t>
      </w:r>
      <w:r>
        <w:t xml:space="preserve"> </w:t>
      </w:r>
      <w:r>
        <w:t xml:space="preserve">Based on blast radius and urgency: low-blast/high-urgency actions execute immediately; high-blast/low-urgency actions queue for second-agent review or human approval. The thresholds are configurable per customer tier.</w:t>
      </w:r>
    </w:p>
    <w:p>
      <w:pPr>
        <w:numPr>
          <w:ilvl w:val="0"/>
          <w:numId w:val="1006"/>
        </w:numPr>
      </w:pPr>
      <w:r>
        <w:rPr>
          <w:b/>
          <w:bCs/>
        </w:rPr>
        <w:t xml:space="preserve">Execution.</w:t>
      </w:r>
      <w:r>
        <w:t xml:space="preserve"> </w:t>
      </w:r>
      <w:r>
        <w:t xml:space="preserve">The actuation layer translates the validated action into API calls against the target infrastructure. For the migration example: cordon the source pod on Kubernetes, live-migrate the VM or container to the target node, verify health checks pass, uncordon.</w:t>
      </w:r>
    </w:p>
    <w:p>
      <w:pPr>
        <w:numPr>
          <w:ilvl w:val="0"/>
          <w:numId w:val="1006"/>
        </w:numPr>
      </w:pPr>
      <w:r>
        <w:rPr>
          <w:b/>
          <w:bCs/>
        </w:rPr>
        <w:t xml:space="preserve">Verification.</w:t>
      </w:r>
      <w:r>
        <w:t xml:space="preserve"> </w:t>
      </w:r>
      <w:r>
        <w:t xml:space="preserve">Post-action health checks confirm the expected state was achieved. If verification fails, the rollback procedure is initiated automatically.</w:t>
      </w:r>
    </w:p>
    <w:p>
      <w:pPr>
        <w:numPr>
          <w:ilvl w:val="0"/>
          <w:numId w:val="1006"/>
        </w:numPr>
      </w:pPr>
      <w:r>
        <w:rPr>
          <w:b/>
          <w:bCs/>
        </w:rPr>
        <w:t xml:space="preserve">Audit log.</w:t>
      </w:r>
      <w:r>
        <w:t xml:space="preserve"> </w:t>
      </w:r>
      <w:r>
        <w:t xml:space="preserve">The complete action lifecycle — intent, validation, policy evaluation, approval, execution, verification — is recorded as an immutable audit trail. Every AI decision is traceable to a specific event, a specific agent reasoning chain, and a specific outcome.</w:t>
      </w:r>
    </w:p>
    <w:bookmarkEnd w:id="51"/>
    <w:bookmarkEnd w:id="52"/>
    <w:bookmarkStart w:id="56" w:name="X985315f3dc24e75fc824caef15f13d7d7b11b2e"/>
    <w:p>
      <w:pPr>
        <w:pStyle w:val="Heading3"/>
      </w:pPr>
      <w:r>
        <w:t xml:space="preserve">5.4 Agent Coordination and Conflict Resolution</w:t>
      </w:r>
    </w:p>
    <w:p>
      <w:pPr>
        <w:pStyle w:val="FirstParagraph"/>
      </w:pPr>
      <w:r>
        <w:t xml:space="preserve">Multiple AI agents operating concurrently on the same infrastructure will inevitably propose conflicting actions. The platform provides explicit coordination mechanisms to prevent conflicts and resolve them when they occur.</w:t>
      </w:r>
    </w:p>
    <w:bookmarkStart w:id="53" w:name="resource-locking"/>
    <w:p>
      <w:pPr>
        <w:pStyle w:val="Heading4"/>
      </w:pPr>
      <w:r>
        <w:t xml:space="preserve">Resource Locking</w:t>
      </w:r>
    </w:p>
    <w:p>
      <w:pPr>
        <w:pStyle w:val="FirstParagraph"/>
      </w:pPr>
      <w:r>
        <w:t xml:space="preserve">Before executing any action that modifies a resource (server, network port, storage volume, tenant), the agent must acquire a distributed lock on that resource. Locks are:</w:t>
      </w:r>
      <w:r>
        <w:t xml:space="preserve"> </w:t>
      </w:r>
      <w:r>
        <w:t xml:space="preserve">-</w:t>
      </w:r>
      <w:r>
        <w:t xml:space="preserve"> </w:t>
      </w:r>
      <w:r>
        <w:rPr>
          <w:b/>
          <w:bCs/>
        </w:rPr>
        <w:t xml:space="preserve">Scoped:</w:t>
      </w:r>
      <w:r>
        <w:t xml:space="preserve"> </w:t>
      </w:r>
      <w:r>
        <w:t xml:space="preserve">A lock on a single server does not block actions on other servers in the same rack</w:t>
      </w:r>
      <w:r>
        <w:t xml:space="preserve"> </w:t>
      </w:r>
      <w:r>
        <w:t xml:space="preserve">-</w:t>
      </w:r>
      <w:r>
        <w:t xml:space="preserve"> </w:t>
      </w:r>
      <w:r>
        <w:rPr>
          <w:b/>
          <w:bCs/>
        </w:rPr>
        <w:t xml:space="preserve">Time-bounded:</w:t>
      </w:r>
      <w:r>
        <w:t xml:space="preserve"> </w:t>
      </w:r>
      <w:r>
        <w:t xml:space="preserve">Locks expire after a configurable TTL (default: 5 minutes) to prevent deadlocks from agent failures</w:t>
      </w:r>
      <w:r>
        <w:t xml:space="preserve"> </w:t>
      </w:r>
      <w:r>
        <w:t xml:space="preserve">-</w:t>
      </w:r>
      <w:r>
        <w:t xml:space="preserve"> </w:t>
      </w:r>
      <w:r>
        <w:rPr>
          <w:b/>
          <w:bCs/>
        </w:rPr>
        <w:t xml:space="preserve">Queued:</w:t>
      </w:r>
      <w:r>
        <w:t xml:space="preserve"> </w:t>
      </w:r>
      <w:r>
        <w:t xml:space="preserve">If a lock is held, other agents’ actions are queued (not rejected) and execute when the lock is released</w:t>
      </w:r>
      <w:r>
        <w:t xml:space="preserve"> </w:t>
      </w:r>
      <w:r>
        <w:t xml:space="preserve">-</w:t>
      </w:r>
      <w:r>
        <w:t xml:space="preserve"> </w:t>
      </w:r>
      <w:r>
        <w:rPr>
          <w:b/>
          <w:bCs/>
        </w:rPr>
        <w:t xml:space="preserve">Preemptible:</w:t>
      </w:r>
      <w:r>
        <w:t xml:space="preserve"> </w:t>
      </w:r>
      <w:r>
        <w:t xml:space="preserve">Higher-urgency actions (e.g., emergency thermal shutdown) can preempt lower-urgency locks</w:t>
      </w:r>
    </w:p>
    <w:bookmarkEnd w:id="53"/>
    <w:bookmarkStart w:id="54" w:name="multi-step-operation-orchestration"/>
    <w:p>
      <w:pPr>
        <w:pStyle w:val="Heading4"/>
      </w:pPr>
      <w:r>
        <w:t xml:space="preserve">Multi-Step Operation Orchestration</w:t>
      </w:r>
    </w:p>
    <w:p>
      <w:pPr>
        <w:pStyle w:val="FirstParagraph"/>
      </w:pPr>
      <w:r>
        <w:t xml:space="preserve">Complex operations (e.g.,</w:t>
      </w:r>
      <w:r>
        <w:t xml:space="preserve"> </w:t>
      </w:r>
      <w:r>
        <w:t xml:space="preserve">“</w:t>
      </w:r>
      <w:r>
        <w:t xml:space="preserve">perform rolling firmware update across all 12 servers at edge-42 with zero downtime</w:t>
      </w:r>
      <w:r>
        <w:t xml:space="preserve">”</w:t>
      </w:r>
      <w:r>
        <w:t xml:space="preserve">) require coordination across multiple agents:</w:t>
      </w:r>
    </w:p>
    <w:p>
      <w:pPr>
        <w:pStyle w:val="Compact"/>
        <w:numPr>
          <w:ilvl w:val="0"/>
          <w:numId w:val="1007"/>
        </w:numPr>
      </w:pPr>
      <w:r>
        <w:rPr>
          <w:b/>
          <w:bCs/>
        </w:rPr>
        <w:t xml:space="preserve">The Orchestration Agent</w:t>
      </w:r>
      <w:r>
        <w:t xml:space="preserve"> </w:t>
      </w:r>
      <w:r>
        <w:t xml:space="preserve">creates an operation plan: a directed acyclic graph (DAG) of steps with dependencies.</w:t>
      </w:r>
    </w:p>
    <w:p>
      <w:pPr>
        <w:pStyle w:val="Compact"/>
        <w:numPr>
          <w:ilvl w:val="0"/>
          <w:numId w:val="1007"/>
        </w:numPr>
      </w:pPr>
      <w:r>
        <w:t xml:space="preserve">Each step is assigned to the appropriate sub-agent (Provisioning Agent migrates workloads, Maintenance Agent triggers firmware update, SLA Guardian verifies no SLA breach).</w:t>
      </w:r>
    </w:p>
    <w:p>
      <w:pPr>
        <w:pStyle w:val="Compact"/>
        <w:numPr>
          <w:ilvl w:val="0"/>
          <w:numId w:val="1007"/>
        </w:numPr>
      </w:pPr>
      <w:r>
        <w:t xml:space="preserve">Steps execute in dependency order. The Orchestration Agent monitors progress and handles:</w:t>
      </w:r>
    </w:p>
    <w:p>
      <w:pPr>
        <w:pStyle w:val="Compact"/>
        <w:numPr>
          <w:ilvl w:val="1"/>
          <w:numId w:val="1008"/>
        </w:numPr>
      </w:pPr>
      <w:r>
        <w:rPr>
          <w:b/>
          <w:bCs/>
        </w:rPr>
        <w:t xml:space="preserve">Step failure:</w:t>
      </w:r>
      <w:r>
        <w:t xml:space="preserve"> </w:t>
      </w:r>
      <w:r>
        <w:t xml:space="preserve">Evaluate whether to retry, skip, or abort the entire operation</w:t>
      </w:r>
    </w:p>
    <w:p>
      <w:pPr>
        <w:pStyle w:val="Compact"/>
        <w:numPr>
          <w:ilvl w:val="1"/>
          <w:numId w:val="1008"/>
        </w:numPr>
      </w:pPr>
      <w:r>
        <w:rPr>
          <w:b/>
          <w:bCs/>
        </w:rPr>
        <w:t xml:space="preserve">Environment change:</w:t>
      </w:r>
      <w:r>
        <w:t xml:space="preserve"> </w:t>
      </w:r>
      <w:r>
        <w:t xml:space="preserve">If conditions change mid-operation (e.g., a different node fails), re-plan the remaining steps</w:t>
      </w:r>
    </w:p>
    <w:p>
      <w:pPr>
        <w:pStyle w:val="Compact"/>
        <w:numPr>
          <w:ilvl w:val="1"/>
          <w:numId w:val="1008"/>
        </w:numPr>
      </w:pPr>
      <w:r>
        <w:rPr>
          <w:b/>
          <w:bCs/>
        </w:rPr>
        <w:t xml:space="preserve">Timeout:</w:t>
      </w:r>
      <w:r>
        <w:t xml:space="preserve"> </w:t>
      </w:r>
      <w:r>
        <w:t xml:space="preserve">If a step exceeds its expected duration, escalate to human review</w:t>
      </w:r>
    </w:p>
    <w:bookmarkEnd w:id="54"/>
    <w:bookmarkStart w:id="55" w:name="conflict-resolution-hierarchy"/>
    <w:p>
      <w:pPr>
        <w:pStyle w:val="Heading4"/>
      </w:pPr>
      <w:r>
        <w:t xml:space="preserve">Conflict Resolution Hierarchy</w:t>
      </w:r>
    </w:p>
    <w:p>
      <w:pPr>
        <w:pStyle w:val="FirstParagraph"/>
      </w:pPr>
      <w:r>
        <w:t xml:space="preserve">When two agents propose mutually exclusive actions, the conflict resolution hierarchy applies:</w:t>
      </w:r>
    </w:p>
    <w:tbl>
      <w:tblPr>
        <w:tblStyle w:val="Table"/>
        <w:tblW w:type="pct" w:w="5000"/>
        <w:jc w:val="left"/>
        <w:tblLayout w:type="fixed"/>
        <w:tblLook w:firstRow="1" w:lastRow="0" w:firstColumn="0" w:lastColumn="0" w:noHBand="0" w:noVBand="0" w:val="0020"/>
      </w:tblPr>
      <w:tblGrid>
        <w:gridCol w:w="2828"/>
        <w:gridCol w:w="1980"/>
        <w:gridCol w:w="3111"/>
      </w:tblGrid>
      <w:tr>
        <w:trPr>
          <w:tblHeader w:val="on"/>
        </w:trPr>
        <w:tc>
          <w:tcPr/>
          <w:p>
            <w:pPr>
              <w:pStyle w:val="Compact"/>
              <w:jc w:val="left"/>
            </w:pPr>
            <w:r>
              <w:t xml:space="preserve">Priority</w:t>
            </w:r>
          </w:p>
        </w:tc>
        <w:tc>
          <w:tcPr/>
          <w:p>
            <w:pPr>
              <w:pStyle w:val="Compact"/>
              <w:jc w:val="left"/>
            </w:pPr>
            <w:r>
              <w:t xml:space="preserve">Agent</w:t>
            </w:r>
          </w:p>
        </w:tc>
        <w:tc>
          <w:tcPr/>
          <w:p>
            <w:pPr>
              <w:pStyle w:val="Compact"/>
              <w:jc w:val="left"/>
            </w:pPr>
            <w:r>
              <w:t xml:space="preserve">Rationale</w:t>
            </w:r>
          </w:p>
        </w:tc>
      </w:tr>
      <w:tr>
        <w:tc>
          <w:tcPr/>
          <w:p>
            <w:pPr>
              <w:pStyle w:val="Compact"/>
              <w:jc w:val="left"/>
            </w:pPr>
            <w:r>
              <w:t xml:space="preserve">1 (highest)</w:t>
            </w:r>
          </w:p>
        </w:tc>
        <w:tc>
          <w:tcPr/>
          <w:p>
            <w:pPr>
              <w:pStyle w:val="Compact"/>
              <w:jc w:val="left"/>
            </w:pPr>
            <w:r>
              <w:t xml:space="preserve">Safety systems (hardware shutdown, fire suppression)</w:t>
            </w:r>
          </w:p>
        </w:tc>
        <w:tc>
          <w:tcPr/>
          <w:p>
            <w:pPr>
              <w:pStyle w:val="Compact"/>
              <w:jc w:val="left"/>
            </w:pPr>
            <w:r>
              <w:t xml:space="preserve">Physical safety overrides all</w:t>
            </w:r>
          </w:p>
        </w:tc>
      </w:tr>
      <w:tr>
        <w:tc>
          <w:tcPr/>
          <w:p>
            <w:pPr>
              <w:pStyle w:val="Compact"/>
              <w:jc w:val="left"/>
            </w:pPr>
            <w:r>
              <w:t xml:space="preserve">2</w:t>
            </w:r>
          </w:p>
        </w:tc>
        <w:tc>
          <w:tcPr/>
          <w:p>
            <w:pPr>
              <w:pStyle w:val="Compact"/>
              <w:jc w:val="left"/>
            </w:pPr>
            <w:r>
              <w:t xml:space="preserve">SLA Guardian</w:t>
            </w:r>
          </w:p>
        </w:tc>
        <w:tc>
          <w:tcPr/>
          <w:p>
            <w:pPr>
              <w:pStyle w:val="Compact"/>
              <w:jc w:val="left"/>
            </w:pPr>
            <w:r>
              <w:t xml:space="preserve">Customer commitments take precedence over optimization</w:t>
            </w:r>
          </w:p>
        </w:tc>
      </w:tr>
      <w:tr>
        <w:tc>
          <w:tcPr/>
          <w:p>
            <w:pPr>
              <w:pStyle w:val="Compact"/>
              <w:jc w:val="left"/>
            </w:pPr>
            <w:r>
              <w:t xml:space="preserve">3</w:t>
            </w:r>
          </w:p>
        </w:tc>
        <w:tc>
          <w:tcPr/>
          <w:p>
            <w:pPr>
              <w:pStyle w:val="Compact"/>
              <w:jc w:val="left"/>
            </w:pPr>
            <w:r>
              <w:t xml:space="preserve">Predictive Maintenance</w:t>
            </w:r>
          </w:p>
        </w:tc>
        <w:tc>
          <w:tcPr/>
          <w:p>
            <w:pPr>
              <w:pStyle w:val="Compact"/>
              <w:jc w:val="left"/>
            </w:pPr>
            <w:r>
              <w:t xml:space="preserve">Preventing failures takes precedence over new deployments</w:t>
            </w:r>
          </w:p>
        </w:tc>
      </w:tr>
      <w:tr>
        <w:tc>
          <w:tcPr/>
          <w:p>
            <w:pPr>
              <w:pStyle w:val="Compact"/>
              <w:jc w:val="left"/>
            </w:pPr>
            <w:r>
              <w:t xml:space="preserve">4</w:t>
            </w:r>
          </w:p>
        </w:tc>
        <w:tc>
          <w:tcPr/>
          <w:p>
            <w:pPr>
              <w:pStyle w:val="Compact"/>
              <w:jc w:val="left"/>
            </w:pPr>
            <w:r>
              <w:t xml:space="preserve">Provisioning Agent</w:t>
            </w:r>
          </w:p>
        </w:tc>
        <w:tc>
          <w:tcPr/>
          <w:p>
            <w:pPr>
              <w:pStyle w:val="Compact"/>
              <w:jc w:val="left"/>
            </w:pPr>
            <w:r>
              <w:t xml:space="preserve">Customer requests take precedence over cost optimization</w:t>
            </w:r>
          </w:p>
        </w:tc>
      </w:tr>
      <w:tr>
        <w:tc>
          <w:tcPr/>
          <w:p>
            <w:pPr>
              <w:pStyle w:val="Compact"/>
              <w:jc w:val="left"/>
            </w:pPr>
            <w:r>
              <w:t xml:space="preserve">5</w:t>
            </w:r>
          </w:p>
        </w:tc>
        <w:tc>
          <w:tcPr/>
          <w:p>
            <w:pPr>
              <w:pStyle w:val="Compact"/>
              <w:jc w:val="left"/>
            </w:pPr>
            <w:r>
              <w:t xml:space="preserve">Billing Agent</w:t>
            </w:r>
          </w:p>
        </w:tc>
        <w:tc>
          <w:tcPr/>
          <w:p>
            <w:pPr>
              <w:pStyle w:val="Compact"/>
              <w:jc w:val="left"/>
            </w:pPr>
            <w:r>
              <w:t xml:space="preserve">Financial operations are important but rarely time-critical</w:t>
            </w:r>
          </w:p>
        </w:tc>
      </w:tr>
      <w:tr>
        <w:tc>
          <w:tcPr/>
          <w:p>
            <w:pPr>
              <w:pStyle w:val="Compact"/>
              <w:jc w:val="left"/>
            </w:pPr>
            <w:r>
              <w:t xml:space="preserve">6 (lowest)</w:t>
            </w:r>
          </w:p>
        </w:tc>
        <w:tc>
          <w:tcPr/>
          <w:p>
            <w:pPr>
              <w:pStyle w:val="Compact"/>
              <w:jc w:val="left"/>
            </w:pPr>
            <w:r>
              <w:t xml:space="preserve">Orchestration Agent (optimization)</w:t>
            </w:r>
          </w:p>
        </w:tc>
        <w:tc>
          <w:tcPr/>
          <w:p>
            <w:pPr>
              <w:pStyle w:val="Compact"/>
              <w:jc w:val="left"/>
            </w:pPr>
            <w:r>
              <w:t xml:space="preserve">Cost/efficiency optimization yields to all other concerns</w:t>
            </w:r>
          </w:p>
        </w:tc>
      </w:tr>
    </w:tbl>
    <w:bookmarkEnd w:id="55"/>
    <w:bookmarkEnd w:id="56"/>
    <w:bookmarkStart w:id="60" w:name="aiml-pipeline-for-agent-models"/>
    <w:p>
      <w:pPr>
        <w:pStyle w:val="Heading3"/>
      </w:pPr>
      <w:r>
        <w:t xml:space="preserve">5.5 AI/ML Pipeline for Agent Models</w:t>
      </w:r>
    </w:p>
    <w:p>
      <w:pPr>
        <w:pStyle w:val="FirstParagraph"/>
      </w:pPr>
      <w:r>
        <w:t xml:space="preserve">The AI agents are powered by machine learning models that must be trained, validated, deployed, and monitored across a distributed network. The ML pipeline is itself a distributed system.</w:t>
      </w:r>
    </w:p>
    <w:bookmarkStart w:id="57" w:name="model-taxonomy"/>
    <w:p>
      <w:pPr>
        <w:pStyle w:val="Heading4"/>
      </w:pPr>
      <w:r>
        <w:t xml:space="preserve">Model Taxonomy</w:t>
      </w:r>
    </w:p>
    <w:tbl>
      <w:tblPr>
        <w:tblStyle w:val="Table"/>
        <w:tblW w:type="pct" w:w="5000"/>
        <w:jc w:val="left"/>
        <w:tblLayout w:type="fixed"/>
        <w:tblLook w:firstRow="1" w:lastRow="0" w:firstColumn="0" w:lastColumn="0" w:noHBand="0" w:noVBand="0" w:val="0020"/>
      </w:tblPr>
      <w:tblGrid>
        <w:gridCol w:w="1300"/>
        <w:gridCol w:w="1536"/>
        <w:gridCol w:w="1654"/>
        <w:gridCol w:w="1418"/>
        <w:gridCol w:w="2009"/>
      </w:tblGrid>
      <w:tr>
        <w:trPr>
          <w:tblHeader w:val="on"/>
        </w:trPr>
        <w:tc>
          <w:tcPr/>
          <w:p>
            <w:pPr>
              <w:pStyle w:val="Compact"/>
              <w:jc w:val="left"/>
            </w:pPr>
            <w:r>
              <w:t xml:space="preserve">Model Type</w:t>
            </w:r>
          </w:p>
        </w:tc>
        <w:tc>
          <w:tcPr/>
          <w:p>
            <w:pPr>
              <w:pStyle w:val="Compact"/>
              <w:jc w:val="left"/>
            </w:pPr>
            <w:r>
              <w:t xml:space="preserve">Architecture</w:t>
            </w:r>
          </w:p>
        </w:tc>
        <w:tc>
          <w:tcPr/>
          <w:p>
            <w:pPr>
              <w:pStyle w:val="Compact"/>
              <w:jc w:val="left"/>
            </w:pPr>
            <w:r>
              <w:t xml:space="preserve">Training Data</w:t>
            </w:r>
          </w:p>
        </w:tc>
        <w:tc>
          <w:tcPr/>
          <w:p>
            <w:pPr>
              <w:pStyle w:val="Compact"/>
              <w:jc w:val="left"/>
            </w:pPr>
            <w:r>
              <w:t xml:space="preserve">Deployment</w:t>
            </w:r>
          </w:p>
        </w:tc>
        <w:tc>
          <w:tcPr/>
          <w:p>
            <w:pPr>
              <w:pStyle w:val="Compact"/>
              <w:jc w:val="left"/>
            </w:pPr>
            <w:r>
              <w:t xml:space="preserve">Update Frequency</w:t>
            </w:r>
          </w:p>
        </w:tc>
      </w:tr>
      <w:tr>
        <w:tc>
          <w:tcPr/>
          <w:p>
            <w:pPr>
              <w:pStyle w:val="Compact"/>
              <w:jc w:val="left"/>
            </w:pPr>
            <w:r>
              <w:rPr>
                <w:b/>
                <w:bCs/>
              </w:rPr>
              <w:t xml:space="preserve">Foundation reasoning model</w:t>
            </w:r>
          </w:p>
        </w:tc>
        <w:tc>
          <w:tcPr/>
          <w:p>
            <w:pPr>
              <w:pStyle w:val="Compact"/>
              <w:jc w:val="left"/>
            </w:pPr>
            <w:r>
              <w:t xml:space="preserve">Fine-tuned LLM (70B+ params)</w:t>
            </w:r>
          </w:p>
        </w:tc>
        <w:tc>
          <w:tcPr/>
          <w:p>
            <w:pPr>
              <w:pStyle w:val="Compact"/>
              <w:jc w:val="left"/>
            </w:pPr>
            <w:r>
              <w:t xml:space="preserve">Datacenter operations manuals, incident reports, customer interaction logs, vendor documentation</w:t>
            </w:r>
          </w:p>
        </w:tc>
        <w:tc>
          <w:tcPr/>
          <w:p>
            <w:pPr>
              <w:pStyle w:val="Compact"/>
              <w:jc w:val="left"/>
            </w:pPr>
            <w:r>
              <w:t xml:space="preserve">Regional Hubs only (GPU-intensive inference)</w:t>
            </w:r>
          </w:p>
        </w:tc>
        <w:tc>
          <w:tcPr/>
          <w:p>
            <w:pPr>
              <w:pStyle w:val="Compact"/>
              <w:jc w:val="left"/>
            </w:pPr>
            <w:r>
              <w:t xml:space="preserve">Quarterly major updates, monthly fine-tuning</w:t>
            </w:r>
          </w:p>
        </w:tc>
      </w:tr>
      <w:tr>
        <w:tc>
          <w:tcPr/>
          <w:p>
            <w:pPr>
              <w:pStyle w:val="Compact"/>
              <w:jc w:val="left"/>
            </w:pPr>
            <w:r>
              <w:rPr>
                <w:b/>
                <w:bCs/>
              </w:rPr>
              <w:t xml:space="preserve">Predictive maintenance</w:t>
            </w:r>
          </w:p>
        </w:tc>
        <w:tc>
          <w:tcPr/>
          <w:p>
            <w:pPr>
              <w:pStyle w:val="Compact"/>
              <w:jc w:val="left"/>
            </w:pPr>
            <w:r>
              <w:t xml:space="preserve">Time-series transformer</w:t>
            </w:r>
          </w:p>
        </w:tc>
        <w:tc>
          <w:tcPr/>
          <w:p>
            <w:pPr>
              <w:pStyle w:val="Compact"/>
              <w:jc w:val="left"/>
            </w:pPr>
            <w:r>
              <w:t xml:space="preserve">Hardware telemetry + failure history across all nodes</w:t>
            </w:r>
          </w:p>
        </w:tc>
        <w:tc>
          <w:tcPr/>
          <w:p>
            <w:pPr>
              <w:pStyle w:val="Compact"/>
              <w:jc w:val="left"/>
            </w:pPr>
            <w:r>
              <w:t xml:space="preserve">Edge Nodes (lightweight) + Hubs (full model)</w:t>
            </w:r>
          </w:p>
        </w:tc>
        <w:tc>
          <w:tcPr/>
          <w:p>
            <w:pPr>
              <w:pStyle w:val="Compact"/>
              <w:jc w:val="left"/>
            </w:pPr>
            <w:r>
              <w:t xml:space="preserve">Monthly retraining on rolling 12-month data</w:t>
            </w:r>
          </w:p>
        </w:tc>
      </w:tr>
      <w:tr>
        <w:tc>
          <w:tcPr/>
          <w:p>
            <w:pPr>
              <w:pStyle w:val="Compact"/>
              <w:jc w:val="left"/>
            </w:pPr>
            <w:r>
              <w:rPr>
                <w:b/>
                <w:bCs/>
              </w:rPr>
              <w:t xml:space="preserve">Workload scheduler</w:t>
            </w:r>
          </w:p>
        </w:tc>
        <w:tc>
          <w:tcPr/>
          <w:p>
            <w:pPr>
              <w:pStyle w:val="Compact"/>
              <w:jc w:val="left"/>
            </w:pPr>
            <w:r>
              <w:t xml:space="preserve">Reinforcement learning agent</w:t>
            </w:r>
          </w:p>
        </w:tc>
        <w:tc>
          <w:tcPr/>
          <w:p>
            <w:pPr>
              <w:pStyle w:val="Compact"/>
              <w:jc w:val="left"/>
            </w:pPr>
            <w:r>
              <w:t xml:space="preserve">Workload placement outcomes, latency measurements, cost data</w:t>
            </w:r>
          </w:p>
        </w:tc>
        <w:tc>
          <w:tcPr/>
          <w:p>
            <w:pPr>
              <w:pStyle w:val="Compact"/>
              <w:jc w:val="left"/>
            </w:pPr>
            <w:r>
              <w:t xml:space="preserve">Regional Hubs</w:t>
            </w:r>
          </w:p>
        </w:tc>
        <w:tc>
          <w:tcPr/>
          <w:p>
            <w:pPr>
              <w:pStyle w:val="Compact"/>
              <w:jc w:val="left"/>
            </w:pPr>
            <w:r>
              <w:t xml:space="preserve">Continuous online learning with weekly policy snapshots</w:t>
            </w:r>
          </w:p>
        </w:tc>
      </w:tr>
      <w:tr>
        <w:tc>
          <w:tcPr/>
          <w:p>
            <w:pPr>
              <w:pStyle w:val="Compact"/>
              <w:jc w:val="left"/>
            </w:pPr>
            <w:r>
              <w:rPr>
                <w:b/>
                <w:bCs/>
              </w:rPr>
              <w:t xml:space="preserve">Anomaly detection</w:t>
            </w:r>
          </w:p>
        </w:tc>
        <w:tc>
          <w:tcPr/>
          <w:p>
            <w:pPr>
              <w:pStyle w:val="Compact"/>
              <w:jc w:val="left"/>
            </w:pPr>
            <w:r>
              <w:t xml:space="preserve">Autoencoder + statistical ensemble</w:t>
            </w:r>
          </w:p>
        </w:tc>
        <w:tc>
          <w:tcPr/>
          <w:p>
            <w:pPr>
              <w:pStyle w:val="Compact"/>
              <w:jc w:val="left"/>
            </w:pPr>
            <w:r>
              <w:t xml:space="preserve">Normal operating telemetry per hardware type</w:t>
            </w:r>
          </w:p>
        </w:tc>
        <w:tc>
          <w:tcPr/>
          <w:p>
            <w:pPr>
              <w:pStyle w:val="Compact"/>
              <w:jc w:val="left"/>
            </w:pPr>
            <w:r>
              <w:t xml:space="preserve">Edge Nodes (per-device models)</w:t>
            </w:r>
          </w:p>
        </w:tc>
        <w:tc>
          <w:tcPr/>
          <w:p>
            <w:pPr>
              <w:pStyle w:val="Compact"/>
              <w:jc w:val="left"/>
            </w:pPr>
            <w:r>
              <w:t xml:space="preserve">Retrained on new hardware introduction</w:t>
            </w:r>
          </w:p>
        </w:tc>
      </w:tr>
      <w:tr>
        <w:tc>
          <w:tcPr/>
          <w:p>
            <w:pPr>
              <w:pStyle w:val="Compact"/>
              <w:jc w:val="left"/>
            </w:pPr>
            <w:r>
              <w:rPr>
                <w:b/>
                <w:bCs/>
              </w:rPr>
              <w:t xml:space="preserve">Network optimizer</w:t>
            </w:r>
          </w:p>
        </w:tc>
        <w:tc>
          <w:tcPr/>
          <w:p>
            <w:pPr>
              <w:pStyle w:val="Compact"/>
              <w:jc w:val="left"/>
            </w:pPr>
            <w:r>
              <w:t xml:space="preserve">Graph neural network</w:t>
            </w:r>
          </w:p>
        </w:tc>
        <w:tc>
          <w:tcPr/>
          <w:p>
            <w:pPr>
              <w:pStyle w:val="Compact"/>
              <w:jc w:val="left"/>
            </w:pPr>
            <w:r>
              <w:t xml:space="preserve">Network topology, traffic flow matrices, peering economics</w:t>
            </w:r>
          </w:p>
        </w:tc>
        <w:tc>
          <w:tcPr/>
          <w:p>
            <w:pPr>
              <w:pStyle w:val="Compact"/>
              <w:jc w:val="left"/>
            </w:pPr>
            <w:r>
              <w:t xml:space="preserve">Regional Hubs</w:t>
            </w:r>
          </w:p>
        </w:tc>
        <w:tc>
          <w:tcPr/>
          <w:p>
            <w:pPr>
              <w:pStyle w:val="Compact"/>
              <w:jc w:val="left"/>
            </w:pPr>
            <w:r>
              <w:t xml:space="preserve">Weekly retraining</w:t>
            </w:r>
          </w:p>
        </w:tc>
      </w:tr>
      <w:tr>
        <w:tc>
          <w:tcPr/>
          <w:p>
            <w:pPr>
              <w:pStyle w:val="Compact"/>
              <w:jc w:val="left"/>
            </w:pPr>
            <w:r>
              <w:rPr>
                <w:b/>
                <w:bCs/>
              </w:rPr>
              <w:t xml:space="preserve">Demand forecaster</w:t>
            </w:r>
          </w:p>
        </w:tc>
        <w:tc>
          <w:tcPr/>
          <w:p>
            <w:pPr>
              <w:pStyle w:val="Compact"/>
              <w:jc w:val="left"/>
            </w:pPr>
            <w:r>
              <w:t xml:space="preserve">Temporal fusion transformer</w:t>
            </w:r>
          </w:p>
        </w:tc>
        <w:tc>
          <w:tcPr/>
          <w:p>
            <w:pPr>
              <w:pStyle w:val="Compact"/>
              <w:jc w:val="left"/>
            </w:pPr>
            <w:r>
              <w:t xml:space="preserve">Historical utilization, seasonality, customer pipeline, macro indicators</w:t>
            </w:r>
          </w:p>
        </w:tc>
        <w:tc>
          <w:tcPr/>
          <w:p>
            <w:pPr>
              <w:pStyle w:val="Compact"/>
              <w:jc w:val="left"/>
            </w:pPr>
            <w:r>
              <w:t xml:space="preserve">Control Plane (global model)</w:t>
            </w:r>
          </w:p>
        </w:tc>
        <w:tc>
          <w:tcPr/>
          <w:p>
            <w:pPr>
              <w:pStyle w:val="Compact"/>
              <w:jc w:val="left"/>
            </w:pPr>
            <w:r>
              <w:t xml:space="preserve">Daily retraining on rolling 90-day data</w:t>
            </w:r>
          </w:p>
        </w:tc>
      </w:tr>
      <w:tr>
        <w:tc>
          <w:tcPr/>
          <w:p>
            <w:pPr>
              <w:pStyle w:val="Compact"/>
              <w:jc w:val="left"/>
            </w:pPr>
            <w:r>
              <w:rPr>
                <w:b/>
                <w:bCs/>
              </w:rPr>
              <w:t xml:space="preserve">NLP for customer interaction</w:t>
            </w:r>
          </w:p>
        </w:tc>
        <w:tc>
          <w:tcPr/>
          <w:p>
            <w:pPr>
              <w:pStyle w:val="Compact"/>
              <w:jc w:val="left"/>
            </w:pPr>
            <w:r>
              <w:t xml:space="preserve">Fine-tuned LLM (13B params)</w:t>
            </w:r>
          </w:p>
        </w:tc>
        <w:tc>
          <w:tcPr/>
          <w:p>
            <w:pPr>
              <w:pStyle w:val="Compact"/>
              <w:jc w:val="left"/>
            </w:pPr>
            <w:r>
              <w:t xml:space="preserve">Customer support conversations, documentation, FAQs</w:t>
            </w:r>
          </w:p>
        </w:tc>
        <w:tc>
          <w:tcPr/>
          <w:p>
            <w:pPr>
              <w:pStyle w:val="Compact"/>
              <w:jc w:val="left"/>
            </w:pPr>
            <w:r>
              <w:t xml:space="preserve">Regional Hubs</w:t>
            </w:r>
          </w:p>
        </w:tc>
        <w:tc>
          <w:tcPr/>
          <w:p>
            <w:pPr>
              <w:pStyle w:val="Compact"/>
              <w:jc w:val="left"/>
            </w:pPr>
            <w:r>
              <w:t xml:space="preserve">Monthly fine-tuning</w:t>
            </w:r>
          </w:p>
        </w:tc>
      </w:tr>
    </w:tbl>
    <w:bookmarkEnd w:id="57"/>
    <w:bookmarkStart w:id="58" w:name="staged-deployment-protocol"/>
    <w:p>
      <w:pPr>
        <w:pStyle w:val="Heading4"/>
      </w:pPr>
      <w:r>
        <w:t xml:space="preserve">Staged Deployment Protocol</w:t>
      </w:r>
    </w:p>
    <w:p>
      <w:pPr>
        <w:pStyle w:val="FirstParagraph"/>
      </w:pPr>
      <w:r>
        <w:t xml:space="preserve">Model updates are deployed using a four-stage protocol designed to prevent a bad model from causing network-wide damage:</w:t>
      </w:r>
    </w:p>
    <w:p>
      <w:pPr>
        <w:pStyle w:val="BodyText"/>
      </w:pPr>
      <w:r>
        <w:rPr>
          <w:b/>
          <w:bCs/>
        </w:rPr>
        <w:t xml:space="preserve">Stage 1: Shadow Mode.</w:t>
      </w:r>
      <w:r>
        <w:t xml:space="preserve"> </w:t>
      </w:r>
      <w:r>
        <w:t xml:space="preserve">The new model runs alongside the current production model on a single regional hub. Both models receive the same inputs. The new model’s outputs are logged but not acted upon. Operators compare decisions: where do they agree? Where do they diverge? Are the new model’s divergent decisions better?</w:t>
      </w:r>
    </w:p>
    <w:p>
      <w:pPr>
        <w:pStyle w:val="BodyText"/>
      </w:pPr>
      <w:r>
        <w:rPr>
          <w:b/>
          <w:bCs/>
        </w:rPr>
        <w:t xml:space="preserve">Stage 2: Canary Deployment.</w:t>
      </w:r>
      <w:r>
        <w:t xml:space="preserve"> </w:t>
      </w:r>
      <w:r>
        <w:t xml:space="preserve">The new model is promoted to production on a single hub, managing 5–10% of the network’s edge nodes. The SLA Guardian monitors all customer-facing metrics for degradation. Automatic rollback triggers if any SLA metric degrades by &gt;5% relative to the control group.</w:t>
      </w:r>
    </w:p>
    <w:p>
      <w:pPr>
        <w:pStyle w:val="BodyText"/>
      </w:pPr>
      <w:r>
        <w:rPr>
          <w:b/>
          <w:bCs/>
        </w:rPr>
        <w:t xml:space="preserve">Stage 3: Graduated Rollout.</w:t>
      </w:r>
      <w:r>
        <w:t xml:space="preserve"> </w:t>
      </w:r>
      <w:r>
        <w:t xml:space="preserve">Over 1–2 weeks, the new model is deployed to additional hubs: 25% → 50% → 75% → 100%. At each step, the platform compares operational metrics (incident rate, SLA performance, cost efficiency, customer satisfaction scores) against the previous stage.</w:t>
      </w:r>
    </w:p>
    <w:p>
      <w:pPr>
        <w:pStyle w:val="BodyText"/>
      </w:pPr>
      <w:r>
        <w:rPr>
          <w:b/>
          <w:bCs/>
        </w:rPr>
        <w:t xml:space="preserve">Stage 4: Full Production.</w:t>
      </w:r>
      <w:r>
        <w:t xml:space="preserve"> </w:t>
      </w:r>
      <w:r>
        <w:t xml:space="preserve">The new model is running across all hubs. The previous model is retained as a hot standby for 30 days. If any latent issue emerges, a single command reverts the entire network to the previous model.</w:t>
      </w:r>
    </w:p>
    <w:bookmarkEnd w:id="58"/>
    <w:bookmarkStart w:id="59" w:name="continuous-learning-and-feedback-loops"/>
    <w:p>
      <w:pPr>
        <w:pStyle w:val="Heading4"/>
      </w:pPr>
      <w:r>
        <w:t xml:space="preserve">Continuous Learning and Feedback Loops</w:t>
      </w:r>
    </w:p>
    <w:p>
      <w:pPr>
        <w:pStyle w:val="FirstParagraph"/>
      </w:pPr>
      <w:r>
        <w:t xml:space="preserve">The AI agents learn from every action they take:</w:t>
      </w:r>
    </w:p>
    <w:p>
      <w:pPr>
        <w:pStyle w:val="Compact"/>
        <w:numPr>
          <w:ilvl w:val="0"/>
          <w:numId w:val="1009"/>
        </w:numPr>
      </w:pPr>
      <w:r>
        <w:rPr>
          <w:b/>
          <w:bCs/>
        </w:rPr>
        <w:t xml:space="preserve">Outcome tracking.</w:t>
      </w:r>
      <w:r>
        <w:t xml:space="preserve"> </w:t>
      </w:r>
      <w:r>
        <w:t xml:space="preserve">Every action is linked to its eventual outcome. Did the workload migration improve latency as predicted? Did the preventive maintenance prevent the forecasted failure? Did the customer onboarding result in a retained customer?</w:t>
      </w:r>
    </w:p>
    <w:p>
      <w:pPr>
        <w:pStyle w:val="Compact"/>
        <w:numPr>
          <w:ilvl w:val="0"/>
          <w:numId w:val="1009"/>
        </w:numPr>
      </w:pPr>
      <w:r>
        <w:rPr>
          <w:b/>
          <w:bCs/>
        </w:rPr>
        <w:t xml:space="preserve">Reward signals.</w:t>
      </w:r>
      <w:r>
        <w:t xml:space="preserve"> </w:t>
      </w:r>
      <w:r>
        <w:t xml:space="preserve">The reinforcement learning models receive explicit reward signals: SLA credits issued (negative reward), successful failure prevention (positive), customer churn (negative), energy cost reduction (positive).</w:t>
      </w:r>
    </w:p>
    <w:p>
      <w:pPr>
        <w:pStyle w:val="Compact"/>
        <w:numPr>
          <w:ilvl w:val="0"/>
          <w:numId w:val="1009"/>
        </w:numPr>
      </w:pPr>
      <w:r>
        <w:rPr>
          <w:b/>
          <w:bCs/>
        </w:rPr>
        <w:t xml:space="preserve">Human feedback incorporation.</w:t>
      </w:r>
      <w:r>
        <w:t xml:space="preserve"> </w:t>
      </w:r>
      <w:r>
        <w:t xml:space="preserve">When a human operator overrides or corrects an AI decision, the correction is captured as a training signal. The platform tracks override rate as a key metric — a rising override rate indicates model degradation.</w:t>
      </w:r>
    </w:p>
    <w:p>
      <w:pPr>
        <w:pStyle w:val="Compact"/>
        <w:numPr>
          <w:ilvl w:val="0"/>
          <w:numId w:val="1009"/>
        </w:numPr>
      </w:pPr>
      <w:r>
        <w:rPr>
          <w:b/>
          <w:bCs/>
        </w:rPr>
        <w:t xml:space="preserve">Drift detection.</w:t>
      </w:r>
      <w:r>
        <w:t xml:space="preserve"> </w:t>
      </w:r>
      <w:r>
        <w:t xml:space="preserve">The platform monitors for data drift (input telemetry distributions changing) and concept drift (the relationship between inputs and correct decisions changing). Drift detection triggers automatic retraining alerts.</w:t>
      </w:r>
    </w:p>
    <w:bookmarkEnd w:id="59"/>
    <w:bookmarkEnd w:id="60"/>
    <w:bookmarkStart w:id="63" w:name="observability-and-auditability"/>
    <w:p>
      <w:pPr>
        <w:pStyle w:val="Heading3"/>
      </w:pPr>
      <w:r>
        <w:t xml:space="preserve">5.6 Observability and Auditability</w:t>
      </w:r>
    </w:p>
    <w:p>
      <w:pPr>
        <w:pStyle w:val="FirstParagraph"/>
      </w:pPr>
      <w:r>
        <w:t xml:space="preserve">Operating a network of AI-managed datacenters requires an observability system that answers two questions:</w:t>
      </w:r>
      <w:r>
        <w:t xml:space="preserve"> </w:t>
      </w:r>
      <w:r>
        <w:t xml:space="preserve">“</w:t>
      </w:r>
      <w:r>
        <w:t xml:space="preserve">What is happening right now?</w:t>
      </w:r>
      <w:r>
        <w:t xml:space="preserve">”</w:t>
      </w:r>
      <w:r>
        <w:t xml:space="preserve"> </w:t>
      </w:r>
      <w:r>
        <w:t xml:space="preserve">and</w:t>
      </w:r>
      <w:r>
        <w:t xml:space="preserve"> </w:t>
      </w:r>
      <w:r>
        <w:t xml:space="preserve">“</w:t>
      </w:r>
      <w:r>
        <w:t xml:space="preserve">Why did the AI do that?</w:t>
      </w:r>
      <w:r>
        <w:t xml:space="preserve">”</w:t>
      </w:r>
    </w:p>
    <w:bookmarkStart w:id="61" w:name="real-time-observability"/>
    <w:p>
      <w:pPr>
        <w:pStyle w:val="Heading4"/>
      </w:pPr>
      <w:r>
        <w:t xml:space="preserve">Real-Time Observability</w:t>
      </w:r>
    </w:p>
    <w:p>
      <w:pPr>
        <w:pStyle w:val="Compact"/>
        <w:numPr>
          <w:ilvl w:val="0"/>
          <w:numId w:val="1010"/>
        </w:numPr>
      </w:pPr>
      <w:r>
        <w:rPr>
          <w:b/>
          <w:bCs/>
        </w:rPr>
        <w:t xml:space="preserve">Network-wide dashboard.</w:t>
      </w:r>
      <w:r>
        <w:t xml:space="preserve"> </w:t>
      </w:r>
      <w:r>
        <w:t xml:space="preserve">A single-pane-of-glass view showing every node’s health status, active workloads, power utilization, thermal state, network throughput, and SLA compliance. Implemented as a Grafana-based dashboard consuming Prometheus/Thanos metrics.</w:t>
      </w:r>
    </w:p>
    <w:p>
      <w:pPr>
        <w:pStyle w:val="Compact"/>
        <w:numPr>
          <w:ilvl w:val="0"/>
          <w:numId w:val="1010"/>
        </w:numPr>
      </w:pPr>
      <w:r>
        <w:rPr>
          <w:b/>
          <w:bCs/>
        </w:rPr>
        <w:t xml:space="preserve">Per-tenant view.</w:t>
      </w:r>
      <w:r>
        <w:t xml:space="preserve"> </w:t>
      </w:r>
      <w:r>
        <w:t xml:space="preserve">Each customer has a real-time dashboard showing their workloads, resource utilization, SLA performance, and billing. This view is generated by the AI management layer and served through the API gateway.</w:t>
      </w:r>
    </w:p>
    <w:p>
      <w:pPr>
        <w:pStyle w:val="Compact"/>
        <w:numPr>
          <w:ilvl w:val="0"/>
          <w:numId w:val="1010"/>
        </w:numPr>
      </w:pPr>
      <w:r>
        <w:rPr>
          <w:b/>
          <w:bCs/>
        </w:rPr>
        <w:t xml:space="preserve">Anomaly feed.</w:t>
      </w:r>
      <w:r>
        <w:t xml:space="preserve"> </w:t>
      </w:r>
      <w:r>
        <w:t xml:space="preserve">A prioritized stream of detected anomalies across the network, with AI-generated severity assessment and recommended response. Human operators monitor this feed and intervene when AI confidence is low.</w:t>
      </w:r>
    </w:p>
    <w:bookmarkEnd w:id="61"/>
    <w:bookmarkStart w:id="62" w:name="ai-decision-audit-trail"/>
    <w:p>
      <w:pPr>
        <w:pStyle w:val="Heading4"/>
      </w:pPr>
      <w:r>
        <w:t xml:space="preserve">AI Decision Audit Trail</w:t>
      </w:r>
    </w:p>
    <w:p>
      <w:pPr>
        <w:pStyle w:val="FirstParagraph"/>
      </w:pPr>
      <w:r>
        <w:t xml:space="preserve">Every AI agent decision is logged with:</w:t>
      </w:r>
      <w:r>
        <w:t xml:space="preserve"> </w:t>
      </w:r>
      <w:r>
        <w:t xml:space="preserve">-</w:t>
      </w:r>
      <w:r>
        <w:t xml:space="preserve"> </w:t>
      </w:r>
      <w:r>
        <w:rPr>
          <w:b/>
          <w:bCs/>
        </w:rPr>
        <w:t xml:space="preserve">Trigger:</w:t>
      </w:r>
      <w:r>
        <w:t xml:space="preserve"> </w:t>
      </w:r>
      <w:r>
        <w:t xml:space="preserve">What event or condition prompted the decision</w:t>
      </w:r>
      <w:r>
        <w:t xml:space="preserve"> </w:t>
      </w:r>
      <w:r>
        <w:t xml:space="preserve">-</w:t>
      </w:r>
      <w:r>
        <w:t xml:space="preserve"> </w:t>
      </w:r>
      <w:r>
        <w:rPr>
          <w:b/>
          <w:bCs/>
        </w:rPr>
        <w:t xml:space="preserve">Context:</w:t>
      </w:r>
      <w:r>
        <w:t xml:space="preserve"> </w:t>
      </w:r>
      <w:r>
        <w:t xml:space="preserve">What data the agent considered (telemetry snapshot, customer SLA, capacity state)</w:t>
      </w:r>
      <w:r>
        <w:t xml:space="preserve"> </w:t>
      </w:r>
      <w:r>
        <w:t xml:space="preserve">-</w:t>
      </w:r>
      <w:r>
        <w:t xml:space="preserve"> </w:t>
      </w:r>
      <w:r>
        <w:rPr>
          <w:b/>
          <w:bCs/>
        </w:rPr>
        <w:t xml:space="preserve">Reasoning chain:</w:t>
      </w:r>
      <w:r>
        <w:t xml:space="preserve"> </w:t>
      </w:r>
      <w:r>
        <w:t xml:space="preserve">The step-by-step reasoning the LLM-based agent followed (chain-of-thought logging)</w:t>
      </w:r>
      <w:r>
        <w:t xml:space="preserve"> </w:t>
      </w:r>
      <w:r>
        <w:t xml:space="preserve">-</w:t>
      </w:r>
      <w:r>
        <w:t xml:space="preserve"> </w:t>
      </w:r>
      <w:r>
        <w:rPr>
          <w:b/>
          <w:bCs/>
        </w:rPr>
        <w:t xml:space="preserve">Alternatives considered:</w:t>
      </w:r>
      <w:r>
        <w:t xml:space="preserve"> </w:t>
      </w:r>
      <w:r>
        <w:t xml:space="preserve">What other actions the agent evaluated and why they were rejected</w:t>
      </w:r>
      <w:r>
        <w:t xml:space="preserve"> </w:t>
      </w:r>
      <w:r>
        <w:t xml:space="preserve">-</w:t>
      </w:r>
      <w:r>
        <w:t xml:space="preserve"> </w:t>
      </w:r>
      <w:r>
        <w:rPr>
          <w:b/>
          <w:bCs/>
        </w:rPr>
        <w:t xml:space="preserve">Outcome:</w:t>
      </w:r>
      <w:r>
        <w:t xml:space="preserve"> </w:t>
      </w:r>
      <w:r>
        <w:t xml:space="preserve">What happened after the action was executed</w:t>
      </w:r>
      <w:r>
        <w:t xml:space="preserve"> </w:t>
      </w:r>
      <w:r>
        <w:t xml:space="preserve">-</w:t>
      </w:r>
      <w:r>
        <w:t xml:space="preserve"> </w:t>
      </w:r>
      <w:r>
        <w:rPr>
          <w:b/>
          <w:bCs/>
        </w:rPr>
        <w:t xml:space="preserve">Compliance tags:</w:t>
      </w:r>
      <w:r>
        <w:t xml:space="preserve"> </w:t>
      </w:r>
      <w:r>
        <w:t xml:space="preserve">Which regulatory frameworks this decision touches (FedRAMP, HIPAA, CJIS)</w:t>
      </w:r>
    </w:p>
    <w:p>
      <w:pPr>
        <w:pStyle w:val="BodyText"/>
      </w:pPr>
      <w:r>
        <w:t xml:space="preserve">This audit trail is immutable (append-only log with cryptographic chaining) and retained for 7 years for compliance purposes. Government customers can access their tenant-specific audit trails through a dedicated compliance portal. Auditors can replay any AI decision and understand exactly why the system behaved as it did.</w:t>
      </w:r>
    </w:p>
    <w:bookmarkEnd w:id="62"/>
    <w:bookmarkEnd w:id="63"/>
    <w:bookmarkStart w:id="67" w:name="customer-and-depin-integration-apis"/>
    <w:p>
      <w:pPr>
        <w:pStyle w:val="Heading3"/>
      </w:pPr>
      <w:r>
        <w:t xml:space="preserve">5.7 Customer and DePIN Integration APIs</w:t>
      </w:r>
    </w:p>
    <w:p>
      <w:pPr>
        <w:pStyle w:val="FirstParagraph"/>
      </w:pPr>
      <w:r>
        <w:t xml:space="preserve">The ANDD platform exposes three API surfaces:</w:t>
      </w:r>
    </w:p>
    <w:bookmarkStart w:id="64" w:name="customer-api-rest-graphql"/>
    <w:p>
      <w:pPr>
        <w:pStyle w:val="Heading4"/>
      </w:pPr>
      <w:r>
        <w:t xml:space="preserve">Customer API (REST + GraphQL)</w:t>
      </w:r>
    </w:p>
    <w:p>
      <w:pPr>
        <w:pStyle w:val="FirstParagraph"/>
      </w:pPr>
      <w:r>
        <w:t xml:space="preserve">For human customers (enterprises, startups, government) who manage infrastructure through dashboards and API calls:</w:t>
      </w:r>
      <w:r>
        <w:t xml:space="preserve"> </w:t>
      </w:r>
      <w:r>
        <w:t xml:space="preserve">-</w:t>
      </w:r>
      <w:r>
        <w:t xml:space="preserve"> </w:t>
      </w:r>
      <w:r>
        <w:rPr>
          <w:b/>
          <w:bCs/>
        </w:rPr>
        <w:t xml:space="preserve">Resource management:</w:t>
      </w:r>
      <w:r>
        <w:t xml:space="preserve"> </w:t>
      </w:r>
      <w:r>
        <w:t xml:space="preserve">Provision, modify, and decommission compute, storage, GPU, and network resources</w:t>
      </w:r>
      <w:r>
        <w:t xml:space="preserve"> </w:t>
      </w:r>
      <w:r>
        <w:t xml:space="preserve">-</w:t>
      </w:r>
      <w:r>
        <w:t xml:space="preserve"> </w:t>
      </w:r>
      <w:r>
        <w:rPr>
          <w:b/>
          <w:bCs/>
        </w:rPr>
        <w:t xml:space="preserve">Workload deployment:</w:t>
      </w:r>
      <w:r>
        <w:t xml:space="preserve"> </w:t>
      </w:r>
      <w:r>
        <w:t xml:space="preserve">Deploy containers, VMs, and serverless functions across the ANDD mesh</w:t>
      </w:r>
      <w:r>
        <w:t xml:space="preserve"> </w:t>
      </w:r>
      <w:r>
        <w:t xml:space="preserve">-</w:t>
      </w:r>
      <w:r>
        <w:t xml:space="preserve"> </w:t>
      </w:r>
      <w:r>
        <w:rPr>
          <w:b/>
          <w:bCs/>
        </w:rPr>
        <w:t xml:space="preserve">Monitoring:</w:t>
      </w:r>
      <w:r>
        <w:t xml:space="preserve"> </w:t>
      </w:r>
      <w:r>
        <w:t xml:space="preserve">Real-time metrics, logs, and SLA dashboards</w:t>
      </w:r>
      <w:r>
        <w:t xml:space="preserve"> </w:t>
      </w:r>
      <w:r>
        <w:t xml:space="preserve">-</w:t>
      </w:r>
      <w:r>
        <w:t xml:space="preserve"> </w:t>
      </w:r>
      <w:r>
        <w:rPr>
          <w:b/>
          <w:bCs/>
        </w:rPr>
        <w:t xml:space="preserve">Billing:</w:t>
      </w:r>
      <w:r>
        <w:t xml:space="preserve"> </w:t>
      </w:r>
      <w:r>
        <w:t xml:space="preserve">Usage reports, invoice retrieval, payment management</w:t>
      </w:r>
      <w:r>
        <w:t xml:space="preserve"> </w:t>
      </w:r>
      <w:r>
        <w:t xml:space="preserve">-</w:t>
      </w:r>
      <w:r>
        <w:t xml:space="preserve"> </w:t>
      </w:r>
      <w:r>
        <w:rPr>
          <w:b/>
          <w:bCs/>
        </w:rPr>
        <w:t xml:space="preserve">Support:</w:t>
      </w:r>
      <w:r>
        <w:t xml:space="preserve"> </w:t>
      </w:r>
      <w:r>
        <w:t xml:space="preserve">AI-powered conversational support with human escalation</w:t>
      </w:r>
    </w:p>
    <w:bookmarkEnd w:id="64"/>
    <w:bookmarkStart w:id="65" w:name="depin-protocol-api-grpc-webhooks"/>
    <w:p>
      <w:pPr>
        <w:pStyle w:val="Heading4"/>
      </w:pPr>
      <w:r>
        <w:t xml:space="preserve">DePIN Protocol API (gRPC + Webhooks)</w:t>
      </w:r>
    </w:p>
    <w:p>
      <w:pPr>
        <w:pStyle w:val="FirstParagraph"/>
      </w:pPr>
      <w:r>
        <w:t xml:space="preserve">For DePIN projects that integrate programmatically:</w:t>
      </w:r>
      <w:r>
        <w:t xml:space="preserve"> </w:t>
      </w:r>
      <w:r>
        <w:t xml:space="preserve">-</w:t>
      </w:r>
      <w:r>
        <w:t xml:space="preserve"> </w:t>
      </w:r>
      <w:r>
        <w:rPr>
          <w:b/>
          <w:bCs/>
        </w:rPr>
        <w:t xml:space="preserve">Capacity discovery:</w:t>
      </w:r>
      <w:r>
        <w:t xml:space="preserve"> </w:t>
      </w:r>
      <w:r>
        <w:t xml:space="preserve">Query available resources by type, geography, price, and SLA tier</w:t>
      </w:r>
      <w:r>
        <w:t xml:space="preserve"> </w:t>
      </w:r>
      <w:r>
        <w:t xml:space="preserve">-</w:t>
      </w:r>
      <w:r>
        <w:t xml:space="preserve"> </w:t>
      </w:r>
      <w:r>
        <w:rPr>
          <w:b/>
          <w:bCs/>
        </w:rPr>
        <w:t xml:space="preserve">Programmatic provisioning:</w:t>
      </w:r>
      <w:r>
        <w:t xml:space="preserve"> </w:t>
      </w:r>
      <w:r>
        <w:t xml:space="preserve">Reserve and deploy infrastructure via smart contract triggers or API calls</w:t>
      </w:r>
      <w:r>
        <w:t xml:space="preserve"> </w:t>
      </w:r>
      <w:r>
        <w:t xml:space="preserve">-</w:t>
      </w:r>
      <w:r>
        <w:t xml:space="preserve"> </w:t>
      </w:r>
      <w:r>
        <w:rPr>
          <w:b/>
          <w:bCs/>
        </w:rPr>
        <w:t xml:space="preserve">Proof integration:</w:t>
      </w:r>
      <w:r>
        <w:t xml:space="preserve"> </w:t>
      </w:r>
      <w:r>
        <w:t xml:space="preserve">Provide attestation data (uptime proofs, performance proofs) that DePIN protocols can verify on-chain</w:t>
      </w:r>
      <w:r>
        <w:t xml:space="preserve"> </w:t>
      </w:r>
      <w:r>
        <w:t xml:space="preserve">-</w:t>
      </w:r>
      <w:r>
        <w:t xml:space="preserve"> </w:t>
      </w:r>
      <w:r>
        <w:rPr>
          <w:b/>
          <w:bCs/>
        </w:rPr>
        <w:t xml:space="preserve">Metering webhooks:</w:t>
      </w:r>
      <w:r>
        <w:t xml:space="preserve"> </w:t>
      </w:r>
      <w:r>
        <w:t xml:space="preserve">Real-time resource usage events pushed to DePIN project endpoints for token settlement</w:t>
      </w:r>
      <w:r>
        <w:t xml:space="preserve"> </w:t>
      </w:r>
      <w:r>
        <w:t xml:space="preserve">-</w:t>
      </w:r>
      <w:r>
        <w:t xml:space="preserve"> </w:t>
      </w:r>
      <w:r>
        <w:rPr>
          <w:b/>
          <w:bCs/>
        </w:rPr>
        <w:t xml:space="preserve">SLA oracle feed:</w:t>
      </w:r>
      <w:r>
        <w:t xml:space="preserve"> </w:t>
      </w:r>
      <w:r>
        <w:t xml:space="preserve">Machine-readable SLA performance data for smart contract SLA verification</w:t>
      </w:r>
    </w:p>
    <w:bookmarkEnd w:id="65"/>
    <w:bookmarkStart w:id="66" w:name="infrastructure-partner-api-grpc"/>
    <w:p>
      <w:pPr>
        <w:pStyle w:val="Heading4"/>
      </w:pPr>
      <w:r>
        <w:t xml:space="preserve">Infrastructure Partner API (gRPC)</w:t>
      </w:r>
    </w:p>
    <w:p>
      <w:pPr>
        <w:pStyle w:val="FirstParagraph"/>
      </w:pPr>
      <w:r>
        <w:t xml:space="preserve">For third-party infrastructure operators deploying ANDD-certified edge nodes:</w:t>
      </w:r>
      <w:r>
        <w:t xml:space="preserve"> </w:t>
      </w:r>
      <w:r>
        <w:t xml:space="preserve">-</w:t>
      </w:r>
      <w:r>
        <w:t xml:space="preserve"> </w:t>
      </w:r>
      <w:r>
        <w:rPr>
          <w:b/>
          <w:bCs/>
        </w:rPr>
        <w:t xml:space="preserve">Node registration:</w:t>
      </w:r>
      <w:r>
        <w:t xml:space="preserve"> </w:t>
      </w:r>
      <w:r>
        <w:t xml:space="preserve">Register new edge nodes with hardware attestation and connectivity verification</w:t>
      </w:r>
      <w:r>
        <w:t xml:space="preserve"> </w:t>
      </w:r>
      <w:r>
        <w:t xml:space="preserve">-</w:t>
      </w:r>
      <w:r>
        <w:t xml:space="preserve"> </w:t>
      </w:r>
      <w:r>
        <w:rPr>
          <w:b/>
          <w:bCs/>
        </w:rPr>
        <w:t xml:space="preserve">Health reporting:</w:t>
      </w:r>
      <w:r>
        <w:t xml:space="preserve"> </w:t>
      </w:r>
      <w:r>
        <w:t xml:space="preserve">Continuous telemetry ingestion from partner-operated nodes</w:t>
      </w:r>
      <w:r>
        <w:t xml:space="preserve"> </w:t>
      </w:r>
      <w:r>
        <w:t xml:space="preserve">-</w:t>
      </w:r>
      <w:r>
        <w:t xml:space="preserve"> </w:t>
      </w:r>
      <w:r>
        <w:rPr>
          <w:b/>
          <w:bCs/>
        </w:rPr>
        <w:t xml:space="preserve">Revenue settlement:</w:t>
      </w:r>
      <w:r>
        <w:t xml:space="preserve"> </w:t>
      </w:r>
      <w:r>
        <w:t xml:space="preserve">Automated calculation and payment of infrastructure provider revenue shares</w:t>
      </w:r>
      <w:r>
        <w:t xml:space="preserve"> </w:t>
      </w:r>
      <w:r>
        <w:t xml:space="preserve">-</w:t>
      </w:r>
      <w:r>
        <w:t xml:space="preserve"> </w:t>
      </w:r>
      <w:r>
        <w:rPr>
          <w:b/>
          <w:bCs/>
        </w:rPr>
        <w:t xml:space="preserve">Compliance verification:</w:t>
      </w:r>
      <w:r>
        <w:t xml:space="preserve"> </w:t>
      </w:r>
      <w:r>
        <w:t xml:space="preserve">Remote attestation that partner nodes meet ANDD security and operational standards</w:t>
      </w:r>
    </w:p>
    <w:bookmarkEnd w:id="66"/>
    <w:bookmarkEnd w:id="67"/>
    <w:bookmarkStart w:id="68" w:name="multi-tenancy-enforcement"/>
    <w:p>
      <w:pPr>
        <w:pStyle w:val="Heading3"/>
      </w:pPr>
      <w:r>
        <w:t xml:space="preserve">5.8 Multi-Tenancy Enforcement</w:t>
      </w:r>
    </w:p>
    <w:p>
      <w:pPr>
        <w:pStyle w:val="FirstParagraph"/>
      </w:pPr>
      <w:r>
        <w:t xml:space="preserve">Multi-tenancy is enforced at every layer of the stack, not just the network:</w:t>
      </w:r>
    </w:p>
    <w:tbl>
      <w:tblPr>
        <w:tblStyle w:val="Table"/>
        <w:tblW w:type="pct" w:w="5000"/>
        <w:jc w:val="left"/>
        <w:tblLayout w:type="fixed"/>
        <w:tblLook w:firstRow="1" w:lastRow="0" w:firstColumn="0" w:lastColumn="0" w:noHBand="0" w:noVBand="0" w:val="0020"/>
      </w:tblPr>
      <w:tblGrid>
        <w:gridCol w:w="1260"/>
        <w:gridCol w:w="3420"/>
        <w:gridCol w:w="3240"/>
      </w:tblGrid>
      <w:tr>
        <w:trPr>
          <w:tblHeader w:val="on"/>
        </w:trPr>
        <w:tc>
          <w:tcPr/>
          <w:p>
            <w:pPr>
              <w:pStyle w:val="Compact"/>
              <w:jc w:val="left"/>
            </w:pPr>
            <w:r>
              <w:t xml:space="preserve">Layer</w:t>
            </w:r>
          </w:p>
        </w:tc>
        <w:tc>
          <w:tcPr/>
          <w:p>
            <w:pPr>
              <w:pStyle w:val="Compact"/>
              <w:jc w:val="left"/>
            </w:pPr>
            <w:r>
              <w:t xml:space="preserve">Isolation Mechanism</w:t>
            </w:r>
          </w:p>
        </w:tc>
        <w:tc>
          <w:tcPr/>
          <w:p>
            <w:pPr>
              <w:pStyle w:val="Compact"/>
              <w:jc w:val="left"/>
            </w:pPr>
            <w:r>
              <w:t xml:space="preserve">Enforcement Point</w:t>
            </w:r>
          </w:p>
        </w:tc>
      </w:tr>
      <w:tr>
        <w:tc>
          <w:tcPr/>
          <w:p>
            <w:pPr>
              <w:pStyle w:val="Compact"/>
              <w:jc w:val="left"/>
            </w:pPr>
            <w:r>
              <w:rPr>
                <w:b/>
                <w:bCs/>
              </w:rPr>
              <w:t xml:space="preserve">Compute</w:t>
            </w:r>
          </w:p>
        </w:tc>
        <w:tc>
          <w:tcPr/>
          <w:p>
            <w:pPr>
              <w:pStyle w:val="Compact"/>
              <w:jc w:val="left"/>
            </w:pPr>
            <w:r>
              <w:t xml:space="preserve">Kubernetes namespaces + resource quotas; optional SEV-SNP/TDX confidential VMs</w:t>
            </w:r>
          </w:p>
        </w:tc>
        <w:tc>
          <w:tcPr/>
          <w:p>
            <w:pPr>
              <w:pStyle w:val="Compact"/>
              <w:jc w:val="left"/>
            </w:pPr>
            <w:r>
              <w:t xml:space="preserve">Kubelet admission controller + hardware</w:t>
            </w:r>
          </w:p>
        </w:tc>
      </w:tr>
      <w:tr>
        <w:tc>
          <w:tcPr/>
          <w:p>
            <w:pPr>
              <w:pStyle w:val="Compact"/>
              <w:jc w:val="left"/>
            </w:pPr>
            <w:r>
              <w:rPr>
                <w:b/>
                <w:bCs/>
              </w:rPr>
              <w:t xml:space="preserve">Network</w:t>
            </w:r>
          </w:p>
        </w:tc>
        <w:tc>
          <w:tcPr/>
          <w:p>
            <w:pPr>
              <w:pStyle w:val="Compact"/>
              <w:jc w:val="left"/>
            </w:pPr>
            <w:r>
              <w:t xml:space="preserve">Per-tenant VXLAN/GENEVE overlay; SR-IOV virtual functions for hardware-level isolation</w:t>
            </w:r>
          </w:p>
        </w:tc>
        <w:tc>
          <w:tcPr/>
          <w:p>
            <w:pPr>
              <w:pStyle w:val="Compact"/>
              <w:jc w:val="left"/>
            </w:pPr>
            <w:r>
              <w:t xml:space="preserve">OVS/VPP data plane + SONiC switch ACLs</w:t>
            </w:r>
          </w:p>
        </w:tc>
      </w:tr>
      <w:tr>
        <w:tc>
          <w:tcPr/>
          <w:p>
            <w:pPr>
              <w:pStyle w:val="Compact"/>
              <w:jc w:val="left"/>
            </w:pPr>
            <w:r>
              <w:rPr>
                <w:b/>
                <w:bCs/>
              </w:rPr>
              <w:t xml:space="preserve">Storage</w:t>
            </w:r>
          </w:p>
        </w:tc>
        <w:tc>
          <w:tcPr/>
          <w:p>
            <w:pPr>
              <w:pStyle w:val="Compact"/>
              <w:jc w:val="left"/>
            </w:pPr>
            <w:r>
              <w:t xml:space="preserve">Per-tenant Ceph pools with separate encryption keys; RBAC on all storage APIs</w:t>
            </w:r>
          </w:p>
        </w:tc>
        <w:tc>
          <w:tcPr/>
          <w:p>
            <w:pPr>
              <w:pStyle w:val="Compact"/>
              <w:jc w:val="left"/>
            </w:pPr>
            <w:r>
              <w:t xml:space="preserve">Ceph OSD + MDS + RGW</w:t>
            </w:r>
          </w:p>
        </w:tc>
      </w:tr>
      <w:tr>
        <w:tc>
          <w:tcPr/>
          <w:p>
            <w:pPr>
              <w:pStyle w:val="Compact"/>
              <w:jc w:val="left"/>
            </w:pPr>
            <w:r>
              <w:rPr>
                <w:b/>
                <w:bCs/>
              </w:rPr>
              <w:t xml:space="preserve">GPU</w:t>
            </w:r>
          </w:p>
        </w:tc>
        <w:tc>
          <w:tcPr/>
          <w:p>
            <w:pPr>
              <w:pStyle w:val="Compact"/>
              <w:jc w:val="left"/>
            </w:pPr>
            <w:r>
              <w:t xml:space="preserve">MIG (Multi-Instance GPU) for shared GPUs; dedicated GPU passthrough for premium tenants</w:t>
            </w:r>
          </w:p>
        </w:tc>
        <w:tc>
          <w:tcPr/>
          <w:p>
            <w:pPr>
              <w:pStyle w:val="Compact"/>
              <w:jc w:val="left"/>
            </w:pPr>
            <w:r>
              <w:t xml:space="preserve">NVIDIA driver + Kubernetes device plugin</w:t>
            </w:r>
          </w:p>
        </w:tc>
      </w:tr>
      <w:tr>
        <w:tc>
          <w:tcPr/>
          <w:p>
            <w:pPr>
              <w:pStyle w:val="Compact"/>
              <w:jc w:val="left"/>
            </w:pPr>
            <w:r>
              <w:rPr>
                <w:b/>
                <w:bCs/>
              </w:rPr>
              <w:t xml:space="preserve">Power/Cooling</w:t>
            </w:r>
          </w:p>
        </w:tc>
        <w:tc>
          <w:tcPr/>
          <w:p>
            <w:pPr>
              <w:pStyle w:val="Compact"/>
              <w:jc w:val="left"/>
            </w:pPr>
            <w:r>
              <w:t xml:space="preserve">Per-rack power metering; per-tenant energy reporting</w:t>
            </w:r>
          </w:p>
        </w:tc>
        <w:tc>
          <w:tcPr/>
          <w:p>
            <w:pPr>
              <w:pStyle w:val="Compact"/>
              <w:jc w:val="left"/>
            </w:pPr>
            <w:r>
              <w:t xml:space="preserve">PDU firmware + billing agent</w:t>
            </w:r>
          </w:p>
        </w:tc>
      </w:tr>
      <w:tr>
        <w:tc>
          <w:tcPr/>
          <w:p>
            <w:pPr>
              <w:pStyle w:val="Compact"/>
              <w:jc w:val="left"/>
            </w:pPr>
            <w:r>
              <w:rPr>
                <w:b/>
                <w:bCs/>
              </w:rPr>
              <w:t xml:space="preserve">Management</w:t>
            </w:r>
          </w:p>
        </w:tc>
        <w:tc>
          <w:tcPr/>
          <w:p>
            <w:pPr>
              <w:pStyle w:val="Compact"/>
              <w:jc w:val="left"/>
            </w:pPr>
            <w:r>
              <w:t xml:space="preserve">Per-tenant RBAC on all APIs; tenant-scoped audit logs; data residency policy enforcement</w:t>
            </w:r>
          </w:p>
        </w:tc>
        <w:tc>
          <w:tcPr/>
          <w:p>
            <w:pPr>
              <w:pStyle w:val="Compact"/>
              <w:jc w:val="left"/>
            </w:pPr>
            <w:r>
              <w:t xml:space="preserve">OPA policy engine + API gateway</w:t>
            </w:r>
          </w:p>
        </w:tc>
      </w:tr>
      <w:tr>
        <w:tc>
          <w:tcPr/>
          <w:p>
            <w:pPr>
              <w:pStyle w:val="Compact"/>
              <w:jc w:val="left"/>
            </w:pPr>
            <w:r>
              <w:rPr>
                <w:b/>
                <w:bCs/>
              </w:rPr>
              <w:t xml:space="preserve">Cryptographic</w:t>
            </w:r>
          </w:p>
        </w:tc>
        <w:tc>
          <w:tcPr/>
          <w:p>
            <w:pPr>
              <w:pStyle w:val="Compact"/>
              <w:jc w:val="left"/>
            </w:pPr>
            <w:r>
              <w:t xml:space="preserve">Per-tenant TLS certificates (SPIFFE); per-tenant encryption keys (HashiCorp Vault)</w:t>
            </w:r>
          </w:p>
        </w:tc>
        <w:tc>
          <w:tcPr/>
          <w:p>
            <w:pPr>
              <w:pStyle w:val="Compact"/>
              <w:jc w:val="left"/>
            </w:pPr>
            <w:r>
              <w:t xml:space="preserve">SPIRE agent + Vault agent on every node</w:t>
            </w:r>
          </w:p>
        </w:tc>
      </w:tr>
    </w:tbl>
    <w:p>
      <w:pPr>
        <w:pStyle w:val="BodyText"/>
      </w:pPr>
      <w:r>
        <w:t xml:space="preserve">Data residency policies are enforced at the storage and compute layers: the OPA policy engine rejects any workload placement or data replication that would violate a tenant’s geographic restrictions. These policies are evaluated at action time, not just at provisioning time — meaning a workload that was correctly placed initially will not be migrated to a non-compliant location by the AI scheduler.</w:t>
      </w:r>
    </w:p>
    <w:p>
      <w:r>
        <w:pict>
          <v:rect style="width:0;height:1.5pt" o:hralign="center" o:hrstd="t" o:hr="t"/>
        </w:pict>
      </w:r>
    </w:p>
    <w:bookmarkEnd w:id="68"/>
    <w:bookmarkEnd w:id="69"/>
    <w:bookmarkStart w:id="74" w:name="bandwidth-connectivity-requirements"/>
    <w:p>
      <w:pPr>
        <w:pStyle w:val="Heading2"/>
      </w:pPr>
      <w:r>
        <w:t xml:space="preserve">6. Bandwidth &amp; Connectivity Requirements</w:t>
      </w:r>
    </w:p>
    <w:bookmarkStart w:id="70" w:name="per-site-bandwidth-profile"/>
    <w:p>
      <w:pPr>
        <w:pStyle w:val="Heading3"/>
      </w:pPr>
      <w:r>
        <w:t xml:space="preserve">5.1 Per-Site Bandwidth Profile</w:t>
      </w:r>
    </w:p>
    <w:p>
      <w:pPr>
        <w:pStyle w:val="FirstParagraph"/>
      </w:pPr>
      <w:r>
        <w:t xml:space="preserve">Bandwidth requirements vary by site tier and workload mix. The following represents baseline and peak requirements:</w:t>
      </w:r>
    </w:p>
    <w:tbl>
      <w:tblPr>
        <w:tblStyle w:val="Table"/>
        <w:tblW w:type="pct" w:w="5000"/>
        <w:jc w:val="left"/>
        <w:tblLayout w:type="fixed"/>
        <w:tblLook w:firstRow="1" w:lastRow="0" w:firstColumn="0" w:lastColumn="0" w:noHBand="0" w:noVBand="0" w:val="0020"/>
      </w:tblPr>
      <w:tblGrid>
        <w:gridCol w:w="1146"/>
        <w:gridCol w:w="1563"/>
        <w:gridCol w:w="1771"/>
        <w:gridCol w:w="1771"/>
        <w:gridCol w:w="1667"/>
      </w:tblGrid>
      <w:tr>
        <w:trPr>
          <w:tblHeader w:val="on"/>
        </w:trPr>
        <w:tc>
          <w:tcPr/>
          <w:p>
            <w:pPr>
              <w:pStyle w:val="Compact"/>
              <w:jc w:val="left"/>
            </w:pPr>
            <w:r>
              <w:t xml:space="preserve">Site Tier</w:t>
            </w:r>
          </w:p>
        </w:tc>
        <w:tc>
          <w:tcPr/>
          <w:p>
            <w:pPr>
              <w:pStyle w:val="Compact"/>
              <w:jc w:val="left"/>
            </w:pPr>
            <w:r>
              <w:t xml:space="preserve">Primary Uplink</w:t>
            </w:r>
          </w:p>
        </w:tc>
        <w:tc>
          <w:tcPr/>
          <w:p>
            <w:pPr>
              <w:pStyle w:val="Compact"/>
              <w:jc w:val="left"/>
            </w:pPr>
            <w:r>
              <w:t xml:space="preserve">Redundant Uplink</w:t>
            </w:r>
          </w:p>
        </w:tc>
        <w:tc>
          <w:tcPr/>
          <w:p>
            <w:pPr>
              <w:pStyle w:val="Compact"/>
              <w:jc w:val="left"/>
            </w:pPr>
            <w:r>
              <w:t xml:space="preserve">Inter-Node Mesh</w:t>
            </w:r>
          </w:p>
        </w:tc>
        <w:tc>
          <w:tcPr/>
          <w:p>
            <w:pPr>
              <w:pStyle w:val="Compact"/>
              <w:jc w:val="left"/>
            </w:pPr>
            <w:r>
              <w:t xml:space="preserve">Total Backhaul</w:t>
            </w:r>
          </w:p>
        </w:tc>
      </w:tr>
      <w:tr>
        <w:tc>
          <w:tcPr/>
          <w:p>
            <w:pPr>
              <w:pStyle w:val="Compact"/>
              <w:jc w:val="left"/>
            </w:pPr>
            <w:r>
              <w:t xml:space="preserve">Edge Node (200kW)</w:t>
            </w:r>
          </w:p>
        </w:tc>
        <w:tc>
          <w:tcPr/>
          <w:p>
            <w:pPr>
              <w:pStyle w:val="Compact"/>
              <w:jc w:val="left"/>
            </w:pPr>
            <w:r>
              <w:t xml:space="preserve">10 Gbps</w:t>
            </w:r>
          </w:p>
        </w:tc>
        <w:tc>
          <w:tcPr/>
          <w:p>
            <w:pPr>
              <w:pStyle w:val="Compact"/>
              <w:jc w:val="left"/>
            </w:pPr>
            <w:r>
              <w:t xml:space="preserve">1–10 Gbps</w:t>
            </w:r>
          </w:p>
        </w:tc>
        <w:tc>
          <w:tcPr/>
          <w:p>
            <w:pPr>
              <w:pStyle w:val="Compact"/>
              <w:jc w:val="left"/>
            </w:pPr>
            <w:r>
              <w:t xml:space="preserve">10 Gbps</w:t>
            </w:r>
          </w:p>
        </w:tc>
        <w:tc>
          <w:tcPr/>
          <w:p>
            <w:pPr>
              <w:pStyle w:val="Compact"/>
              <w:jc w:val="left"/>
            </w:pPr>
            <w:r>
              <w:t xml:space="preserve">20–30 Gbps</w:t>
            </w:r>
          </w:p>
        </w:tc>
      </w:tr>
      <w:tr>
        <w:tc>
          <w:tcPr/>
          <w:p>
            <w:pPr>
              <w:pStyle w:val="Compact"/>
              <w:jc w:val="left"/>
            </w:pPr>
            <w:r>
              <w:t xml:space="preserve">Edge Node (500kW)</w:t>
            </w:r>
          </w:p>
        </w:tc>
        <w:tc>
          <w:tcPr/>
          <w:p>
            <w:pPr>
              <w:pStyle w:val="Compact"/>
              <w:jc w:val="left"/>
            </w:pPr>
            <w:r>
              <w:t xml:space="preserve">40 Gbps</w:t>
            </w:r>
          </w:p>
        </w:tc>
        <w:tc>
          <w:tcPr/>
          <w:p>
            <w:pPr>
              <w:pStyle w:val="Compact"/>
              <w:jc w:val="left"/>
            </w:pPr>
            <w:r>
              <w:t xml:space="preserve">10 Gbps</w:t>
            </w:r>
          </w:p>
        </w:tc>
        <w:tc>
          <w:tcPr/>
          <w:p>
            <w:pPr>
              <w:pStyle w:val="Compact"/>
              <w:jc w:val="left"/>
            </w:pPr>
            <w:r>
              <w:t xml:space="preserve">25 Gbps</w:t>
            </w:r>
          </w:p>
        </w:tc>
        <w:tc>
          <w:tcPr/>
          <w:p>
            <w:pPr>
              <w:pStyle w:val="Compact"/>
              <w:jc w:val="left"/>
            </w:pPr>
            <w:r>
              <w:t xml:space="preserve">50–75 Gbps</w:t>
            </w:r>
          </w:p>
        </w:tc>
      </w:tr>
      <w:tr>
        <w:tc>
          <w:tcPr/>
          <w:p>
            <w:pPr>
              <w:pStyle w:val="Compact"/>
              <w:jc w:val="left"/>
            </w:pPr>
            <w:r>
              <w:t xml:space="preserve">Regional Hub (1–2MW)</w:t>
            </w:r>
          </w:p>
        </w:tc>
        <w:tc>
          <w:tcPr/>
          <w:p>
            <w:pPr>
              <w:pStyle w:val="Compact"/>
              <w:jc w:val="left"/>
            </w:pPr>
            <w:r>
              <w:t xml:space="preserve">100 Gbps</w:t>
            </w:r>
          </w:p>
        </w:tc>
        <w:tc>
          <w:tcPr/>
          <w:p>
            <w:pPr>
              <w:pStyle w:val="Compact"/>
              <w:jc w:val="left"/>
            </w:pPr>
            <w:r>
              <w:t xml:space="preserve">40 Gbps</w:t>
            </w:r>
          </w:p>
        </w:tc>
        <w:tc>
          <w:tcPr/>
          <w:p>
            <w:pPr>
              <w:pStyle w:val="Compact"/>
              <w:jc w:val="left"/>
            </w:pPr>
            <w:r>
              <w:t xml:space="preserve">100 Gbps</w:t>
            </w:r>
          </w:p>
        </w:tc>
        <w:tc>
          <w:tcPr/>
          <w:p>
            <w:pPr>
              <w:pStyle w:val="Compact"/>
              <w:jc w:val="left"/>
            </w:pPr>
            <w:r>
              <w:t xml:space="preserve">200–300 Gbps</w:t>
            </w:r>
          </w:p>
        </w:tc>
      </w:tr>
    </w:tbl>
    <w:p>
      <w:pPr>
        <w:pStyle w:val="BodyText"/>
      </w:pPr>
      <w:r>
        <w:rPr>
          <w:b/>
          <w:bCs/>
        </w:rPr>
        <w:t xml:space="preserve">AI workloads drive asymmetric bandwidth patterns.</w:t>
      </w:r>
      <w:r>
        <w:t xml:space="preserve"> </w:t>
      </w:r>
      <w:r>
        <w:t xml:space="preserve">Inference requests are small (KB) but latency-critical. Training data transfers are large (GB–TB) but latency-tolerant. The network fabric must support both patterns simultaneously. Quality-of-service (QoS) policies, managed by the AI control plane, prioritize inference traffic and emergency services communications over bulk transfers.</w:t>
      </w:r>
    </w:p>
    <w:bookmarkEnd w:id="70"/>
    <w:bookmarkStart w:id="71" w:name="backhaul-architecture"/>
    <w:p>
      <w:pPr>
        <w:pStyle w:val="Heading3"/>
      </w:pPr>
      <w:r>
        <w:t xml:space="preserve">5.2 Backhaul Architecture</w:t>
      </w:r>
    </w:p>
    <w:p>
      <w:pPr>
        <w:pStyle w:val="FirstParagraph"/>
      </w:pPr>
      <w:r>
        <w:rPr>
          <w:b/>
          <w:bCs/>
        </w:rPr>
        <w:t xml:space="preserve">Diagram 5: Backhaul Architecture by Site Type</w:t>
      </w:r>
    </w:p>
    <w:tbl>
      <w:tblPr>
        <w:tblStyle w:val="Table"/>
        <w:tblW w:type="pct" w:w="5000"/>
        <w:jc w:val="left"/>
        <w:tblLayout w:type="fixed"/>
        <w:tblLook w:firstRow="1" w:lastRow="0" w:firstColumn="0" w:lastColumn="0" w:noHBand="0" w:noVBand="0" w:val="0020"/>
      </w:tblPr>
      <w:tblGrid>
        <w:gridCol w:w="907"/>
        <w:gridCol w:w="1237"/>
        <w:gridCol w:w="907"/>
        <w:gridCol w:w="1237"/>
        <w:gridCol w:w="1402"/>
        <w:gridCol w:w="2227"/>
      </w:tblGrid>
      <w:tr>
        <w:trPr>
          <w:tblHeader w:val="on"/>
        </w:trPr>
        <w:tc>
          <w:tcPr/>
          <w:p>
            <w:pPr>
              <w:pStyle w:val="Compact"/>
              <w:jc w:val="left"/>
            </w:pPr>
            <w:r>
              <w:t xml:space="preserve">Site Type</w:t>
            </w:r>
          </w:p>
        </w:tc>
        <w:tc>
          <w:tcPr/>
          <w:p>
            <w:pPr>
              <w:pStyle w:val="Compact"/>
              <w:jc w:val="left"/>
            </w:pPr>
            <w:r>
              <w:t xml:space="preserve">Primary Uplink</w:t>
            </w:r>
          </w:p>
        </w:tc>
        <w:tc>
          <w:tcPr/>
          <w:p>
            <w:pPr>
              <w:pStyle w:val="Compact"/>
              <w:jc w:val="left"/>
            </w:pPr>
            <w:r>
              <w:t xml:space="preserve">Bandwidth</w:t>
            </w:r>
          </w:p>
        </w:tc>
        <w:tc>
          <w:tcPr/>
          <w:p>
            <w:pPr>
              <w:pStyle w:val="Compact"/>
              <w:jc w:val="left"/>
            </w:pPr>
            <w:r>
              <w:t xml:space="preserve">Backup Uplink</w:t>
            </w:r>
          </w:p>
        </w:tc>
        <w:tc>
          <w:tcPr/>
          <w:p>
            <w:pPr>
              <w:pStyle w:val="Compact"/>
              <w:jc w:val="left"/>
            </w:pPr>
            <w:r>
              <w:t xml:space="preserve">Backup Bandwidth</w:t>
            </w:r>
          </w:p>
        </w:tc>
        <w:tc>
          <w:tcPr/>
          <w:p>
            <w:pPr>
              <w:pStyle w:val="Compact"/>
              <w:jc w:val="left"/>
            </w:pPr>
            <w:r>
              <w:t xml:space="preserve">Peering (via Regional Hub)</w:t>
            </w:r>
          </w:p>
        </w:tc>
      </w:tr>
      <w:tr>
        <w:tc>
          <w:tcPr/>
          <w:p>
            <w:pPr>
              <w:pStyle w:val="Compact"/>
              <w:jc w:val="left"/>
            </w:pPr>
            <w:r>
              <w:rPr>
                <w:b/>
                <w:bCs/>
              </w:rPr>
              <w:t xml:space="preserve">Urban Edge Node</w:t>
            </w:r>
          </w:p>
        </w:tc>
        <w:tc>
          <w:tcPr/>
          <w:p>
            <w:pPr>
              <w:pStyle w:val="Compact"/>
              <w:jc w:val="left"/>
            </w:pPr>
            <w:r>
              <w:t xml:space="preserve">Dark/Lit Fiber (multi-carrier)</w:t>
            </w:r>
          </w:p>
        </w:tc>
        <w:tc>
          <w:tcPr/>
          <w:p>
            <w:pPr>
              <w:pStyle w:val="Compact"/>
              <w:jc w:val="left"/>
            </w:pPr>
            <w:r>
              <w:t xml:space="preserve">10–40 Gbps</w:t>
            </w:r>
          </w:p>
        </w:tc>
        <w:tc>
          <w:tcPr/>
          <w:p>
            <w:pPr>
              <w:pStyle w:val="Compact"/>
              <w:jc w:val="left"/>
            </w:pPr>
            <w:r>
              <w:t xml:space="preserve">5G/LTE-A</w:t>
            </w:r>
          </w:p>
        </w:tc>
        <w:tc>
          <w:tcPr/>
          <w:p>
            <w:pPr>
              <w:pStyle w:val="Compact"/>
              <w:jc w:val="left"/>
            </w:pPr>
            <w:r>
              <w:t xml:space="preserve">1–5 Gbps</w:t>
            </w:r>
          </w:p>
        </w:tc>
        <w:tc>
          <w:tcPr/>
          <w:p>
            <w:pPr>
              <w:pStyle w:val="Compact"/>
              <w:jc w:val="left"/>
            </w:pPr>
            <w:r>
              <w:t xml:space="preserve">Regional ISPs, Cloud On-Ramps (AWS/Azure/GCP), CDN (Cloudflare, Akamai)</w:t>
            </w:r>
          </w:p>
        </w:tc>
      </w:tr>
      <w:tr>
        <w:tc>
          <w:tcPr/>
          <w:p>
            <w:pPr>
              <w:pStyle w:val="Compact"/>
              <w:jc w:val="left"/>
            </w:pPr>
            <w:r>
              <w:rPr>
                <w:b/>
                <w:bCs/>
              </w:rPr>
              <w:t xml:space="preserve">Suburban Edge Node</w:t>
            </w:r>
          </w:p>
        </w:tc>
        <w:tc>
          <w:tcPr/>
          <w:p>
            <w:pPr>
              <w:pStyle w:val="Compact"/>
              <w:jc w:val="left"/>
            </w:pPr>
            <w:r>
              <w:t xml:space="preserve">Dark/Lit Fiber</w:t>
            </w:r>
          </w:p>
        </w:tc>
        <w:tc>
          <w:tcPr/>
          <w:p>
            <w:pPr>
              <w:pStyle w:val="Compact"/>
              <w:jc w:val="left"/>
            </w:pPr>
            <w:r>
              <w:t xml:space="preserve">10–40 Gbps</w:t>
            </w:r>
          </w:p>
        </w:tc>
        <w:tc>
          <w:tcPr/>
          <w:p>
            <w:pPr>
              <w:pStyle w:val="Compact"/>
              <w:jc w:val="left"/>
            </w:pPr>
            <w:r>
              <w:t xml:space="preserve">Diverse Fiber (2nd carrier)</w:t>
            </w:r>
          </w:p>
        </w:tc>
        <w:tc>
          <w:tcPr/>
          <w:p>
            <w:pPr>
              <w:pStyle w:val="Compact"/>
              <w:jc w:val="left"/>
            </w:pPr>
            <w:r>
              <w:t xml:space="preserve">10 Gbps</w:t>
            </w:r>
          </w:p>
        </w:tc>
        <w:tc>
          <w:tcPr/>
          <w:p>
            <w:pPr>
              <w:pStyle w:val="Compact"/>
              <w:jc w:val="left"/>
            </w:pPr>
            <w:r>
              <w:t xml:space="preserve">Regional ISPs, Cloud On-Ramps, CDN</w:t>
            </w:r>
          </w:p>
        </w:tc>
      </w:tr>
      <w:tr>
        <w:tc>
          <w:tcPr/>
          <w:p>
            <w:pPr>
              <w:pStyle w:val="Compact"/>
              <w:jc w:val="left"/>
            </w:pPr>
            <w:r>
              <w:rPr>
                <w:b/>
                <w:bCs/>
              </w:rPr>
              <w:t xml:space="preserve">Rural Edge Node</w:t>
            </w:r>
          </w:p>
        </w:tc>
        <w:tc>
          <w:tcPr/>
          <w:p>
            <w:pPr>
              <w:pStyle w:val="Compact"/>
              <w:jc w:val="left"/>
            </w:pPr>
            <w:r>
              <w:t xml:space="preserve">Licensed Wireless (E-band) + LEO Satellite</w:t>
            </w:r>
          </w:p>
        </w:tc>
        <w:tc>
          <w:tcPr/>
          <w:p>
            <w:pPr>
              <w:pStyle w:val="Compact"/>
              <w:jc w:val="left"/>
            </w:pPr>
            <w:r>
              <w:t xml:space="preserve">1–10 Gbps</w:t>
            </w:r>
          </w:p>
        </w:tc>
        <w:tc>
          <w:tcPr/>
          <w:p>
            <w:pPr>
              <w:pStyle w:val="Compact"/>
              <w:jc w:val="left"/>
            </w:pPr>
            <w:r>
              <w:t xml:space="preserve">5G/LTE-A</w:t>
            </w:r>
          </w:p>
        </w:tc>
        <w:tc>
          <w:tcPr/>
          <w:p>
            <w:pPr>
              <w:pStyle w:val="Compact"/>
              <w:jc w:val="left"/>
            </w:pPr>
            <w:r>
              <w:t xml:space="preserve">500 Mbps–1 Gbps</w:t>
            </w:r>
          </w:p>
        </w:tc>
        <w:tc>
          <w:tcPr/>
          <w:p>
            <w:pPr>
              <w:pStyle w:val="Compact"/>
              <w:jc w:val="left"/>
            </w:pPr>
            <w:r>
              <w:t xml:space="preserve">Regional ISPs, Cloud On-Ramps</w:t>
            </w:r>
          </w:p>
        </w:tc>
      </w:tr>
      <w:tr>
        <w:tc>
          <w:tcPr/>
          <w:p>
            <w:pPr>
              <w:pStyle w:val="Compact"/>
              <w:jc w:val="left"/>
            </w:pPr>
            <w:r>
              <w:rPr>
                <w:b/>
                <w:bCs/>
              </w:rPr>
              <w:t xml:space="preserve">Regional Hub</w:t>
            </w:r>
          </w:p>
        </w:tc>
        <w:tc>
          <w:tcPr/>
          <w:p>
            <w:pPr>
              <w:pStyle w:val="Compact"/>
              <w:jc w:val="left"/>
            </w:pPr>
            <w:r>
              <w:t xml:space="preserve">Tier 1 Transit (Lumen, Zayo, Crown Castle)</w:t>
            </w:r>
          </w:p>
        </w:tc>
        <w:tc>
          <w:tcPr/>
          <w:p>
            <w:pPr>
              <w:pStyle w:val="Compact"/>
              <w:jc w:val="left"/>
            </w:pPr>
            <w:r>
              <w:t xml:space="preserve">100 Gbps</w:t>
            </w:r>
          </w:p>
        </w:tc>
        <w:tc>
          <w:tcPr/>
          <w:p>
            <w:pPr>
              <w:pStyle w:val="Compact"/>
              <w:jc w:val="left"/>
            </w:pPr>
            <w:r>
              <w:t xml:space="preserve">Diverse Transit (2nd provider)</w:t>
            </w:r>
          </w:p>
        </w:tc>
        <w:tc>
          <w:tcPr/>
          <w:p>
            <w:pPr>
              <w:pStyle w:val="Compact"/>
              <w:jc w:val="left"/>
            </w:pPr>
            <w:r>
              <w:t xml:space="preserve">40 Gbps</w:t>
            </w:r>
          </w:p>
        </w:tc>
        <w:tc>
          <w:tcPr/>
          <w:p>
            <w:pPr>
              <w:pStyle w:val="Compact"/>
              <w:jc w:val="left"/>
            </w:pPr>
            <w:r>
              <w:t xml:space="preserve">All of the above + direct peering with transit providers</w:t>
            </w:r>
          </w:p>
        </w:tc>
      </w:tr>
    </w:tbl>
    <w:p>
      <w:pPr>
        <w:pStyle w:val="BodyText"/>
      </w:pPr>
      <w:r>
        <w:rPr>
          <w:b/>
          <w:bCs/>
        </w:rPr>
        <w:t xml:space="preserve">Urban sites</w:t>
      </w:r>
      <w:r>
        <w:t xml:space="preserve"> </w:t>
      </w:r>
      <w:r>
        <w:t xml:space="preserve">leverage abundant dark fiber and lit services from multiple carriers. Redundancy is achieved through physically diverse fiber routes from different providers.</w:t>
      </w:r>
    </w:p>
    <w:p>
      <w:pPr>
        <w:pStyle w:val="BodyText"/>
      </w:pPr>
      <w:r>
        <w:rPr>
          <w:b/>
          <w:bCs/>
        </w:rPr>
        <w:t xml:space="preserve">Suburban sites</w:t>
      </w:r>
      <w:r>
        <w:t xml:space="preserve"> </w:t>
      </w:r>
      <w:r>
        <w:t xml:space="preserve">typically have one or two fiber options. Redundancy is achieved through a second carrier on a diverse physical route.</w:t>
      </w:r>
    </w:p>
    <w:p>
      <w:pPr>
        <w:pStyle w:val="BodyText"/>
      </w:pPr>
      <w:r>
        <w:rPr>
          <w:b/>
          <w:bCs/>
        </w:rPr>
        <w:t xml:space="preserve">Rural sites</w:t>
      </w:r>
      <w:r>
        <w:t xml:space="preserve"> </w:t>
      </w:r>
      <w:r>
        <w:t xml:space="preserve">may lack fiber entirely. Primary connectivity uses licensed point-to-point microwave (up to 10 Gbps at 70/80 GHz E-band) or emerging LEO satellite constellations (Starlink Business, Amazon Kuiper) providing 500 Mbps–1+ Gbps per terminal, aggregatable with multiple terminals. Backup is 5G/LTE-A with carrier aggregation. Rural sites prioritize local workloads (community services, agricultural IoT, emergency communications) that generate less backhaul demand.</w:t>
      </w:r>
    </w:p>
    <w:bookmarkEnd w:id="71"/>
    <w:bookmarkStart w:id="72" w:name="network-protocol-stack"/>
    <w:p>
      <w:pPr>
        <w:pStyle w:val="Heading3"/>
      </w:pPr>
      <w:r>
        <w:t xml:space="preserve">5.3 Network Protocol Stack</w:t>
      </w:r>
    </w:p>
    <w:p>
      <w:pPr>
        <w:pStyle w:val="Compact"/>
        <w:numPr>
          <w:ilvl w:val="0"/>
          <w:numId w:val="1011"/>
        </w:numPr>
      </w:pPr>
      <w:r>
        <w:rPr>
          <w:b/>
          <w:bCs/>
        </w:rPr>
        <w:t xml:space="preserve">Underlay:</w:t>
      </w:r>
      <w:r>
        <w:t xml:space="preserve"> </w:t>
      </w:r>
      <w:r>
        <w:t xml:space="preserve">eBPF-accelerated IP routing with segment routing (SRv6) for traffic engineering across the mesh</w:t>
      </w:r>
    </w:p>
    <w:p>
      <w:pPr>
        <w:pStyle w:val="Compact"/>
        <w:numPr>
          <w:ilvl w:val="0"/>
          <w:numId w:val="1011"/>
        </w:numPr>
      </w:pPr>
      <w:r>
        <w:rPr>
          <w:b/>
          <w:bCs/>
        </w:rPr>
        <w:t xml:space="preserve">Overlay:</w:t>
      </w:r>
      <w:r>
        <w:t xml:space="preserve"> </w:t>
      </w:r>
      <w:r>
        <w:t xml:space="preserve">WireGuard or MACsec encrypted tunnels between all nodes; VXLAN/GENEVE for tenant isolation</w:t>
      </w:r>
    </w:p>
    <w:p>
      <w:pPr>
        <w:pStyle w:val="Compact"/>
        <w:numPr>
          <w:ilvl w:val="0"/>
          <w:numId w:val="1011"/>
        </w:numPr>
      </w:pPr>
      <w:r>
        <w:rPr>
          <w:b/>
          <w:bCs/>
        </w:rPr>
        <w:t xml:space="preserve">Peering:</w:t>
      </w:r>
      <w:r>
        <w:t xml:space="preserve"> </w:t>
      </w:r>
      <w:r>
        <w:t xml:space="preserve">Automated BGP session management with RPKI validation and route leak detection</w:t>
      </w:r>
    </w:p>
    <w:p>
      <w:pPr>
        <w:pStyle w:val="Compact"/>
        <w:numPr>
          <w:ilvl w:val="0"/>
          <w:numId w:val="1011"/>
        </w:numPr>
      </w:pPr>
      <w:r>
        <w:rPr>
          <w:b/>
          <w:bCs/>
        </w:rPr>
        <w:t xml:space="preserve">DNS:</w:t>
      </w:r>
      <w:r>
        <w:t xml:space="preserve"> </w:t>
      </w:r>
      <w:r>
        <w:t xml:space="preserve">Anycast DNS across all nodes for automatic geo-routing of customer traffic</w:t>
      </w:r>
    </w:p>
    <w:p>
      <w:pPr>
        <w:pStyle w:val="Compact"/>
        <w:numPr>
          <w:ilvl w:val="0"/>
          <w:numId w:val="1011"/>
        </w:numPr>
      </w:pPr>
      <w:r>
        <w:rPr>
          <w:b/>
          <w:bCs/>
        </w:rPr>
        <w:t xml:space="preserve">Load Balancing:</w:t>
      </w:r>
      <w:r>
        <w:t xml:space="preserve"> </w:t>
      </w:r>
      <w:r>
        <w:t xml:space="preserve">AI-driven global server load balancing (GSLB) factoring latency, capacity, energy cost, and carbon intensity</w:t>
      </w:r>
    </w:p>
    <w:bookmarkEnd w:id="72"/>
    <w:bookmarkStart w:id="73" w:name="bandwidth-cost-optimization"/>
    <w:p>
      <w:pPr>
        <w:pStyle w:val="Heading3"/>
      </w:pPr>
      <w:r>
        <w:t xml:space="preserve">5.4 Bandwidth Cost Optimization</w:t>
      </w:r>
    </w:p>
    <w:p>
      <w:pPr>
        <w:pStyle w:val="FirstParagraph"/>
      </w:pPr>
      <w:r>
        <w:t xml:space="preserve">At scale, bandwidth is the second-largest operating cost after power. ANDD mitigates this through:</w:t>
      </w:r>
    </w:p>
    <w:p>
      <w:pPr>
        <w:pStyle w:val="Compact"/>
        <w:numPr>
          <w:ilvl w:val="0"/>
          <w:numId w:val="1012"/>
        </w:numPr>
      </w:pPr>
      <w:r>
        <w:rPr>
          <w:b/>
          <w:bCs/>
        </w:rPr>
        <w:t xml:space="preserve">Local traffic exchange.</w:t>
      </w:r>
      <w:r>
        <w:t xml:space="preserve"> </w:t>
      </w:r>
      <w:r>
        <w:t xml:space="preserve">By functioning as micro-exchange points, ANDD sites keep local traffic local — ISP-to-ISP, enterprise-to-cloud — without backhaul to distant peering points. This reduces transit costs and improves latency.</w:t>
      </w:r>
    </w:p>
    <w:p>
      <w:pPr>
        <w:pStyle w:val="Compact"/>
        <w:numPr>
          <w:ilvl w:val="0"/>
          <w:numId w:val="1012"/>
        </w:numPr>
      </w:pPr>
      <w:r>
        <w:rPr>
          <w:b/>
          <w:bCs/>
        </w:rPr>
        <w:t xml:space="preserve">CDN offload.</w:t>
      </w:r>
      <w:r>
        <w:t xml:space="preserve"> </w:t>
      </w:r>
      <w:r>
        <w:t xml:space="preserve">Caching popular content at every edge node eliminates redundant backhaul for content delivery workloads.</w:t>
      </w:r>
    </w:p>
    <w:p>
      <w:pPr>
        <w:pStyle w:val="Compact"/>
        <w:numPr>
          <w:ilvl w:val="0"/>
          <w:numId w:val="1012"/>
        </w:numPr>
      </w:pPr>
      <w:r>
        <w:rPr>
          <w:b/>
          <w:bCs/>
        </w:rPr>
        <w:t xml:space="preserve">AI-driven traffic engineering.</w:t>
      </w:r>
      <w:r>
        <w:t xml:space="preserve"> </w:t>
      </w:r>
      <w:r>
        <w:t xml:space="preserve">The control plane analyzes traffic patterns and optimizes routing to minimize paid transit, preferring settlement-free peering and mesh paths.</w:t>
      </w:r>
    </w:p>
    <w:p>
      <w:pPr>
        <w:pStyle w:val="Compact"/>
        <w:numPr>
          <w:ilvl w:val="0"/>
          <w:numId w:val="1012"/>
        </w:numPr>
      </w:pPr>
      <w:r>
        <w:rPr>
          <w:b/>
          <w:bCs/>
        </w:rPr>
        <w:t xml:space="preserve">Graduated deployment.</w:t>
      </w:r>
      <w:r>
        <w:t xml:space="preserve"> </w:t>
      </w:r>
      <w:r>
        <w:t xml:space="preserve">Rural sites start with lower-bandwidth connectivity appropriate to local demand and upgrade as the customer base grows, avoiding stranded bandwidth costs.</w:t>
      </w:r>
    </w:p>
    <w:p>
      <w:r>
        <w:pict>
          <v:rect style="width:0;height:1.5pt" o:hralign="center" o:hrstd="t" o:hr="t"/>
        </w:pict>
      </w:r>
    </w:p>
    <w:bookmarkEnd w:id="73"/>
    <w:bookmarkEnd w:id="74"/>
    <w:bookmarkStart w:id="83" w:name="Xf726748170783065c51827f5c6716bc535b851f"/>
    <w:p>
      <w:pPr>
        <w:pStyle w:val="Heading2"/>
      </w:pPr>
      <w:r>
        <w:t xml:space="preserve">7. Energy Requirements &amp; Mitigation Strategies</w:t>
      </w:r>
    </w:p>
    <w:bookmarkStart w:id="75" w:name="per-site-power-profile"/>
    <w:p>
      <w:pPr>
        <w:pStyle w:val="Heading3"/>
      </w:pPr>
      <w:r>
        <w:t xml:space="preserve">6.1 Per-Site Power Profile</w:t>
      </w:r>
    </w:p>
    <w:tbl>
      <w:tblPr>
        <w:tblStyle w:val="Table"/>
        <w:tblW w:type="pct" w:w="5000"/>
        <w:jc w:val="left"/>
        <w:tblLayout w:type="fixed"/>
        <w:tblLook w:firstRow="1" w:lastRow="0" w:firstColumn="0" w:lastColumn="0" w:noHBand="0" w:noVBand="0" w:val="0020"/>
      </w:tblPr>
      <w:tblGrid>
        <w:gridCol w:w="1131"/>
        <w:gridCol w:w="925"/>
        <w:gridCol w:w="925"/>
        <w:gridCol w:w="1542"/>
        <w:gridCol w:w="2160"/>
        <w:gridCol w:w="1234"/>
      </w:tblGrid>
      <w:tr>
        <w:trPr>
          <w:tblHeader w:val="on"/>
        </w:trPr>
        <w:tc>
          <w:tcPr/>
          <w:p>
            <w:pPr>
              <w:pStyle w:val="Compact"/>
              <w:jc w:val="left"/>
            </w:pPr>
            <w:r>
              <w:t xml:space="preserve">Site Tier</w:t>
            </w:r>
          </w:p>
        </w:tc>
        <w:tc>
          <w:tcPr/>
          <w:p>
            <w:pPr>
              <w:pStyle w:val="Compact"/>
              <w:jc w:val="left"/>
            </w:pPr>
            <w:r>
              <w:t xml:space="preserve">IT Load</w:t>
            </w:r>
          </w:p>
        </w:tc>
        <w:tc>
          <w:tcPr/>
          <w:p>
            <w:pPr>
              <w:pStyle w:val="Compact"/>
              <w:jc w:val="left"/>
            </w:pPr>
            <w:r>
              <w:t xml:space="preserve">Cooling</w:t>
            </w:r>
          </w:p>
        </w:tc>
        <w:tc>
          <w:tcPr/>
          <w:p>
            <w:pPr>
              <w:pStyle w:val="Compact"/>
              <w:jc w:val="left"/>
            </w:pPr>
            <w:r>
              <w:t xml:space="preserve">Infrastructure</w:t>
            </w:r>
          </w:p>
        </w:tc>
        <w:tc>
          <w:tcPr/>
          <w:p>
            <w:pPr>
              <w:pStyle w:val="Compact"/>
              <w:jc w:val="left"/>
            </w:pPr>
            <w:r>
              <w:t xml:space="preserve">Total Facility Power</w:t>
            </w:r>
          </w:p>
        </w:tc>
        <w:tc>
          <w:tcPr/>
          <w:p>
            <w:pPr>
              <w:pStyle w:val="Compact"/>
              <w:jc w:val="left"/>
            </w:pPr>
            <w:r>
              <w:t xml:space="preserve">Target PUE</w:t>
            </w:r>
          </w:p>
        </w:tc>
      </w:tr>
      <w:tr>
        <w:tc>
          <w:tcPr/>
          <w:p>
            <w:pPr>
              <w:pStyle w:val="Compact"/>
              <w:jc w:val="left"/>
            </w:pPr>
            <w:r>
              <w:t xml:space="preserve">Edge Node (200kW)</w:t>
            </w:r>
          </w:p>
        </w:tc>
        <w:tc>
          <w:tcPr/>
          <w:p>
            <w:pPr>
              <w:pStyle w:val="Compact"/>
              <w:jc w:val="left"/>
            </w:pPr>
            <w:r>
              <w:t xml:space="preserve">150kW</w:t>
            </w:r>
          </w:p>
        </w:tc>
        <w:tc>
          <w:tcPr/>
          <w:p>
            <w:pPr>
              <w:pStyle w:val="Compact"/>
              <w:jc w:val="left"/>
            </w:pPr>
            <w:r>
              <w:t xml:space="preserve">25kW</w:t>
            </w:r>
          </w:p>
        </w:tc>
        <w:tc>
          <w:tcPr/>
          <w:p>
            <w:pPr>
              <w:pStyle w:val="Compact"/>
              <w:jc w:val="left"/>
            </w:pPr>
            <w:r>
              <w:t xml:space="preserve">25kW</w:t>
            </w:r>
          </w:p>
        </w:tc>
        <w:tc>
          <w:tcPr/>
          <w:p>
            <w:pPr>
              <w:pStyle w:val="Compact"/>
              <w:jc w:val="left"/>
            </w:pPr>
            <w:r>
              <w:t xml:space="preserve">200kW</w:t>
            </w:r>
          </w:p>
        </w:tc>
        <w:tc>
          <w:tcPr/>
          <w:p>
            <w:pPr>
              <w:pStyle w:val="Compact"/>
              <w:jc w:val="left"/>
            </w:pPr>
            <w:r>
              <w:t xml:space="preserve">1.30–1.35</w:t>
            </w:r>
          </w:p>
        </w:tc>
      </w:tr>
      <w:tr>
        <w:tc>
          <w:tcPr/>
          <w:p>
            <w:pPr>
              <w:pStyle w:val="Compact"/>
              <w:jc w:val="left"/>
            </w:pPr>
            <w:r>
              <w:t xml:space="preserve">Edge Node (500kW)</w:t>
            </w:r>
          </w:p>
        </w:tc>
        <w:tc>
          <w:tcPr/>
          <w:p>
            <w:pPr>
              <w:pStyle w:val="Compact"/>
              <w:jc w:val="left"/>
            </w:pPr>
            <w:r>
              <w:t xml:space="preserve">380kW</w:t>
            </w:r>
          </w:p>
        </w:tc>
        <w:tc>
          <w:tcPr/>
          <w:p>
            <w:pPr>
              <w:pStyle w:val="Compact"/>
              <w:jc w:val="left"/>
            </w:pPr>
            <w:r>
              <w:t xml:space="preserve">65kW</w:t>
            </w:r>
          </w:p>
        </w:tc>
        <w:tc>
          <w:tcPr/>
          <w:p>
            <w:pPr>
              <w:pStyle w:val="Compact"/>
              <w:jc w:val="left"/>
            </w:pPr>
            <w:r>
              <w:t xml:space="preserve">55kW</w:t>
            </w:r>
          </w:p>
        </w:tc>
        <w:tc>
          <w:tcPr/>
          <w:p>
            <w:pPr>
              <w:pStyle w:val="Compact"/>
              <w:jc w:val="left"/>
            </w:pPr>
            <w:r>
              <w:t xml:space="preserve">500kW</w:t>
            </w:r>
          </w:p>
        </w:tc>
        <w:tc>
          <w:tcPr/>
          <w:p>
            <w:pPr>
              <w:pStyle w:val="Compact"/>
              <w:jc w:val="left"/>
            </w:pPr>
            <w:r>
              <w:t xml:space="preserve">1.30–1.35</w:t>
            </w:r>
          </w:p>
        </w:tc>
      </w:tr>
      <w:tr>
        <w:tc>
          <w:tcPr/>
          <w:p>
            <w:pPr>
              <w:pStyle w:val="Compact"/>
              <w:jc w:val="left"/>
            </w:pPr>
            <w:r>
              <w:t xml:space="preserve">Regional Hub (2MW)</w:t>
            </w:r>
          </w:p>
        </w:tc>
        <w:tc>
          <w:tcPr/>
          <w:p>
            <w:pPr>
              <w:pStyle w:val="Compact"/>
              <w:jc w:val="left"/>
            </w:pPr>
            <w:r>
              <w:t xml:space="preserve">1,500kW</w:t>
            </w:r>
          </w:p>
        </w:tc>
        <w:tc>
          <w:tcPr/>
          <w:p>
            <w:pPr>
              <w:pStyle w:val="Compact"/>
              <w:jc w:val="left"/>
            </w:pPr>
            <w:r>
              <w:t xml:space="preserve">280kW</w:t>
            </w:r>
          </w:p>
        </w:tc>
        <w:tc>
          <w:tcPr/>
          <w:p>
            <w:pPr>
              <w:pStyle w:val="Compact"/>
              <w:jc w:val="left"/>
            </w:pPr>
            <w:r>
              <w:t xml:space="preserve">220kW</w:t>
            </w:r>
          </w:p>
        </w:tc>
        <w:tc>
          <w:tcPr/>
          <w:p>
            <w:pPr>
              <w:pStyle w:val="Compact"/>
              <w:jc w:val="left"/>
            </w:pPr>
            <w:r>
              <w:t xml:space="preserve">2,000kW</w:t>
            </w:r>
          </w:p>
        </w:tc>
        <w:tc>
          <w:tcPr/>
          <w:p>
            <w:pPr>
              <w:pStyle w:val="Compact"/>
              <w:jc w:val="left"/>
            </w:pPr>
            <w:r>
              <w:t xml:space="preserve">1.30–1.35</w:t>
            </w:r>
          </w:p>
        </w:tc>
      </w:tr>
    </w:tbl>
    <w:p>
      <w:pPr>
        <w:pStyle w:val="BodyText"/>
      </w:pPr>
      <w:r>
        <w:rPr>
          <w:b/>
          <w:bCs/>
        </w:rPr>
        <w:t xml:space="preserve">PUE Benchmarks (Industry Context):</w:t>
      </w:r>
    </w:p>
    <w:tbl>
      <w:tblPr>
        <w:tblStyle w:val="Table"/>
        <w:tblW w:type="pct" w:w="5000"/>
        <w:jc w:val="left"/>
        <w:tblLayout w:type="fixed"/>
        <w:tblLook w:firstRow="1" w:lastRow="0" w:firstColumn="0" w:lastColumn="0" w:noHBand="0" w:noVBand="0" w:val="0020"/>
      </w:tblPr>
      <w:tblGrid>
        <w:gridCol w:w="1856"/>
        <w:gridCol w:w="1608"/>
        <w:gridCol w:w="2351"/>
        <w:gridCol w:w="2103"/>
      </w:tblGrid>
      <w:tr>
        <w:trPr>
          <w:tblHeader w:val="on"/>
        </w:trPr>
        <w:tc>
          <w:tcPr/>
          <w:p>
            <w:pPr>
              <w:pStyle w:val="Compact"/>
              <w:jc w:val="left"/>
            </w:pPr>
            <w:r>
              <w:t xml:space="preserve">Facility Type</w:t>
            </w:r>
          </w:p>
        </w:tc>
        <w:tc>
          <w:tcPr/>
          <w:p>
            <w:pPr>
              <w:pStyle w:val="Compact"/>
              <w:jc w:val="left"/>
            </w:pPr>
            <w:r>
              <w:t xml:space="preserve">Typical PUE</w:t>
            </w:r>
          </w:p>
        </w:tc>
        <w:tc>
          <w:tcPr/>
          <w:p>
            <w:pPr>
              <w:pStyle w:val="Compact"/>
              <w:jc w:val="left"/>
            </w:pPr>
            <w:r>
              <w:t xml:space="preserve">Best-in-Class PUE</w:t>
            </w:r>
          </w:p>
        </w:tc>
        <w:tc>
          <w:tcPr/>
          <w:p>
            <w:pPr>
              <w:pStyle w:val="Compact"/>
              <w:jc w:val="left"/>
            </w:pPr>
            <w:r>
              <w:t xml:space="preserve">Primary Cooling</w:t>
            </w:r>
          </w:p>
        </w:tc>
      </w:tr>
      <w:tr>
        <w:tc>
          <w:tcPr/>
          <w:p>
            <w:pPr>
              <w:pStyle w:val="Compact"/>
              <w:jc w:val="left"/>
            </w:pPr>
            <w:r>
              <w:t xml:space="preserve">Hyperscale (Google, Meta, MS)</w:t>
            </w:r>
          </w:p>
        </w:tc>
        <w:tc>
          <w:tcPr/>
          <w:p>
            <w:pPr>
              <w:pStyle w:val="Compact"/>
              <w:jc w:val="left"/>
            </w:pPr>
            <w:r>
              <w:t xml:space="preserve">1.10–1.20</w:t>
            </w:r>
          </w:p>
        </w:tc>
        <w:tc>
          <w:tcPr/>
          <w:p>
            <w:pPr>
              <w:pStyle w:val="Compact"/>
              <w:jc w:val="left"/>
            </w:pPr>
            <w:r>
              <w:t xml:space="preserve">1.06–1.08</w:t>
            </w:r>
          </w:p>
        </w:tc>
        <w:tc>
          <w:tcPr/>
          <w:p>
            <w:pPr>
              <w:pStyle w:val="Compact"/>
              <w:jc w:val="left"/>
            </w:pPr>
            <w:r>
              <w:t xml:space="preserve">Evaporative + liquid</w:t>
            </w:r>
          </w:p>
        </w:tc>
      </w:tr>
      <w:tr>
        <w:tc>
          <w:tcPr/>
          <w:p>
            <w:pPr>
              <w:pStyle w:val="Compact"/>
              <w:jc w:val="left"/>
            </w:pPr>
            <w:r>
              <w:t xml:space="preserve">Large colocation</w:t>
            </w:r>
          </w:p>
        </w:tc>
        <w:tc>
          <w:tcPr/>
          <w:p>
            <w:pPr>
              <w:pStyle w:val="Compact"/>
              <w:jc w:val="left"/>
            </w:pPr>
            <w:r>
              <w:t xml:space="preserve">1.30–1.50</w:t>
            </w:r>
          </w:p>
        </w:tc>
        <w:tc>
          <w:tcPr/>
          <w:p>
            <w:pPr>
              <w:pStyle w:val="Compact"/>
              <w:jc w:val="left"/>
            </w:pPr>
            <w:r>
              <w:t xml:space="preserve">1.15–1.25</w:t>
            </w:r>
          </w:p>
        </w:tc>
        <w:tc>
          <w:tcPr/>
          <w:p>
            <w:pPr>
              <w:pStyle w:val="Compact"/>
              <w:jc w:val="left"/>
            </w:pPr>
            <w:r>
              <w:t xml:space="preserve">Chilled water + air</w:t>
            </w:r>
          </w:p>
        </w:tc>
      </w:tr>
      <w:tr>
        <w:tc>
          <w:tcPr/>
          <w:p>
            <w:pPr>
              <w:pStyle w:val="Compact"/>
              <w:jc w:val="left"/>
            </w:pPr>
            <w:r>
              <w:t xml:space="preserve">Traditional edge (&lt;1MW)</w:t>
            </w:r>
          </w:p>
        </w:tc>
        <w:tc>
          <w:tcPr/>
          <w:p>
            <w:pPr>
              <w:pStyle w:val="Compact"/>
              <w:jc w:val="left"/>
            </w:pPr>
            <w:r>
              <w:t xml:space="preserve">1.40–1.80</w:t>
            </w:r>
          </w:p>
        </w:tc>
        <w:tc>
          <w:tcPr/>
          <w:p>
            <w:pPr>
              <w:pStyle w:val="Compact"/>
              <w:jc w:val="left"/>
            </w:pPr>
            <w:r>
              <w:t xml:space="preserve">1.20–1.30</w:t>
            </w:r>
          </w:p>
        </w:tc>
        <w:tc>
          <w:tcPr/>
          <w:p>
            <w:pPr>
              <w:pStyle w:val="Compact"/>
              <w:jc w:val="left"/>
            </w:pPr>
            <w:r>
              <w:t xml:space="preserve">DX air conditioning</w:t>
            </w:r>
          </w:p>
        </w:tc>
      </w:tr>
      <w:tr>
        <w:tc>
          <w:tcPr/>
          <w:p>
            <w:pPr>
              <w:pStyle w:val="Compact"/>
              <w:jc w:val="left"/>
            </w:pPr>
            <w:r>
              <w:t xml:space="preserve">Modern edge (purpose-built)</w:t>
            </w:r>
          </w:p>
        </w:tc>
        <w:tc>
          <w:tcPr/>
          <w:p>
            <w:pPr>
              <w:pStyle w:val="Compact"/>
              <w:jc w:val="left"/>
            </w:pPr>
            <w:r>
              <w:t xml:space="preserve">1.20–1.40</w:t>
            </w:r>
          </w:p>
        </w:tc>
        <w:tc>
          <w:tcPr/>
          <w:p>
            <w:pPr>
              <w:pStyle w:val="Compact"/>
              <w:jc w:val="left"/>
            </w:pPr>
            <w:r>
              <w:t xml:space="preserve">1.10–1.15</w:t>
            </w:r>
          </w:p>
        </w:tc>
        <w:tc>
          <w:tcPr/>
          <w:p>
            <w:pPr>
              <w:pStyle w:val="Compact"/>
              <w:jc w:val="left"/>
            </w:pPr>
            <w:r>
              <w:t xml:space="preserve">Liquid/immersion</w:t>
            </w:r>
          </w:p>
        </w:tc>
      </w:tr>
      <w:tr>
        <w:tc>
          <w:tcPr/>
          <w:p>
            <w:pPr>
              <w:pStyle w:val="Compact"/>
              <w:jc w:val="left"/>
            </w:pPr>
            <w:r>
              <w:t xml:space="preserve">Edge with immersion cooling</w:t>
            </w:r>
          </w:p>
        </w:tc>
        <w:tc>
          <w:tcPr/>
          <w:p>
            <w:pPr>
              <w:pStyle w:val="Compact"/>
              <w:jc w:val="left"/>
            </w:pPr>
            <w:r>
              <w:t xml:space="preserve">1.03–1.10</w:t>
            </w:r>
          </w:p>
        </w:tc>
        <w:tc>
          <w:tcPr/>
          <w:p>
            <w:pPr>
              <w:pStyle w:val="Compact"/>
              <w:jc w:val="left"/>
            </w:pPr>
            <w:r>
              <w:t xml:space="preserve">1.02–1.04</w:t>
            </w:r>
          </w:p>
        </w:tc>
        <w:tc>
          <w:tcPr/>
          <w:p>
            <w:pPr>
              <w:pStyle w:val="Compact"/>
              <w:jc w:val="left"/>
            </w:pPr>
            <w:r>
              <w:t xml:space="preserve">Single/two-phase immersion</w:t>
            </w:r>
          </w:p>
        </w:tc>
      </w:tr>
    </w:tbl>
    <w:p>
      <w:pPr>
        <w:pStyle w:val="BodyText"/>
      </w:pPr>
      <w:r>
        <w:t xml:space="preserve">The Uptime Institute’s 2024 Global Data Center Survey reported an industry-wide average PUE of 1.58 — essentially flat, indicating that while hyperscalers have improved dramatically, the broader market has not. Google reported fleet-wide PUE of 1.10; Meta achieved 1.08 at their newest facilities.</w:t>
      </w:r>
    </w:p>
    <w:p>
      <w:pPr>
        <w:pStyle w:val="BodyText"/>
      </w:pPr>
      <w:r>
        <w:rPr>
          <w:b/>
          <w:bCs/>
        </w:rPr>
        <w:t xml:space="preserve">ANDD Target: 1.15–1.25</w:t>
      </w:r>
      <w:r>
        <w:t xml:space="preserve"> </w:t>
      </w:r>
      <w:r>
        <w:t xml:space="preserve">through direct liquid cooling for GPU racks and immersion cooling for high-density deployments. This closes the gap with hyperscale facilities by leveraging cooling technologies that decouple efficiency from facility scale. For sites deploying immersion cooling, PUE below 1.10 is achievable — effectively eliminating the traditional edge efficiency penalty.</w:t>
      </w:r>
    </w:p>
    <w:bookmarkEnd w:id="75"/>
    <w:bookmarkStart w:id="76" w:name="power-architecture"/>
    <w:p>
      <w:pPr>
        <w:pStyle w:val="Heading3"/>
      </w:pPr>
      <w:r>
        <w:t xml:space="preserve">6.2 Power Architecture</w:t>
      </w:r>
    </w:p>
    <w:p>
      <w:pPr>
        <w:pStyle w:val="FirstParagraph"/>
      </w:pPr>
      <w:r>
        <w:rPr>
          <w:b/>
          <w:bCs/>
        </w:rPr>
        <w:t xml:space="preserve">Diagram 6: Edge Node Power Architecture (Top-Down Flow)</w:t>
      </w:r>
    </w:p>
    <w:tbl>
      <w:tblPr>
        <w:tblStyle w:val="Table"/>
        <w:tblW w:type="pct" w:w="5000"/>
        <w:jc w:val="left"/>
        <w:tblLayout w:type="fixed"/>
        <w:tblLook w:firstRow="1" w:lastRow="0" w:firstColumn="0" w:lastColumn="0" w:noHBand="0" w:noVBand="0" w:val="0020"/>
      </w:tblPr>
      <w:tblGrid>
        <w:gridCol w:w="1080"/>
        <w:gridCol w:w="1980"/>
        <w:gridCol w:w="2700"/>
        <w:gridCol w:w="2160"/>
      </w:tblGrid>
      <w:tr>
        <w:trPr>
          <w:tblHeader w:val="on"/>
        </w:trPr>
        <w:tc>
          <w:tcPr/>
          <w:p>
            <w:pPr>
              <w:pStyle w:val="Compact"/>
              <w:jc w:val="left"/>
            </w:pPr>
            <w:r>
              <w:t xml:space="preserve">Step</w:t>
            </w:r>
          </w:p>
        </w:tc>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Feeds Into</w:t>
            </w:r>
          </w:p>
        </w:tc>
      </w:tr>
      <w:tr>
        <w:tc>
          <w:tcPr/>
          <w:p>
            <w:pPr>
              <w:pStyle w:val="Compact"/>
              <w:jc w:val="left"/>
            </w:pPr>
            <w:r>
              <w:rPr>
                <w:b/>
                <w:bCs/>
              </w:rPr>
              <w:t xml:space="preserve">1. Power Sources</w:t>
            </w:r>
          </w:p>
        </w:tc>
        <w:tc>
          <w:tcPr/>
          <w:p>
            <w:pPr>
              <w:pStyle w:val="Compact"/>
              <w:jc w:val="left"/>
            </w:pPr>
            <w:r>
              <w:t xml:space="preserve">Utility Grid Feed (Primary)</w:t>
            </w:r>
          </w:p>
        </w:tc>
        <w:tc>
          <w:tcPr/>
          <w:p>
            <w:pPr>
              <w:pStyle w:val="Compact"/>
              <w:jc w:val="left"/>
            </w:pPr>
            <w:r>
              <w:t xml:space="preserve">Dual feed where available</w:t>
            </w:r>
          </w:p>
        </w:tc>
        <w:tc>
          <w:tcPr/>
          <w:p>
            <w:pPr>
              <w:pStyle w:val="Compact"/>
              <w:jc w:val="left"/>
            </w:pPr>
            <w:r>
              <w:t xml:space="preserve">Automatic Transfer Switch</w:t>
            </w:r>
          </w:p>
        </w:tc>
      </w:tr>
      <w:tr>
        <w:tc>
          <w:tcPr/>
          <w:p>
            <w:pPr>
              <w:pStyle w:val="Compact"/>
              <w:jc w:val="left"/>
            </w:pPr>
            <w:r>
              <w:rPr>
                <w:b/>
                <w:bCs/>
              </w:rPr>
              <w:t xml:space="preserve">1. Power Sources</w:t>
            </w:r>
          </w:p>
        </w:tc>
        <w:tc>
          <w:tcPr/>
          <w:p>
            <w:pPr>
              <w:pStyle w:val="Compact"/>
              <w:jc w:val="left"/>
            </w:pPr>
            <w:r>
              <w:t xml:space="preserve">On-Site Generation (Secondary)</w:t>
            </w:r>
          </w:p>
        </w:tc>
        <w:tc>
          <w:tcPr/>
          <w:p>
            <w:pPr>
              <w:pStyle w:val="Compact"/>
              <w:jc w:val="left"/>
            </w:pPr>
            <w:r>
              <w:t xml:space="preserve">Solar + BESS or Fuel Cell</w:t>
            </w:r>
          </w:p>
        </w:tc>
        <w:tc>
          <w:tcPr/>
          <w:p>
            <w:pPr>
              <w:pStyle w:val="Compact"/>
              <w:jc w:val="left"/>
            </w:pPr>
            <w:r>
              <w:t xml:space="preserve">Automatic Transfer Switch</w:t>
            </w:r>
          </w:p>
        </w:tc>
      </w:tr>
      <w:tr>
        <w:tc>
          <w:tcPr/>
          <w:p>
            <w:pPr>
              <w:pStyle w:val="Compact"/>
              <w:jc w:val="left"/>
            </w:pPr>
            <w:r>
              <w:rPr>
                <w:b/>
                <w:bCs/>
              </w:rPr>
              <w:t xml:space="preserve">2. Transfer</w:t>
            </w:r>
          </w:p>
        </w:tc>
        <w:tc>
          <w:tcPr/>
          <w:p>
            <w:pPr>
              <w:pStyle w:val="Compact"/>
              <w:jc w:val="left"/>
            </w:pPr>
            <w:r>
              <w:t xml:space="preserve">Automatic Transfer Switch (ATS/STS)</w:t>
            </w:r>
          </w:p>
        </w:tc>
        <w:tc>
          <w:tcPr/>
          <w:p>
            <w:pPr>
              <w:pStyle w:val="Compact"/>
              <w:jc w:val="left"/>
            </w:pPr>
            <w:r>
              <w:t xml:space="preserve">Selects best available power source</w:t>
            </w:r>
          </w:p>
        </w:tc>
        <w:tc>
          <w:tcPr/>
          <w:p>
            <w:pPr>
              <w:pStyle w:val="Compact"/>
              <w:jc w:val="left"/>
            </w:pPr>
            <w:r>
              <w:t xml:space="preserve">UPS System</w:t>
            </w:r>
          </w:p>
        </w:tc>
      </w:tr>
      <w:tr>
        <w:tc>
          <w:tcPr/>
          <w:p>
            <w:pPr>
              <w:pStyle w:val="Compact"/>
              <w:jc w:val="left"/>
            </w:pPr>
            <w:r>
              <w:rPr>
                <w:b/>
                <w:bCs/>
              </w:rPr>
              <w:t xml:space="preserve">3. Conditioning</w:t>
            </w:r>
          </w:p>
        </w:tc>
        <w:tc>
          <w:tcPr/>
          <w:p>
            <w:pPr>
              <w:pStyle w:val="Compact"/>
              <w:jc w:val="left"/>
            </w:pPr>
            <w:r>
              <w:t xml:space="preserve">UPS System (Li-Ion)</w:t>
            </w:r>
          </w:p>
        </w:tc>
        <w:tc>
          <w:tcPr/>
          <w:p>
            <w:pPr>
              <w:pStyle w:val="Compact"/>
              <w:jc w:val="left"/>
            </w:pPr>
            <w:r>
              <w:t xml:space="preserve">15–30 min runtime at full load</w:t>
            </w:r>
          </w:p>
        </w:tc>
        <w:tc>
          <w:tcPr/>
          <w:p>
            <w:pPr>
              <w:pStyle w:val="Compact"/>
              <w:jc w:val="left"/>
            </w:pPr>
            <w:r>
              <w:t xml:space="preserve">Power Distribution Units</w:t>
            </w:r>
          </w:p>
        </w:tc>
      </w:tr>
      <w:tr>
        <w:tc>
          <w:tcPr/>
          <w:p>
            <w:pPr>
              <w:pStyle w:val="Compact"/>
              <w:jc w:val="left"/>
            </w:pPr>
            <w:r>
              <w:rPr>
                <w:b/>
                <w:bCs/>
              </w:rPr>
              <w:t xml:space="preserve">4. Distribution</w:t>
            </w:r>
          </w:p>
        </w:tc>
        <w:tc>
          <w:tcPr/>
          <w:p>
            <w:pPr>
              <w:pStyle w:val="Compact"/>
              <w:jc w:val="left"/>
            </w:pPr>
            <w:r>
              <w:t xml:space="preserve">Power Distribution Units (PDU)</w:t>
            </w:r>
          </w:p>
        </w:tc>
        <w:tc>
          <w:tcPr/>
          <w:p>
            <w:pPr>
              <w:pStyle w:val="Compact"/>
              <w:jc w:val="left"/>
            </w:pPr>
            <w:r>
              <w:t xml:space="preserve">Intelligent, per-outlet monitoring</w:t>
            </w:r>
          </w:p>
        </w:tc>
        <w:tc>
          <w:tcPr/>
          <w:p>
            <w:pPr>
              <w:pStyle w:val="Compact"/>
              <w:jc w:val="left"/>
            </w:pPr>
            <w:r>
              <w:t xml:space="preserve">All IT + Facility Equipment</w:t>
            </w:r>
          </w:p>
        </w:tc>
      </w:tr>
      <w:tr>
        <w:tc>
          <w:tcPr/>
          <w:p>
            <w:pPr>
              <w:pStyle w:val="Compact"/>
              <w:jc w:val="left"/>
            </w:pPr>
            <w:r>
              <w:rPr>
                <w:b/>
                <w:bCs/>
              </w:rPr>
              <w:t xml:space="preserve">5a. End Load</w:t>
            </w:r>
          </w:p>
        </w:tc>
        <w:tc>
          <w:tcPr/>
          <w:p>
            <w:pPr>
              <w:pStyle w:val="Compact"/>
              <w:jc w:val="left"/>
            </w:pPr>
            <w:r>
              <w:t xml:space="preserve">Compute Racks</w:t>
            </w:r>
          </w:p>
        </w:tc>
        <w:tc>
          <w:tcPr/>
          <w:p>
            <w:pPr>
              <w:pStyle w:val="Compact"/>
              <w:jc w:val="left"/>
            </w:pPr>
            <w:r>
              <w:t xml:space="preserve">20–40kW per rack</w:t>
            </w:r>
          </w:p>
        </w:tc>
        <w:tc>
          <w:tcPr/>
          <w:p>
            <w:pPr>
              <w:pStyle w:val="Compact"/>
              <w:jc w:val="left"/>
            </w:pPr>
            <w:r>
              <w:t xml:space="preserve">—</w:t>
            </w:r>
          </w:p>
        </w:tc>
      </w:tr>
      <w:tr>
        <w:tc>
          <w:tcPr/>
          <w:p>
            <w:pPr>
              <w:pStyle w:val="Compact"/>
              <w:jc w:val="left"/>
            </w:pPr>
            <w:r>
              <w:rPr>
                <w:b/>
                <w:bCs/>
              </w:rPr>
              <w:t xml:space="preserve">5b. End Load</w:t>
            </w:r>
          </w:p>
        </w:tc>
        <w:tc>
          <w:tcPr/>
          <w:p>
            <w:pPr>
              <w:pStyle w:val="Compact"/>
              <w:jc w:val="left"/>
            </w:pPr>
            <w:r>
              <w:t xml:space="preserve">AI Accelerator Racks</w:t>
            </w:r>
          </w:p>
        </w:tc>
        <w:tc>
          <w:tcPr/>
          <w:p>
            <w:pPr>
              <w:pStyle w:val="Compact"/>
              <w:jc w:val="left"/>
            </w:pPr>
            <w:r>
              <w:t xml:space="preserve">40–120kW per rack</w:t>
            </w:r>
          </w:p>
        </w:tc>
        <w:tc>
          <w:tcPr/>
          <w:p>
            <w:pPr>
              <w:pStyle w:val="Compact"/>
              <w:jc w:val="left"/>
            </w:pPr>
            <w:r>
              <w:t xml:space="preserve">—</w:t>
            </w:r>
          </w:p>
        </w:tc>
      </w:tr>
      <w:tr>
        <w:tc>
          <w:tcPr/>
          <w:p>
            <w:pPr>
              <w:pStyle w:val="Compact"/>
              <w:jc w:val="left"/>
            </w:pPr>
            <w:r>
              <w:rPr>
                <w:b/>
                <w:bCs/>
              </w:rPr>
              <w:t xml:space="preserve">5c. End Load</w:t>
            </w:r>
          </w:p>
        </w:tc>
        <w:tc>
          <w:tcPr/>
          <w:p>
            <w:pPr>
              <w:pStyle w:val="Compact"/>
              <w:jc w:val="left"/>
            </w:pPr>
            <w:r>
              <w:t xml:space="preserve">Storage Racks</w:t>
            </w:r>
          </w:p>
        </w:tc>
        <w:tc>
          <w:tcPr/>
          <w:p>
            <w:pPr>
              <w:pStyle w:val="Compact"/>
              <w:jc w:val="left"/>
            </w:pPr>
            <w:r>
              <w:t xml:space="preserve">5–15kW per rack</w:t>
            </w:r>
          </w:p>
        </w:tc>
        <w:tc>
          <w:tcPr/>
          <w:p>
            <w:pPr>
              <w:pStyle w:val="Compact"/>
              <w:jc w:val="left"/>
            </w:pPr>
            <w:r>
              <w:t xml:space="preserve">—</w:t>
            </w:r>
          </w:p>
        </w:tc>
      </w:tr>
      <w:tr>
        <w:tc>
          <w:tcPr/>
          <w:p>
            <w:pPr>
              <w:pStyle w:val="Compact"/>
              <w:jc w:val="left"/>
            </w:pPr>
            <w:r>
              <w:rPr>
                <w:b/>
                <w:bCs/>
              </w:rPr>
              <w:t xml:space="preserve">5d. End Load</w:t>
            </w:r>
          </w:p>
        </w:tc>
        <w:tc>
          <w:tcPr/>
          <w:p>
            <w:pPr>
              <w:pStyle w:val="Compact"/>
              <w:jc w:val="left"/>
            </w:pPr>
            <w:r>
              <w:t xml:space="preserve">Network &amp; Cooling Equipment</w:t>
            </w:r>
          </w:p>
        </w:tc>
        <w:tc>
          <w:tcPr/>
          <w:p>
            <w:pPr>
              <w:pStyle w:val="Compact"/>
              <w:jc w:val="left"/>
            </w:pPr>
            <w:r>
              <w:t xml:space="preserve">Variable</w:t>
            </w:r>
          </w:p>
        </w:tc>
        <w:tc>
          <w:tcPr/>
          <w:p>
            <w:pPr>
              <w:pStyle w:val="Compact"/>
              <w:jc w:val="left"/>
            </w:pPr>
            <w:r>
              <w:t xml:space="preserve">—</w:t>
            </w:r>
          </w:p>
        </w:tc>
      </w:tr>
    </w:tbl>
    <w:p>
      <w:pPr>
        <w:pStyle w:val="BodyText"/>
      </w:pPr>
      <w:r>
        <w:rPr>
          <w:i/>
          <w:iCs/>
        </w:rPr>
        <w:t xml:space="preserve">Power flows top-to-bottom: Sources → ATS → UPS → PDU → End Loads. The AI management layer monitors all stages and optimizes source selection, UPS charge cycles, and load distribution.</w:t>
      </w:r>
    </w:p>
    <w:bookmarkEnd w:id="76"/>
    <w:bookmarkStart w:id="77" w:name="X6eba056039b2946e457dabefa9a52deee294a05"/>
    <w:p>
      <w:pPr>
        <w:pStyle w:val="Heading3"/>
      </w:pPr>
      <w:r>
        <w:t xml:space="preserve">6.3 Mitigation Strategy 1: Renewable Integration</w:t>
      </w:r>
    </w:p>
    <w:p>
      <w:pPr>
        <w:pStyle w:val="FirstParagraph"/>
      </w:pPr>
      <w:r>
        <w:rPr>
          <w:b/>
          <w:bCs/>
        </w:rPr>
        <w:t xml:space="preserve">On-site solar.</w:t>
      </w:r>
      <w:r>
        <w:t xml:space="preserve"> </w:t>
      </w:r>
      <w:r>
        <w:t xml:space="preserve">A 200kW edge node facility requires approximately 0.4–0.6 acres of solar panels (assuming ~400W panels, 20% capacity factor) to offset 30–40% of annual energy consumption. Sites in the U.S. Southwest can achieve 50%+ offset. Solar is deployed as carport/canopy structures over the facility and adjacent parking, providing both generation and shade to reduce ambient cooling load.</w:t>
      </w:r>
    </w:p>
    <w:p>
      <w:pPr>
        <w:pStyle w:val="BodyText"/>
      </w:pPr>
      <w:r>
        <w:rPr>
          <w:b/>
          <w:bCs/>
        </w:rPr>
        <w:t xml:space="preserve">Battery Energy Storage Systems (BESS).</w:t>
      </w:r>
      <w:r>
        <w:t xml:space="preserve"> </w:t>
      </w:r>
      <w:r>
        <w:t xml:space="preserve">Lithium iron phosphate (LFP) batteries provide:</w:t>
      </w:r>
      <w:r>
        <w:t xml:space="preserve"> </w:t>
      </w:r>
      <w:r>
        <w:t xml:space="preserve">-</w:t>
      </w:r>
      <w:r>
        <w:t xml:space="preserve"> </w:t>
      </w:r>
      <w:r>
        <w:rPr>
          <w:b/>
          <w:bCs/>
        </w:rPr>
        <w:t xml:space="preserve">Peak shaving:</w:t>
      </w:r>
      <w:r>
        <w:t xml:space="preserve"> </w:t>
      </w:r>
      <w:r>
        <w:t xml:space="preserve">Discharge during utility demand peaks to reduce demand charges (often 30–50% of commercial electricity bills)</w:t>
      </w:r>
      <w:r>
        <w:t xml:space="preserve"> </w:t>
      </w:r>
      <w:r>
        <w:t xml:space="preserve">-</w:t>
      </w:r>
      <w:r>
        <w:t xml:space="preserve"> </w:t>
      </w:r>
      <w:r>
        <w:rPr>
          <w:b/>
          <w:bCs/>
        </w:rPr>
        <w:t xml:space="preserve">Solar time-shifting:</w:t>
      </w:r>
      <w:r>
        <w:t xml:space="preserve"> </w:t>
      </w:r>
      <w:r>
        <w:t xml:space="preserve">Store midday solar generation for evening/night consumption</w:t>
      </w:r>
      <w:r>
        <w:t xml:space="preserve"> </w:t>
      </w:r>
      <w:r>
        <w:t xml:space="preserve">-</w:t>
      </w:r>
      <w:r>
        <w:t xml:space="preserve"> </w:t>
      </w:r>
      <w:r>
        <w:rPr>
          <w:b/>
          <w:bCs/>
        </w:rPr>
        <w:t xml:space="preserve">Grid services revenue:</w:t>
      </w:r>
      <w:r>
        <w:t xml:space="preserve"> </w:t>
      </w:r>
      <w:r>
        <w:t xml:space="preserve">Participate in demand response and frequency regulation programs, generating $50–150/kW-year in additional revenue</w:t>
      </w:r>
      <w:r>
        <w:t xml:space="preserve"> </w:t>
      </w:r>
      <w:r>
        <w:t xml:space="preserve">-</w:t>
      </w:r>
      <w:r>
        <w:t xml:space="preserve"> </w:t>
      </w:r>
      <w:r>
        <w:rPr>
          <w:b/>
          <w:bCs/>
        </w:rPr>
        <w:t xml:space="preserve">Backup power:</w:t>
      </w:r>
      <w:r>
        <w:t xml:space="preserve"> </w:t>
      </w:r>
      <w:r>
        <w:t xml:space="preserve">2–4 hours of full-load runtime replaces or supplements diesel generators</w:t>
      </w:r>
    </w:p>
    <w:p>
      <w:pPr>
        <w:pStyle w:val="BodyText"/>
      </w:pPr>
      <w:r>
        <w:rPr>
          <w:b/>
          <w:bCs/>
        </w:rPr>
        <w:t xml:space="preserve">Inflation Reduction Act (IRA) incentives dramatically improve renewable economics:</w:t>
      </w:r>
      <w:r>
        <w:t xml:space="preserve"> </w:t>
      </w:r>
      <w:r>
        <w:t xml:space="preserve">-</w:t>
      </w:r>
      <w:r>
        <w:t xml:space="preserve"> </w:t>
      </w:r>
      <w:r>
        <w:rPr>
          <w:b/>
          <w:bCs/>
        </w:rPr>
        <w:t xml:space="preserve">Investment Tax Credit (ITC):</w:t>
      </w:r>
      <w:r>
        <w:t xml:space="preserve"> </w:t>
      </w:r>
      <w:r>
        <w:t xml:space="preserve">30% base credit for solar, battery storage, and fuel cells. Can reach 40–50% with domestic content and energy community bonuses.</w:t>
      </w:r>
      <w:r>
        <w:t xml:space="preserve"> </w:t>
      </w:r>
      <w:r>
        <w:t xml:space="preserve">-</w:t>
      </w:r>
      <w:r>
        <w:t xml:space="preserve"> </w:t>
      </w:r>
      <w:r>
        <w:rPr>
          <w:b/>
          <w:bCs/>
        </w:rPr>
        <w:t xml:space="preserve">Production Tax Credit (PTC):</w:t>
      </w:r>
      <w:r>
        <w:t xml:space="preserve"> </w:t>
      </w:r>
      <w:r>
        <w:t xml:space="preserve">$0.0275/kWh (inflation-adjusted) for qualifying generation.</w:t>
      </w:r>
      <w:r>
        <w:t xml:space="preserve"> </w:t>
      </w:r>
      <w:r>
        <w:t xml:space="preserve">-</w:t>
      </w:r>
      <w:r>
        <w:t xml:space="preserve"> </w:t>
      </w:r>
      <w:r>
        <w:rPr>
          <w:b/>
          <w:bCs/>
        </w:rPr>
        <w:t xml:space="preserve">Transferability:</w:t>
      </w:r>
      <w:r>
        <w:t xml:space="preserve"> </w:t>
      </w:r>
      <w:r>
        <w:t xml:space="preserve">Credits can be sold to other taxpayers, enabling project financing even for entities with limited tax liability.</w:t>
      </w:r>
    </w:p>
    <w:p>
      <w:pPr>
        <w:pStyle w:val="BodyText"/>
      </w:pPr>
      <w:r>
        <w:rPr>
          <w:b/>
          <w:bCs/>
        </w:rPr>
        <w:t xml:space="preserve">Sizing example (200kW edge node):</w:t>
      </w:r>
      <w:r>
        <w:t xml:space="preserve"> </w:t>
      </w:r>
      <w:r>
        <w:t xml:space="preserve">- 100kW solar array: ~$150,000 installed, generates ~175 MWh/year in moderate solar resource area</w:t>
      </w:r>
      <w:r>
        <w:t xml:space="preserve"> </w:t>
      </w:r>
      <w:r>
        <w:t xml:space="preserve">- 500kWh / 250kW BESS: ~$200,000 installed, provides 2 hours backup + daily cycling for peak shaving</w:t>
      </w:r>
      <w:r>
        <w:t xml:space="preserve"> </w:t>
      </w:r>
      <w:r>
        <w:t xml:space="preserve">- IRA ITC (30–50%): reduces effective capital cost by $105,000–$175,000</w:t>
      </w:r>
      <w:r>
        <w:t xml:space="preserve"> </w:t>
      </w:r>
      <w:r>
        <w:t xml:space="preserve">- Annual utility cost reduction: $40,000–$80,000 (depending on rate structure)</w:t>
      </w:r>
      <w:r>
        <w:t xml:space="preserve"> </w:t>
      </w:r>
      <w:r>
        <w:t xml:space="preserve">- Peak shaving BESS value: $24,000–$150,000/year in markets with $10–25/kW/month demand charges</w:t>
      </w:r>
      <w:r>
        <w:t xml:space="preserve"> </w:t>
      </w:r>
      <w:r>
        <w:t xml:space="preserve">- Grid services revenue (frequency regulation, demand response): $50,000–$200,000/year per MW of flexible capacity (varies by ISO market — PJM, ERCOT, CAISO)</w:t>
      </w:r>
      <w:r>
        <w:t xml:space="preserve"> </w:t>
      </w:r>
      <w:r>
        <w:t xml:space="preserve">- Effective payback:</w:t>
      </w:r>
      <w:r>
        <w:t xml:space="preserve"> </w:t>
      </w:r>
      <w:r>
        <w:rPr>
          <w:b/>
          <w:bCs/>
        </w:rPr>
        <w:t xml:space="preserve">2–4 years</w:t>
      </w:r>
      <w:r>
        <w:t xml:space="preserve"> </w:t>
      </w:r>
      <w:r>
        <w:t xml:space="preserve">after IRA credits and grid services revenue</w:t>
      </w:r>
    </w:p>
    <w:bookmarkEnd w:id="77"/>
    <w:bookmarkStart w:id="78" w:name="mitigation-strategy-2-fuel-cells"/>
    <w:p>
      <w:pPr>
        <w:pStyle w:val="Heading3"/>
      </w:pPr>
      <w:r>
        <w:t xml:space="preserve">6.4 Mitigation Strategy 2: Fuel Cells</w:t>
      </w:r>
    </w:p>
    <w:p>
      <w:pPr>
        <w:pStyle w:val="FirstParagraph"/>
      </w:pPr>
      <w:r>
        <w:t xml:space="preserve">For sites requiring extended backup without diesel generators or continuous distributed generation, fuel cells offer clean, efficient alternatives:</w:t>
      </w:r>
    </w:p>
    <w:p>
      <w:pPr>
        <w:pStyle w:val="BodyText"/>
      </w:pPr>
      <w:r>
        <w:rPr>
          <w:b/>
          <w:bCs/>
        </w:rPr>
        <w:t xml:space="preserve">Solid Oxide Fuel Cells (SOFC)</w:t>
      </w:r>
      <w:r>
        <w:t xml:space="preserve"> </w:t>
      </w:r>
      <w:r>
        <w:t xml:space="preserve">— for continuous primary/supplemental power:</w:t>
      </w:r>
      <w:r>
        <w:t xml:space="preserve"> </w:t>
      </w:r>
      <w:r>
        <w:t xml:space="preserve">-</w:t>
      </w:r>
      <w:r>
        <w:t xml:space="preserve"> </w:t>
      </w:r>
      <w:r>
        <w:rPr>
          <w:b/>
          <w:bCs/>
        </w:rPr>
        <w:t xml:space="preserve">Bloom Energy</w:t>
      </w:r>
      <w:r>
        <w:t xml:space="preserve"> </w:t>
      </w:r>
      <w:r>
        <w:t xml:space="preserve">deployments at Equinix and other datacenter operators validate the model</w:t>
      </w:r>
      <w:r>
        <w:t xml:space="preserve"> </w:t>
      </w:r>
      <w:r>
        <w:t xml:space="preserve">- 65% electrical efficiency on natural gas (vs. 33–40% for grid natural gas plants) — can use biogas or hydrogen</w:t>
      </w:r>
      <w:r>
        <w:t xml:space="preserve"> </w:t>
      </w:r>
      <w:r>
        <w:t xml:space="preserve">- 300kW per Bloom Energy Server; modular scaling to multi-MW</w:t>
      </w:r>
      <w:r>
        <w:t xml:space="preserve"> </w:t>
      </w:r>
      <w:r>
        <w:t xml:space="preserve">- Installed cost: ~$7,000–$10,000/kW, declining with scale</w:t>
      </w:r>
      <w:r>
        <w:t xml:space="preserve"> </w:t>
      </w:r>
      <w:r>
        <w:t xml:space="preserve">- Provides baseload power with near-zero local emissions when using biogas</w:t>
      </w:r>
    </w:p>
    <w:p>
      <w:pPr>
        <w:pStyle w:val="BodyText"/>
      </w:pPr>
      <w:r>
        <w:rPr>
          <w:b/>
          <w:bCs/>
        </w:rPr>
        <w:t xml:space="preserve">Proton Exchange Membrane (PEM) Fuel Cells</w:t>
      </w:r>
      <w:r>
        <w:t xml:space="preserve"> </w:t>
      </w:r>
      <w:r>
        <w:t xml:space="preserve">— for hydrogen-fueled backup:</w:t>
      </w:r>
      <w:r>
        <w:t xml:space="preserve"> </w:t>
      </w:r>
      <w:r>
        <w:t xml:space="preserve">- Instant-on backup with zero emissions</w:t>
      </w:r>
      <w:r>
        <w:t xml:space="preserve"> </w:t>
      </w:r>
      <w:r>
        <w:t xml:space="preserve">- 200kW PEM system footprint: approximately two parking spaces</w:t>
      </w:r>
      <w:r>
        <w:t xml:space="preserve"> </w:t>
      </w:r>
      <w:r>
        <w:t xml:space="preserve">- Runtime limited only by hydrogen storage; a standard tube trailer provides 72+ hours</w:t>
      </w:r>
      <w:r>
        <w:t xml:space="preserve"> </w:t>
      </w:r>
      <w:r>
        <w:t xml:space="preserve">- 50–60% electrical efficiency; zero carbon with green hydrogen</w:t>
      </w:r>
      <w:r>
        <w:t xml:space="preserve"> </w:t>
      </w:r>
      <w:r>
        <w:t xml:space="preserve">- Advantages over diesel: no particulate emissions, quieter operation, no fuel degradation over time, lower maintenance</w:t>
      </w:r>
      <w:r>
        <w:t xml:space="preserve"> </w:t>
      </w:r>
      <w:r>
        <w:t xml:space="preserve">- Current cost premium: 2–3x diesel generator cost, declining rapidly</w:t>
      </w:r>
      <w:r>
        <w:t xml:space="preserve"> </w:t>
      </w:r>
      <w:r>
        <w:t xml:space="preserve">-</w:t>
      </w:r>
      <w:r>
        <w:t xml:space="preserve"> </w:t>
      </w:r>
      <w:r>
        <w:rPr>
          <w:b/>
          <w:bCs/>
        </w:rPr>
        <w:t xml:space="preserve">Microsoft, Google, and Equinix</w:t>
      </w:r>
      <w:r>
        <w:t xml:space="preserve"> </w:t>
      </w:r>
      <w:r>
        <w:t xml:space="preserve">have all piloted hydrogen backup for datacenters, validating the technology path</w:t>
      </w:r>
      <w:r>
        <w:t xml:space="preserve"> </w:t>
      </w:r>
      <w:r>
        <w:t xml:space="preserve">- Providers include Plug Power and Ballard Power in the 100kW–1MW range</w:t>
      </w:r>
    </w:p>
    <w:bookmarkEnd w:id="78"/>
    <w:bookmarkStart w:id="79" w:name="X5bf2ef7be6b05cd31cee4954a8b6fdb1fe388e9"/>
    <w:p>
      <w:pPr>
        <w:pStyle w:val="Heading3"/>
      </w:pPr>
      <w:r>
        <w:t xml:space="preserve">6.5 Mitigation Strategy 3: Microgrid Architecture</w:t>
      </w:r>
    </w:p>
    <w:p>
      <w:pPr>
        <w:pStyle w:val="FirstParagraph"/>
      </w:pPr>
      <w:r>
        <w:t xml:space="preserve">For maximum resilience, ANDD sites can operate as self-contained microgrids:</w:t>
      </w:r>
    </w:p>
    <w:p>
      <w:pPr>
        <w:pStyle w:val="BodyText"/>
      </w:pPr>
      <w:r>
        <w:rPr>
          <w:b/>
          <w:bCs/>
        </w:rPr>
        <w:t xml:space="preserve">Diagram 7: Microgrid Architecture</w:t>
      </w:r>
    </w:p>
    <w:tbl>
      <w:tblPr>
        <w:tblStyle w:val="Table"/>
        <w:tblW w:type="pct" w:w="5000"/>
        <w:jc w:val="left"/>
        <w:tblLayout w:type="fixed"/>
        <w:tblLook w:firstRow="1" w:lastRow="0" w:firstColumn="0" w:lastColumn="0" w:noHBand="0" w:noVBand="0" w:val="0020"/>
      </w:tblPr>
      <w:tblGrid>
        <w:gridCol w:w="2722"/>
        <w:gridCol w:w="1485"/>
        <w:gridCol w:w="3712"/>
      </w:tblGrid>
      <w:tr>
        <w:trPr>
          <w:tblHeader w:val="on"/>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Specification</w:t>
            </w:r>
          </w:p>
        </w:tc>
      </w:tr>
      <w:tr>
        <w:tc>
          <w:tcPr/>
          <w:p>
            <w:pPr>
              <w:pStyle w:val="Compact"/>
              <w:jc w:val="left"/>
            </w:pPr>
            <w:r>
              <w:rPr>
                <w:b/>
                <w:bCs/>
              </w:rPr>
              <w:t xml:space="preserve">Utility Grid</w:t>
            </w:r>
          </w:p>
        </w:tc>
        <w:tc>
          <w:tcPr/>
          <w:p>
            <w:pPr>
              <w:pStyle w:val="Compact"/>
              <w:jc w:val="left"/>
            </w:pPr>
            <w:r>
              <w:t xml:space="preserve">Primary power source</w:t>
            </w:r>
          </w:p>
        </w:tc>
        <w:tc>
          <w:tcPr/>
          <w:p>
            <w:pPr>
              <w:pStyle w:val="Compact"/>
              <w:jc w:val="left"/>
            </w:pPr>
            <w:r>
              <w:t xml:space="preserve">Grid-connected; metered for demand response</w:t>
            </w:r>
          </w:p>
        </w:tc>
      </w:tr>
      <w:tr>
        <w:tc>
          <w:tcPr/>
          <w:p>
            <w:pPr>
              <w:pStyle w:val="Compact"/>
              <w:jc w:val="left"/>
            </w:pPr>
            <w:r>
              <w:rPr>
                <w:b/>
                <w:bCs/>
              </w:rPr>
              <w:t xml:space="preserve">Solar Array (On-Site)</w:t>
            </w:r>
          </w:p>
        </w:tc>
        <w:tc>
          <w:tcPr/>
          <w:p>
            <w:pPr>
              <w:pStyle w:val="Compact"/>
              <w:jc w:val="left"/>
            </w:pPr>
            <w:r>
              <w:t xml:space="preserve">Renewable generation</w:t>
            </w:r>
          </w:p>
        </w:tc>
        <w:tc>
          <w:tcPr/>
          <w:p>
            <w:pPr>
              <w:pStyle w:val="Compact"/>
              <w:jc w:val="left"/>
            </w:pPr>
            <w:r>
              <w:t xml:space="preserve">Sized per site; carport/canopy mounted</w:t>
            </w:r>
          </w:p>
        </w:tc>
      </w:tr>
      <w:tr>
        <w:tc>
          <w:tcPr/>
          <w:p>
            <w:pPr>
              <w:pStyle w:val="Compact"/>
              <w:jc w:val="left"/>
            </w:pPr>
            <w:r>
              <w:rPr>
                <w:b/>
                <w:bCs/>
              </w:rPr>
              <w:t xml:space="preserve">Fuel Cell / Generator</w:t>
            </w:r>
          </w:p>
        </w:tc>
        <w:tc>
          <w:tcPr/>
          <w:p>
            <w:pPr>
              <w:pStyle w:val="Compact"/>
              <w:jc w:val="left"/>
            </w:pPr>
            <w:r>
              <w:t xml:space="preserve">Backup / baseload generation</w:t>
            </w:r>
          </w:p>
        </w:tc>
        <w:tc>
          <w:tcPr/>
          <w:p>
            <w:pPr>
              <w:pStyle w:val="Compact"/>
              <w:jc w:val="left"/>
            </w:pPr>
            <w:r>
              <w:t xml:space="preserve">PEM (hydrogen) or SOFC (natural gas/biogas)</w:t>
            </w:r>
          </w:p>
        </w:tc>
      </w:tr>
      <w:tr>
        <w:tc>
          <w:tcPr/>
          <w:p>
            <w:pPr>
              <w:pStyle w:val="Compact"/>
              <w:jc w:val="left"/>
            </w:pPr>
            <w:r>
              <w:rPr>
                <w:b/>
                <w:bCs/>
              </w:rPr>
              <w:t xml:space="preserve">Microgrid Controller</w:t>
            </w:r>
          </w:p>
        </w:tc>
        <w:tc>
          <w:tcPr/>
          <w:p>
            <w:pPr>
              <w:pStyle w:val="Compact"/>
              <w:jc w:val="left"/>
            </w:pPr>
            <w:r>
              <w:t xml:space="preserve">Central intelligence</w:t>
            </w:r>
          </w:p>
        </w:tc>
        <w:tc>
          <w:tcPr/>
          <w:p>
            <w:pPr>
              <w:pStyle w:val="Compact"/>
              <w:jc w:val="left"/>
            </w:pPr>
            <w:r>
              <w:t xml:space="preserve">AI-managed, islanding-capable; selects optimal operating mode</w:t>
            </w:r>
          </w:p>
        </w:tc>
      </w:tr>
      <w:tr>
        <w:tc>
          <w:tcPr/>
          <w:p>
            <w:pPr>
              <w:pStyle w:val="Compact"/>
              <w:jc w:val="left"/>
            </w:pPr>
            <w:r>
              <w:rPr>
                <w:b/>
                <w:bCs/>
              </w:rPr>
              <w:t xml:space="preserve">BESS (LFP Battery)</w:t>
            </w:r>
          </w:p>
        </w:tc>
        <w:tc>
          <w:tcPr/>
          <w:p>
            <w:pPr>
              <w:pStyle w:val="Compact"/>
              <w:jc w:val="left"/>
            </w:pPr>
            <w:r>
              <w:t xml:space="preserve">Energy storage</w:t>
            </w:r>
          </w:p>
        </w:tc>
        <w:tc>
          <w:tcPr/>
          <w:p>
            <w:pPr>
              <w:pStyle w:val="Compact"/>
              <w:jc w:val="left"/>
            </w:pPr>
            <w:r>
              <w:t xml:space="preserve">2–4 hour runtime; peak shaving + backup + grid services</w:t>
            </w:r>
          </w:p>
        </w:tc>
      </w:tr>
    </w:tbl>
    <w:p>
      <w:pPr>
        <w:pStyle w:val="BodyText"/>
      </w:pPr>
      <w:r>
        <w:rPr>
          <w:b/>
          <w:bCs/>
        </w:rPr>
        <w:t xml:space="preserve">Microgrid Operating Modes:</w:t>
      </w:r>
    </w:p>
    <w:tbl>
      <w:tblPr>
        <w:tblStyle w:val="Table"/>
        <w:tblW w:type="pct" w:w="5000"/>
        <w:jc w:val="left"/>
        <w:tblLayout w:type="fixed"/>
        <w:tblLook w:firstRow="1" w:lastRow="0" w:firstColumn="0" w:lastColumn="0" w:noHBand="0" w:noVBand="0" w:val="0020"/>
      </w:tblPr>
      <w:tblGrid>
        <w:gridCol w:w="1900"/>
        <w:gridCol w:w="2851"/>
        <w:gridCol w:w="3168"/>
      </w:tblGrid>
      <w:tr>
        <w:trPr>
          <w:tblHeader w:val="on"/>
        </w:trPr>
        <w:tc>
          <w:tcPr/>
          <w:p>
            <w:pPr>
              <w:pStyle w:val="Compact"/>
              <w:jc w:val="left"/>
            </w:pPr>
            <w:r>
              <w:t xml:space="preserve">Mode</w:t>
            </w:r>
          </w:p>
        </w:tc>
        <w:tc>
          <w:tcPr/>
          <w:p>
            <w:pPr>
              <w:pStyle w:val="Compact"/>
              <w:jc w:val="left"/>
            </w:pPr>
            <w:r>
              <w:t xml:space="preserve">Trigger</w:t>
            </w:r>
          </w:p>
        </w:tc>
        <w:tc>
          <w:tcPr/>
          <w:p>
            <w:pPr>
              <w:pStyle w:val="Compact"/>
              <w:jc w:val="left"/>
            </w:pPr>
            <w:r>
              <w:t xml:space="preserve">Behavior</w:t>
            </w:r>
          </w:p>
        </w:tc>
      </w:tr>
      <w:tr>
        <w:tc>
          <w:tcPr/>
          <w:p>
            <w:pPr>
              <w:pStyle w:val="Compact"/>
              <w:jc w:val="left"/>
            </w:pPr>
            <w:r>
              <w:rPr>
                <w:b/>
                <w:bCs/>
              </w:rPr>
              <w:t xml:space="preserve">Grid-Connected</w:t>
            </w:r>
          </w:p>
        </w:tc>
        <w:tc>
          <w:tcPr/>
          <w:p>
            <w:pPr>
              <w:pStyle w:val="Compact"/>
              <w:jc w:val="left"/>
            </w:pPr>
            <w:r>
              <w:t xml:space="preserve">Normal operation</w:t>
            </w:r>
          </w:p>
        </w:tc>
        <w:tc>
          <w:tcPr/>
          <w:p>
            <w:pPr>
              <w:pStyle w:val="Compact"/>
              <w:jc w:val="left"/>
            </w:pPr>
            <w:r>
              <w:t xml:space="preserve">Optimize cost, sell excess solar to utility</w:t>
            </w:r>
          </w:p>
        </w:tc>
      </w:tr>
      <w:tr>
        <w:tc>
          <w:tcPr/>
          <w:p>
            <w:pPr>
              <w:pStyle w:val="Compact"/>
              <w:jc w:val="left"/>
            </w:pPr>
            <w:r>
              <w:rPr>
                <w:b/>
                <w:bCs/>
              </w:rPr>
              <w:t xml:space="preserve">Peak Shaving</w:t>
            </w:r>
          </w:p>
        </w:tc>
        <w:tc>
          <w:tcPr/>
          <w:p>
            <w:pPr>
              <w:pStyle w:val="Compact"/>
              <w:jc w:val="left"/>
            </w:pPr>
            <w:r>
              <w:t xml:space="preserve">Demand charge threshold</w:t>
            </w:r>
          </w:p>
        </w:tc>
        <w:tc>
          <w:tcPr/>
          <w:p>
            <w:pPr>
              <w:pStyle w:val="Compact"/>
              <w:jc w:val="left"/>
            </w:pPr>
            <w:r>
              <w:t xml:space="preserve">Discharge BESS during utility demand peaks</w:t>
            </w:r>
          </w:p>
        </w:tc>
      </w:tr>
      <w:tr>
        <w:tc>
          <w:tcPr/>
          <w:p>
            <w:pPr>
              <w:pStyle w:val="Compact"/>
              <w:jc w:val="left"/>
            </w:pPr>
            <w:r>
              <w:rPr>
                <w:b/>
                <w:bCs/>
              </w:rPr>
              <w:t xml:space="preserve">Islanded</w:t>
            </w:r>
          </w:p>
        </w:tc>
        <w:tc>
          <w:tcPr/>
          <w:p>
            <w:pPr>
              <w:pStyle w:val="Compact"/>
              <w:jc w:val="left"/>
            </w:pPr>
            <w:r>
              <w:t xml:space="preserve">Grid outage detected</w:t>
            </w:r>
          </w:p>
        </w:tc>
        <w:tc>
          <w:tcPr/>
          <w:p>
            <w:pPr>
              <w:pStyle w:val="Compact"/>
              <w:jc w:val="left"/>
            </w:pPr>
            <w:r>
              <w:t xml:space="preserve">Full self-sufficiency; solar + BESS + fuel cell</w:t>
            </w:r>
          </w:p>
        </w:tc>
      </w:tr>
      <w:tr>
        <w:tc>
          <w:tcPr/>
          <w:p>
            <w:pPr>
              <w:pStyle w:val="Compact"/>
              <w:jc w:val="left"/>
            </w:pPr>
            <w:r>
              <w:rPr>
                <w:b/>
                <w:bCs/>
              </w:rPr>
              <w:t xml:space="preserve">Emergency</w:t>
            </w:r>
          </w:p>
        </w:tc>
        <w:tc>
          <w:tcPr/>
          <w:p>
            <w:pPr>
              <w:pStyle w:val="Compact"/>
              <w:jc w:val="left"/>
            </w:pPr>
            <w:r>
              <w:t xml:space="preserve">Extended outage / disaster</w:t>
            </w:r>
          </w:p>
        </w:tc>
        <w:tc>
          <w:tcPr/>
          <w:p>
            <w:pPr>
              <w:pStyle w:val="Compact"/>
              <w:jc w:val="left"/>
            </w:pPr>
            <w:r>
              <w:t xml:space="preserve">Priority power to critical workloads (emergency services, government, healthcare); shed non-essential load</w:t>
            </w:r>
          </w:p>
        </w:tc>
      </w:tr>
    </w:tbl>
    <w:p>
      <w:pPr>
        <w:pStyle w:val="BodyText"/>
      </w:pPr>
      <w:r>
        <w:t xml:space="preserve">The AI management layer continuously optimizes the microgrid operating mode:</w:t>
      </w:r>
      <w:r>
        <w:t xml:space="preserve"> </w:t>
      </w:r>
      <w:r>
        <w:t xml:space="preserve">-</w:t>
      </w:r>
      <w:r>
        <w:t xml:space="preserve"> </w:t>
      </w:r>
      <w:r>
        <w:rPr>
          <w:b/>
          <w:bCs/>
        </w:rPr>
        <w:t xml:space="preserve">Normal operation:</w:t>
      </w:r>
      <w:r>
        <w:t xml:space="preserve"> </w:t>
      </w:r>
      <w:r>
        <w:t xml:space="preserve">Draw from grid at off-peak rates, charge batteries, sell excess solar to utility</w:t>
      </w:r>
      <w:r>
        <w:t xml:space="preserve"> </w:t>
      </w:r>
      <w:r>
        <w:t xml:space="preserve">-</w:t>
      </w:r>
      <w:r>
        <w:t xml:space="preserve"> </w:t>
      </w:r>
      <w:r>
        <w:rPr>
          <w:b/>
          <w:bCs/>
        </w:rPr>
        <w:t xml:space="preserve">Peak demand:</w:t>
      </w:r>
      <w:r>
        <w:t xml:space="preserve"> </w:t>
      </w:r>
      <w:r>
        <w:t xml:space="preserve">Discharge batteries to reduce demand charges, curtail deferrable workloads</w:t>
      </w:r>
      <w:r>
        <w:t xml:space="preserve"> </w:t>
      </w:r>
      <w:r>
        <w:t xml:space="preserve">-</w:t>
      </w:r>
      <w:r>
        <w:t xml:space="preserve"> </w:t>
      </w:r>
      <w:r>
        <w:rPr>
          <w:b/>
          <w:bCs/>
        </w:rPr>
        <w:t xml:space="preserve">Grid outage:</w:t>
      </w:r>
      <w:r>
        <w:t xml:space="preserve"> </w:t>
      </w:r>
      <w:r>
        <w:t xml:space="preserve">Seamlessly island, prioritize critical workloads (emergency services, government, healthcare), shed non-essential load</w:t>
      </w:r>
      <w:r>
        <w:t xml:space="preserve"> </w:t>
      </w:r>
      <w:r>
        <w:t xml:space="preserve">-</w:t>
      </w:r>
      <w:r>
        <w:t xml:space="preserve"> </w:t>
      </w:r>
      <w:r>
        <w:rPr>
          <w:b/>
          <w:bCs/>
        </w:rPr>
        <w:t xml:space="preserve">Extended outage:</w:t>
      </w:r>
      <w:r>
        <w:t xml:space="preserve"> </w:t>
      </w:r>
      <w:r>
        <w:t xml:space="preserve">Coordinate across the mesh to migrate critical workloads away from affected nodes while maintaining local emergency services</w:t>
      </w:r>
    </w:p>
    <w:bookmarkEnd w:id="79"/>
    <w:bookmarkStart w:id="80" w:name="mitigation-strategy-4-cooling-efficiency"/>
    <w:p>
      <w:pPr>
        <w:pStyle w:val="Heading3"/>
      </w:pPr>
      <w:r>
        <w:t xml:space="preserve">6.6 Mitigation Strategy 4: Cooling Efficiency</w:t>
      </w:r>
    </w:p>
    <w:p>
      <w:pPr>
        <w:pStyle w:val="FirstParagraph"/>
      </w:pPr>
      <w:r>
        <w:t xml:space="preserve">Cooling is the largest non-IT energy consumer. ANDD employs a tiered approach optimized for each rack density class:</w:t>
      </w:r>
    </w:p>
    <w:p>
      <w:pPr>
        <w:pStyle w:val="BodyText"/>
      </w:pPr>
      <w:r>
        <w:rPr>
          <w:b/>
          <w:bCs/>
        </w:rPr>
        <w:t xml:space="preserve">Cooling Technology Comparison (500kW Edge Node):</w:t>
      </w:r>
    </w:p>
    <w:tbl>
      <w:tblPr>
        <w:tblStyle w:val="Table"/>
        <w:tblW w:type="pct" w:w="5000"/>
        <w:jc w:val="left"/>
        <w:tblLayout w:type="fixed"/>
        <w:tblLook w:firstRow="1" w:lastRow="0" w:firstColumn="0" w:lastColumn="0" w:noHBand="0" w:noVBand="0" w:val="0020"/>
      </w:tblPr>
      <w:tblGrid>
        <w:gridCol w:w="1234"/>
        <w:gridCol w:w="1440"/>
        <w:gridCol w:w="2262"/>
        <w:gridCol w:w="1234"/>
        <w:gridCol w:w="1748"/>
      </w:tblGrid>
      <w:tr>
        <w:trPr>
          <w:tblHeader w:val="on"/>
        </w:trPr>
        <w:tc>
          <w:tcPr/>
          <w:p>
            <w:pPr>
              <w:pStyle w:val="Compact"/>
              <w:jc w:val="left"/>
            </w:pPr>
            <w:r>
              <w:t xml:space="preserve">Technology</w:t>
            </w:r>
          </w:p>
        </w:tc>
        <w:tc>
          <w:tcPr/>
          <w:p>
            <w:pPr>
              <w:pStyle w:val="Compact"/>
              <w:jc w:val="left"/>
            </w:pPr>
            <w:r>
              <w:t xml:space="preserve">Cooling Power</w:t>
            </w:r>
          </w:p>
        </w:tc>
        <w:tc>
          <w:tcPr/>
          <w:p>
            <w:pPr>
              <w:pStyle w:val="Compact"/>
              <w:jc w:val="left"/>
            </w:pPr>
            <w:r>
              <w:t xml:space="preserve">Effective IT Capacity</w:t>
            </w:r>
          </w:p>
        </w:tc>
        <w:tc>
          <w:tcPr/>
          <w:p>
            <w:pPr>
              <w:pStyle w:val="Compact"/>
              <w:jc w:val="left"/>
            </w:pPr>
            <w:r>
              <w:t xml:space="preserve">PUE Impact</w:t>
            </w:r>
          </w:p>
        </w:tc>
        <w:tc>
          <w:tcPr/>
          <w:p>
            <w:pPr>
              <w:pStyle w:val="Compact"/>
              <w:jc w:val="left"/>
            </w:pPr>
            <w:r>
              <w:t xml:space="preserve">Capital Premium</w:t>
            </w:r>
          </w:p>
        </w:tc>
      </w:tr>
      <w:tr>
        <w:tc>
          <w:tcPr/>
          <w:p>
            <w:pPr>
              <w:pStyle w:val="Compact"/>
              <w:jc w:val="left"/>
            </w:pPr>
            <w:r>
              <w:t xml:space="preserve">Air cooling (DX)</w:t>
            </w:r>
          </w:p>
        </w:tc>
        <w:tc>
          <w:tcPr/>
          <w:p>
            <w:pPr>
              <w:pStyle w:val="Compact"/>
              <w:jc w:val="left"/>
            </w:pPr>
            <w:r>
              <w:t xml:space="preserve">150–200kW</w:t>
            </w:r>
          </w:p>
        </w:tc>
        <w:tc>
          <w:tcPr/>
          <w:p>
            <w:pPr>
              <w:pStyle w:val="Compact"/>
              <w:jc w:val="left"/>
            </w:pPr>
            <w:r>
              <w:t xml:space="preserve">300–350kW</w:t>
            </w:r>
          </w:p>
        </w:tc>
        <w:tc>
          <w:tcPr/>
          <w:p>
            <w:pPr>
              <w:pStyle w:val="Compact"/>
              <w:jc w:val="left"/>
            </w:pPr>
            <w:r>
              <w:t xml:space="preserve">1.40–1.80</w:t>
            </w:r>
          </w:p>
        </w:tc>
        <w:tc>
          <w:tcPr/>
          <w:p>
            <w:pPr>
              <w:pStyle w:val="Compact"/>
              <w:jc w:val="left"/>
            </w:pPr>
            <w:r>
              <w:t xml:space="preserve">Baseline</w:t>
            </w:r>
          </w:p>
        </w:tc>
      </w:tr>
      <w:tr>
        <w:tc>
          <w:tcPr/>
          <w:p>
            <w:pPr>
              <w:pStyle w:val="Compact"/>
              <w:jc w:val="left"/>
            </w:pPr>
            <w:r>
              <w:t xml:space="preserve">Rear-door heat exchangers</w:t>
            </w:r>
          </w:p>
        </w:tc>
        <w:tc>
          <w:tcPr/>
          <w:p>
            <w:pPr>
              <w:pStyle w:val="Compact"/>
              <w:jc w:val="left"/>
            </w:pPr>
            <w:r>
              <w:t xml:space="preserve">75–125kW</w:t>
            </w:r>
          </w:p>
        </w:tc>
        <w:tc>
          <w:tcPr/>
          <w:p>
            <w:pPr>
              <w:pStyle w:val="Compact"/>
              <w:jc w:val="left"/>
            </w:pPr>
            <w:r>
              <w:t xml:space="preserve">375–425kW</w:t>
            </w:r>
          </w:p>
        </w:tc>
        <w:tc>
          <w:tcPr/>
          <w:p>
            <w:pPr>
              <w:pStyle w:val="Compact"/>
              <w:jc w:val="left"/>
            </w:pPr>
            <w:r>
              <w:t xml:space="preserve">1.20–1.40</w:t>
            </w:r>
          </w:p>
        </w:tc>
        <w:tc>
          <w:tcPr/>
          <w:p>
            <w:pPr>
              <w:pStyle w:val="Compact"/>
              <w:jc w:val="left"/>
            </w:pPr>
            <w:r>
              <w:t xml:space="preserve">+15–25%</w:t>
            </w:r>
          </w:p>
        </w:tc>
      </w:tr>
      <w:tr>
        <w:tc>
          <w:tcPr/>
          <w:p>
            <w:pPr>
              <w:pStyle w:val="Compact"/>
              <w:jc w:val="left"/>
            </w:pPr>
            <w:r>
              <w:t xml:space="preserve">Direct-to-chip liquid</w:t>
            </w:r>
          </w:p>
        </w:tc>
        <w:tc>
          <w:tcPr/>
          <w:p>
            <w:pPr>
              <w:pStyle w:val="Compact"/>
              <w:jc w:val="left"/>
            </w:pPr>
            <w:r>
              <w:t xml:space="preserve">40–75kW</w:t>
            </w:r>
          </w:p>
        </w:tc>
        <w:tc>
          <w:tcPr/>
          <w:p>
            <w:pPr>
              <w:pStyle w:val="Compact"/>
              <w:jc w:val="left"/>
            </w:pPr>
            <w:r>
              <w:t xml:space="preserve">425–460kW</w:t>
            </w:r>
          </w:p>
        </w:tc>
        <w:tc>
          <w:tcPr/>
          <w:p>
            <w:pPr>
              <w:pStyle w:val="Compact"/>
              <w:jc w:val="left"/>
            </w:pPr>
            <w:r>
              <w:t xml:space="preserve">1.10–1.20</w:t>
            </w:r>
          </w:p>
        </w:tc>
        <w:tc>
          <w:tcPr/>
          <w:p>
            <w:pPr>
              <w:pStyle w:val="Compact"/>
              <w:jc w:val="left"/>
            </w:pPr>
            <w:r>
              <w:t xml:space="preserve">+25–40%</w:t>
            </w:r>
          </w:p>
        </w:tc>
      </w:tr>
      <w:tr>
        <w:tc>
          <w:tcPr/>
          <w:p>
            <w:pPr>
              <w:pStyle w:val="Compact"/>
              <w:jc w:val="left"/>
            </w:pPr>
            <w:r>
              <w:t xml:space="preserve">Single-phase immersion</w:t>
            </w:r>
          </w:p>
        </w:tc>
        <w:tc>
          <w:tcPr/>
          <w:p>
            <w:pPr>
              <w:pStyle w:val="Compact"/>
              <w:jc w:val="left"/>
            </w:pPr>
            <w:r>
              <w:t xml:space="preserve">15–30kW</w:t>
            </w:r>
          </w:p>
        </w:tc>
        <w:tc>
          <w:tcPr/>
          <w:p>
            <w:pPr>
              <w:pStyle w:val="Compact"/>
              <w:jc w:val="left"/>
            </w:pPr>
            <w:r>
              <w:t xml:space="preserve">470–485kW</w:t>
            </w:r>
          </w:p>
        </w:tc>
        <w:tc>
          <w:tcPr/>
          <w:p>
            <w:pPr>
              <w:pStyle w:val="Compact"/>
              <w:jc w:val="left"/>
            </w:pPr>
            <w:r>
              <w:t xml:space="preserve">1.02–1.06</w:t>
            </w:r>
          </w:p>
        </w:tc>
        <w:tc>
          <w:tcPr/>
          <w:p>
            <w:pPr>
              <w:pStyle w:val="Compact"/>
              <w:jc w:val="left"/>
            </w:pPr>
            <w:r>
              <w:t xml:space="preserve">+30–50%</w:t>
            </w:r>
          </w:p>
        </w:tc>
      </w:tr>
      <w:tr>
        <w:tc>
          <w:tcPr/>
          <w:p>
            <w:pPr>
              <w:pStyle w:val="Compact"/>
              <w:jc w:val="left"/>
            </w:pPr>
            <w:r>
              <w:t xml:space="preserve">Two-phase immersion</w:t>
            </w:r>
          </w:p>
        </w:tc>
        <w:tc>
          <w:tcPr/>
          <w:p>
            <w:pPr>
              <w:pStyle w:val="Compact"/>
              <w:jc w:val="left"/>
            </w:pPr>
            <w:r>
              <w:t xml:space="preserve">10–20kW</w:t>
            </w:r>
          </w:p>
        </w:tc>
        <w:tc>
          <w:tcPr/>
          <w:p>
            <w:pPr>
              <w:pStyle w:val="Compact"/>
              <w:jc w:val="left"/>
            </w:pPr>
            <w:r>
              <w:t xml:space="preserve">480–490kW</w:t>
            </w:r>
          </w:p>
        </w:tc>
        <w:tc>
          <w:tcPr/>
          <w:p>
            <w:pPr>
              <w:pStyle w:val="Compact"/>
              <w:jc w:val="left"/>
            </w:pPr>
            <w:r>
              <w:t xml:space="preserve">1.01–1.04</w:t>
            </w:r>
          </w:p>
        </w:tc>
        <w:tc>
          <w:tcPr/>
          <w:p>
            <w:pPr>
              <w:pStyle w:val="Compact"/>
              <w:jc w:val="left"/>
            </w:pPr>
            <w:r>
              <w:t xml:space="preserve">+40–60%</w:t>
            </w:r>
          </w:p>
        </w:tc>
      </w:tr>
    </w:tbl>
    <w:p>
      <w:pPr>
        <w:pStyle w:val="BodyText"/>
      </w:pPr>
      <w:r>
        <w:t xml:space="preserve">Moving from air cooling (PUE 1.5) to immersion (PUE 1.05) saves approximately 300kW of cooling power in a 1MW facility — effectively</w:t>
      </w:r>
      <w:r>
        <w:t xml:space="preserve"> </w:t>
      </w:r>
      <w:r>
        <w:rPr>
          <w:b/>
          <w:bCs/>
        </w:rPr>
        <w:t xml:space="preserve">increasing usable compute capacity by 30%</w:t>
      </w:r>
      <w:r>
        <w:t xml:space="preserve"> </w:t>
      </w:r>
      <w:r>
        <w:t xml:space="preserve">within the same power envelope. This is the single most impactful efficiency lever for edge facilities.</w:t>
      </w:r>
    </w:p>
    <w:p>
      <w:pPr>
        <w:pStyle w:val="BodyText"/>
      </w:pPr>
      <w:r>
        <w:rPr>
          <w:b/>
          <w:bCs/>
        </w:rPr>
        <w:t xml:space="preserve">Direct Liquid Cooling (DLC)</w:t>
      </w:r>
      <w:r>
        <w:t xml:space="preserve"> </w:t>
      </w:r>
      <w:r>
        <w:t xml:space="preserve">is the ANDD baseline for all GPU and high-density racks (&gt;30kW/rack). Cold plates mounted directly on CPUs/GPUs circulate liquid coolant, capturing 70–80% of heat at the source. Warm water (35–45°C) is rejected through dry coolers — no chiller required in most climates, achieving</w:t>
      </w:r>
      <w:r>
        <w:t xml:space="preserve"> </w:t>
      </w:r>
      <w:r>
        <w:rPr>
          <w:b/>
          <w:bCs/>
        </w:rPr>
        <w:t xml:space="preserve">zero water consumption</w:t>
      </w:r>
      <w:r>
        <w:t xml:space="preserve"> </w:t>
      </w:r>
      <w:r>
        <w:t xml:space="preserve">(a significant advantage over hyperscale evaporative cooling). Providers include CoolIT (deployed at &gt;2M nodes globally), ZutaCore, and Asetek.</w:t>
      </w:r>
    </w:p>
    <w:p>
      <w:pPr>
        <w:pStyle w:val="BodyText"/>
      </w:pPr>
      <w:r>
        <w:rPr>
          <w:b/>
          <w:bCs/>
        </w:rPr>
        <w:t xml:space="preserve">Single-phase immersion cooling</w:t>
      </w:r>
      <w:r>
        <w:t xml:space="preserve"> </w:t>
      </w:r>
      <w:r>
        <w:t xml:space="preserve">for maximum density deployments. Servers are submerged in dielectric fluid (Shell Immersion S5 X or equivalent), eliminating all fan-based cooling. Silent operation, dust/contaminant proof, and extreme density in small footprints make this ideal for edge facilities in urban or constrained environments. Providers include GRC, Submer, and Iceotope.</w:t>
      </w:r>
    </w:p>
    <w:p>
      <w:pPr>
        <w:pStyle w:val="BodyText"/>
      </w:pPr>
      <w:r>
        <w:rPr>
          <w:b/>
          <w:bCs/>
        </w:rPr>
        <w:t xml:space="preserve">Rear-door heat exchangers</w:t>
      </w:r>
      <w:r>
        <w:t xml:space="preserve"> </w:t>
      </w:r>
      <w:r>
        <w:t xml:space="preserve">for medium-density compute racks (15–30kW/rack). Retrofit-friendly, requiring no raised floors or hot/cold aisle containment — advantageous for edge sites in repurposed spaces.</w:t>
      </w:r>
    </w:p>
    <w:p>
      <w:pPr>
        <w:pStyle w:val="BodyText"/>
      </w:pPr>
      <w:r>
        <w:rPr>
          <w:b/>
          <w:bCs/>
        </w:rPr>
        <w:t xml:space="preserve">Ambient air economization</w:t>
      </w:r>
      <w:r>
        <w:t xml:space="preserve"> </w:t>
      </w:r>
      <w:r>
        <w:t xml:space="preserve">for the facility envelope. In most U.S. climates, outside air provides free cooling during 3,000–6,000 hours per year. The AI thermal management system maximizes economizer hours through predictive weather integration and workload scheduling — shifting deferrable compute to cooler hours.</w:t>
      </w:r>
    </w:p>
    <w:p>
      <w:pPr>
        <w:pStyle w:val="BodyText"/>
      </w:pPr>
      <w:r>
        <w:rPr>
          <w:b/>
          <w:bCs/>
        </w:rPr>
        <w:t xml:space="preserve">Waste heat recapture.</w:t>
      </w:r>
      <w:r>
        <w:t xml:space="preserve"> </w:t>
      </w:r>
      <w:r>
        <w:t xml:space="preserve">The 35–45°C warm water from DLC systems is suitable for building heating, agricultural (greenhouse) applications, or district heating in co-located developments. This converts a cost center into a potential revenue or community-benefit stream, particularly valuable in Opportunity Zone deployments where community co-benefits strengthen the investment thesis.</w:t>
      </w:r>
    </w:p>
    <w:bookmarkEnd w:id="80"/>
    <w:bookmarkStart w:id="81" w:name="network-wide-energy-resilience"/>
    <w:p>
      <w:pPr>
        <w:pStyle w:val="Heading3"/>
      </w:pPr>
      <w:r>
        <w:t xml:space="preserve">6.7 Network-Wide Energy Resilience</w:t>
      </w:r>
    </w:p>
    <w:p>
      <w:pPr>
        <w:pStyle w:val="FirstParagraph"/>
      </w:pPr>
      <w:r>
        <w:t xml:space="preserve">The distributed architecture provides inherent energy resilience that no single-campus model can match:</w:t>
      </w:r>
    </w:p>
    <w:p>
      <w:pPr>
        <w:pStyle w:val="Compact"/>
        <w:numPr>
          <w:ilvl w:val="0"/>
          <w:numId w:val="1013"/>
        </w:numPr>
      </w:pPr>
      <w:r>
        <w:rPr>
          <w:b/>
          <w:bCs/>
        </w:rPr>
        <w:t xml:space="preserve">Grid diversity:</w:t>
      </w:r>
      <w:r>
        <w:t xml:space="preserve"> </w:t>
      </w:r>
      <w:r>
        <w:t xml:space="preserve">Nodes across multiple utility territories, transmission zones, and generation mixes. A grid failure in one region does not affect nodes served by different utilities.</w:t>
      </w:r>
    </w:p>
    <w:p>
      <w:pPr>
        <w:pStyle w:val="Compact"/>
        <w:numPr>
          <w:ilvl w:val="0"/>
          <w:numId w:val="1013"/>
        </w:numPr>
      </w:pPr>
      <w:r>
        <w:rPr>
          <w:b/>
          <w:bCs/>
        </w:rPr>
        <w:t xml:space="preserve">Workload migration:</w:t>
      </w:r>
      <w:r>
        <w:t xml:space="preserve"> </w:t>
      </w:r>
      <w:r>
        <w:t xml:space="preserve">The AI control plane monitors grid conditions (via utility APIs and SCADA integration) and preemptively migrates workloads away from nodes facing brownout or outage risk.</w:t>
      </w:r>
    </w:p>
    <w:p>
      <w:pPr>
        <w:pStyle w:val="Compact"/>
        <w:numPr>
          <w:ilvl w:val="0"/>
          <w:numId w:val="1013"/>
        </w:numPr>
      </w:pPr>
      <w:r>
        <w:rPr>
          <w:b/>
          <w:bCs/>
        </w:rPr>
        <w:t xml:space="preserve">Aggregate demand response:</w:t>
      </w:r>
      <w:r>
        <w:t xml:space="preserve"> </w:t>
      </w:r>
      <w:r>
        <w:t xml:space="preserve">The network’s distributed BESS capacity aggregates into a virtual power plant (VPP), providing grid services at scale while maintaining datacenter backup capability.</w:t>
      </w:r>
    </w:p>
    <w:p>
      <w:pPr>
        <w:pStyle w:val="Compact"/>
        <w:numPr>
          <w:ilvl w:val="0"/>
          <w:numId w:val="1013"/>
        </w:numPr>
      </w:pPr>
      <w:r>
        <w:rPr>
          <w:b/>
          <w:bCs/>
        </w:rPr>
        <w:t xml:space="preserve">Climate resilience:</w:t>
      </w:r>
      <w:r>
        <w:t xml:space="preserve"> </w:t>
      </w:r>
      <w:r>
        <w:t xml:space="preserve">Geographic distribution ensures that weather-driven events (heat waves degrading cooling, storms disrupting power) affect only a fraction of total capacity at any time.</w:t>
      </w:r>
    </w:p>
    <w:bookmarkEnd w:id="81"/>
    <w:bookmarkStart w:id="82" w:name="X5d32cfc9b5024747b304b58dd01d28e7154b2c7"/>
    <w:p>
      <w:pPr>
        <w:pStyle w:val="Heading3"/>
      </w:pPr>
      <w:r>
        <w:t xml:space="preserve">6.8 Federal Programs Supporting Distributed Energy Infrastructure</w:t>
      </w:r>
    </w:p>
    <w:p>
      <w:pPr>
        <w:pStyle w:val="FirstParagraph"/>
      </w:pPr>
      <w:r>
        <w:t xml:space="preserve">ANDD’s energy strategy is supported by a substantial federal funding landscape:</w:t>
      </w:r>
    </w:p>
    <w:p>
      <w:pPr>
        <w:pStyle w:val="BodyText"/>
      </w:pPr>
      <w:r>
        <w:rPr>
          <w:b/>
          <w:bCs/>
        </w:rPr>
        <w:t xml:space="preserve">Department of Energy:</w:t>
      </w:r>
      <w:r>
        <w:t xml:space="preserve"> </w:t>
      </w:r>
      <w:r>
        <w:t xml:space="preserve">-</w:t>
      </w:r>
      <w:r>
        <w:t xml:space="preserve"> </w:t>
      </w:r>
      <w:r>
        <w:rPr>
          <w:b/>
          <w:bCs/>
        </w:rPr>
        <w:t xml:space="preserve">Grid Resilience and Innovation Partnerships (GRIP) Program:</w:t>
      </w:r>
      <w:r>
        <w:t xml:space="preserve"> </w:t>
      </w:r>
      <w:r>
        <w:t xml:space="preserve">$10.5 billion authorized under the Bipartisan Infrastructure Law for distributed energy resources, microgrids, and grid modernization. Directly applicable to datacenter microgrids in underserved areas.</w:t>
      </w:r>
      <w:r>
        <w:t xml:space="preserve"> </w:t>
      </w:r>
      <w:r>
        <w:t xml:space="preserve">-</w:t>
      </w:r>
      <w:r>
        <w:t xml:space="preserve"> </w:t>
      </w:r>
      <w:r>
        <w:rPr>
          <w:b/>
          <w:bCs/>
        </w:rPr>
        <w:t xml:space="preserve">Loan Programs Office (LPO):</w:t>
      </w:r>
      <w:r>
        <w:t xml:space="preserve"> </w:t>
      </w:r>
      <w:r>
        <w:t xml:space="preserve">$400+ billion in lending authority. Title 17 Clean Energy Financing supports innovative energy projects including fuel cells, advanced nuclear, and distributed generation.</w:t>
      </w:r>
      <w:r>
        <w:t xml:space="preserve"> </w:t>
      </w:r>
      <w:r>
        <w:t xml:space="preserve">-</w:t>
      </w:r>
      <w:r>
        <w:t xml:space="preserve"> </w:t>
      </w:r>
      <w:r>
        <w:rPr>
          <w:b/>
          <w:bCs/>
        </w:rPr>
        <w:t xml:space="preserve">ARPA-E COOLERCHIPS Program:</w:t>
      </w:r>
      <w:r>
        <w:t xml:space="preserve"> </w:t>
      </w:r>
      <w:r>
        <w:t xml:space="preserve">$42 million specifically targeting datacenter cooling efficiency — near-junction thermal management and advanced cooling approaches.</w:t>
      </w:r>
      <w:r>
        <w:t xml:space="preserve"> </w:t>
      </w:r>
      <w:r>
        <w:t xml:space="preserve">-</w:t>
      </w:r>
      <w:r>
        <w:t xml:space="preserve"> </w:t>
      </w:r>
      <w:r>
        <w:rPr>
          <w:b/>
          <w:bCs/>
        </w:rPr>
        <w:t xml:space="preserve">Office of Electricity Microgrid Program:</w:t>
      </w:r>
      <w:r>
        <w:t xml:space="preserve"> </w:t>
      </w:r>
      <w:r>
        <w:t xml:space="preserve">Funds autonomous microgrid controllers and islanding capability research directly relevant to ANDD site design.</w:t>
      </w:r>
    </w:p>
    <w:p>
      <w:pPr>
        <w:pStyle w:val="BodyText"/>
      </w:pPr>
      <w:r>
        <w:rPr>
          <w:b/>
          <w:bCs/>
        </w:rPr>
        <w:t xml:space="preserve">IRS / Tax Incentives (Inflation Reduction Act):</w:t>
      </w:r>
      <w:r>
        <w:t xml:space="preserve"> </w:t>
      </w:r>
      <w:r>
        <w:t xml:space="preserve">-</w:t>
      </w:r>
      <w:r>
        <w:t xml:space="preserve"> </w:t>
      </w:r>
      <w:r>
        <w:rPr>
          <w:b/>
          <w:bCs/>
        </w:rPr>
        <w:t xml:space="preserve">Investment Tax Credit (ITC):</w:t>
      </w:r>
      <w:r>
        <w:t xml:space="preserve"> </w:t>
      </w:r>
      <w:r>
        <w:t xml:space="preserve">30% base for solar, battery, fuel cells; up to 40–50% with domestic content and energy community bonuses</w:t>
      </w:r>
      <w:r>
        <w:t xml:space="preserve"> </w:t>
      </w:r>
      <w:r>
        <w:t xml:space="preserve">-</w:t>
      </w:r>
      <w:r>
        <w:t xml:space="preserve"> </w:t>
      </w:r>
      <w:r>
        <w:rPr>
          <w:b/>
          <w:bCs/>
        </w:rPr>
        <w:t xml:space="preserve">Section 48E Clean Electricity ITC:</w:t>
      </w:r>
      <w:r>
        <w:t xml:space="preserve"> </w:t>
      </w:r>
      <w:r>
        <w:t xml:space="preserve">Technology-neutral, applies to any zero-emission generation</w:t>
      </w:r>
      <w:r>
        <w:t xml:space="preserve"> </w:t>
      </w:r>
      <w:r>
        <w:t xml:space="preserve">-</w:t>
      </w:r>
      <w:r>
        <w:t xml:space="preserve"> </w:t>
      </w:r>
      <w:r>
        <w:rPr>
          <w:b/>
          <w:bCs/>
        </w:rPr>
        <w:t xml:space="preserve">Elective Pay (Direct Pay):</w:t>
      </w:r>
      <w:r>
        <w:t xml:space="preserve"> </w:t>
      </w:r>
      <w:r>
        <w:t xml:space="preserve">Tax-exempt entities (including government customers co-investing) can receive credit value as direct payment</w:t>
      </w:r>
      <w:r>
        <w:t xml:space="preserve"> </w:t>
      </w:r>
      <w:r>
        <w:t xml:space="preserve">-</w:t>
      </w:r>
      <w:r>
        <w:t xml:space="preserve"> </w:t>
      </w:r>
      <w:r>
        <w:rPr>
          <w:b/>
          <w:bCs/>
        </w:rPr>
        <w:t xml:space="preserve">Credit Transferability:</w:t>
      </w:r>
      <w:r>
        <w:t xml:space="preserve"> </w:t>
      </w:r>
      <w:r>
        <w:t xml:space="preserve">Enables project financing even for entities with limited tax liability</w:t>
      </w:r>
    </w:p>
    <w:p>
      <w:pPr>
        <w:pStyle w:val="BodyText"/>
      </w:pPr>
      <w:r>
        <w:rPr>
          <w:b/>
          <w:bCs/>
        </w:rPr>
        <w:t xml:space="preserve">USDA Programs:</w:t>
      </w:r>
      <w:r>
        <w:t xml:space="preserve"> </w:t>
      </w:r>
      <w:r>
        <w:t xml:space="preserve">-</w:t>
      </w:r>
      <w:r>
        <w:t xml:space="preserve"> </w:t>
      </w:r>
      <w:r>
        <w:rPr>
          <w:b/>
          <w:bCs/>
        </w:rPr>
        <w:t xml:space="preserve">Rural Energy for America Program (REAP):</w:t>
      </w:r>
      <w:r>
        <w:t xml:space="preserve"> </w:t>
      </w:r>
      <w:r>
        <w:t xml:space="preserve">Grants and loans for rural renewable energy, applicable to edge datacenters in rural Opportunity Zones</w:t>
      </w:r>
      <w:r>
        <w:t xml:space="preserve"> </w:t>
      </w:r>
      <w:r>
        <w:t xml:space="preserve">-</w:t>
      </w:r>
      <w:r>
        <w:t xml:space="preserve"> </w:t>
      </w:r>
      <w:r>
        <w:rPr>
          <w:b/>
          <w:bCs/>
        </w:rPr>
        <w:t xml:space="preserve">Rural Utilities Service:</w:t>
      </w:r>
      <w:r>
        <w:t xml:space="preserve"> </w:t>
      </w:r>
      <w:r>
        <w:t xml:space="preserve">Loans for rural electric infrastructure modernization</w:t>
      </w:r>
    </w:p>
    <w:p>
      <w:pPr>
        <w:pStyle w:val="BodyText"/>
      </w:pPr>
      <w:r>
        <w:rPr>
          <w:b/>
          <w:bCs/>
        </w:rPr>
        <w:t xml:space="preserve">NTIA Broadband Programs:</w:t>
      </w:r>
      <w:r>
        <w:t xml:space="preserve"> </w:t>
      </w:r>
      <w:r>
        <w:t xml:space="preserve">-</w:t>
      </w:r>
      <w:r>
        <w:t xml:space="preserve"> </w:t>
      </w:r>
      <w:r>
        <w:rPr>
          <w:b/>
          <w:bCs/>
        </w:rPr>
        <w:t xml:space="preserve">BEAD (Broadband Equity, Access, and Deployment):</w:t>
      </w:r>
      <w:r>
        <w:t xml:space="preserve"> </w:t>
      </w:r>
      <w:r>
        <w:t xml:space="preserve">$42.45 billion program. Edge datacenters co-located with new fiber deployments in underserved areas may qualify for related infrastructure funding.</w:t>
      </w:r>
    </w:p>
    <w:p>
      <w:pPr>
        <w:pStyle w:val="BodyText"/>
      </w:pPr>
      <w:r>
        <w:t xml:space="preserve">The combined federal support — GRIP ($10.5B), DOE LPO ($400B+ lending), IRA tax credits, BEAD ($42.45B) — creates an unprecedented funding environment for the combination of distributed energy and edge computing infrastructure in underserved communities. ANDD’s Opportunity Zone alignment positions it to access multiple overlapping incentive streams.</w:t>
      </w:r>
    </w:p>
    <w:p>
      <w:r>
        <w:pict>
          <v:rect style="width:0;height:1.5pt" o:hralign="center" o:hrstd="t" o:hr="t"/>
        </w:pict>
      </w:r>
    </w:p>
    <w:bookmarkEnd w:id="82"/>
    <w:bookmarkEnd w:id="83"/>
    <w:bookmarkStart w:id="88" w:name="ai-native-operations"/>
    <w:p>
      <w:pPr>
        <w:pStyle w:val="Heading2"/>
      </w:pPr>
      <w:r>
        <w:t xml:space="preserve">8. AI-Native Operations</w:t>
      </w:r>
    </w:p>
    <w:bookmarkStart w:id="84" w:name="the-autonomous-datacenter-thesis"/>
    <w:p>
      <w:pPr>
        <w:pStyle w:val="Heading3"/>
      </w:pPr>
      <w:r>
        <w:t xml:space="preserve">7.1 The Autonomous Datacenter Thesis</w:t>
      </w:r>
    </w:p>
    <w:p>
      <w:pPr>
        <w:pStyle w:val="FirstParagraph"/>
      </w:pPr>
      <w:r>
        <w:t xml:space="preserve">Traditional datacenter operations depend on human operators at every layer: sales teams qualify and onboard customers, engineers provision infrastructure, billing teams generate and reconcile invoices, technicians perform maintenance, NOC staff monitor and respond to incidents. These human costs establish a minimum viable facility size — typically 5MW+ — below which operations are not economically sustainable.</w:t>
      </w:r>
    </w:p>
    <w:p>
      <w:pPr>
        <w:pStyle w:val="BodyText"/>
      </w:pPr>
      <w:r>
        <w:t xml:space="preserve">ANDD eliminates this constraint by replacing human operational roles with specialized AI agents operating within a unified management framework. This is not a chatbot layer on top of existing tools. It is a ground-up reimagining of datacenter operations where AI is the primary operator and humans serve as exception handlers and strategic decision-makers.</w:t>
      </w:r>
    </w:p>
    <w:bookmarkEnd w:id="84"/>
    <w:bookmarkStart w:id="85" w:name="ai-agent-architecture"/>
    <w:p>
      <w:pPr>
        <w:pStyle w:val="Heading3"/>
      </w:pPr>
      <w:r>
        <w:t xml:space="preserve">7.2 AI Agent Architecture</w:t>
      </w:r>
    </w:p>
    <w:p>
      <w:pPr>
        <w:pStyle w:val="FirstParagraph"/>
      </w:pPr>
      <w:r>
        <w:rPr>
          <w:b/>
          <w:bCs/>
        </w:rPr>
        <w:t xml:space="preserve">Diagram 8: AI Agent Architecture</w:t>
      </w:r>
    </w:p>
    <w:tbl>
      <w:tblPr>
        <w:tblStyle w:val="Table"/>
        <w:tblW w:type="pct" w:w="5000"/>
        <w:jc w:val="left"/>
        <w:tblLayout w:type="fixed"/>
        <w:tblLook w:firstRow="1" w:lastRow="0" w:firstColumn="0" w:lastColumn="0" w:noHBand="0" w:noVBand="0" w:val="0020"/>
      </w:tblPr>
      <w:tblGrid>
        <w:gridCol w:w="1980"/>
        <w:gridCol w:w="3111"/>
        <w:gridCol w:w="2828"/>
      </w:tblGrid>
      <w:tr>
        <w:trPr>
          <w:tblHeader w:val="on"/>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Function</w:t>
            </w:r>
          </w:p>
        </w:tc>
      </w:tr>
      <w:tr>
        <w:tc>
          <w:tcPr/>
          <w:p>
            <w:pPr>
              <w:pStyle w:val="Compact"/>
              <w:jc w:val="left"/>
            </w:pPr>
            <w:r>
              <w:rPr>
                <w:b/>
                <w:bCs/>
              </w:rPr>
              <w:t xml:space="preserve">Orchestration</w:t>
            </w:r>
          </w:p>
        </w:tc>
        <w:tc>
          <w:tcPr/>
          <w:p>
            <w:pPr>
              <w:pStyle w:val="Compact"/>
              <w:jc w:val="left"/>
            </w:pPr>
            <w:r>
              <w:t xml:space="preserve">Orchestration Agent</w:t>
            </w:r>
          </w:p>
        </w:tc>
        <w:tc>
          <w:tcPr/>
          <w:p>
            <w:pPr>
              <w:pStyle w:val="Compact"/>
              <w:jc w:val="left"/>
            </w:pPr>
            <w:r>
              <w:t xml:space="preserve">Coordinates all sub-agents, resolves conflicts, escalates to humans when confidence is below threshold</w:t>
            </w:r>
          </w:p>
        </w:tc>
      </w:tr>
      <w:tr>
        <w:tc>
          <w:tcPr/>
          <w:p>
            <w:pPr>
              <w:pStyle w:val="Compact"/>
              <w:jc w:val="left"/>
            </w:pPr>
            <w:r>
              <w:rPr>
                <w:b/>
                <w:bCs/>
              </w:rPr>
              <w:t xml:space="preserve">Sub-Agent</w:t>
            </w:r>
          </w:p>
        </w:tc>
        <w:tc>
          <w:tcPr/>
          <w:p>
            <w:pPr>
              <w:pStyle w:val="Compact"/>
              <w:jc w:val="left"/>
            </w:pPr>
            <w:r>
              <w:t xml:space="preserve">Customer Onboarding Agent</w:t>
            </w:r>
          </w:p>
        </w:tc>
        <w:tc>
          <w:tcPr/>
          <w:p>
            <w:pPr>
              <w:pStyle w:val="Compact"/>
              <w:jc w:val="left"/>
            </w:pPr>
            <w:r>
              <w:t xml:space="preserve">Qualifies leads, generates proposals, executes KYC/KYB, provisions tenant environments</w:t>
            </w:r>
          </w:p>
        </w:tc>
      </w:tr>
      <w:tr>
        <w:tc>
          <w:tcPr/>
          <w:p>
            <w:pPr>
              <w:pStyle w:val="Compact"/>
              <w:jc w:val="left"/>
            </w:pPr>
            <w:r>
              <w:rPr>
                <w:b/>
                <w:bCs/>
              </w:rPr>
              <w:t xml:space="preserve">Sub-Agent</w:t>
            </w:r>
          </w:p>
        </w:tc>
        <w:tc>
          <w:tcPr/>
          <w:p>
            <w:pPr>
              <w:pStyle w:val="Compact"/>
              <w:jc w:val="left"/>
            </w:pPr>
            <w:r>
              <w:t xml:space="preserve">Provisioning Agent</w:t>
            </w:r>
          </w:p>
        </w:tc>
        <w:tc>
          <w:tcPr/>
          <w:p>
            <w:pPr>
              <w:pStyle w:val="Compact"/>
              <w:jc w:val="left"/>
            </w:pPr>
            <w:r>
              <w:t xml:space="preserve">Translates workload specs into resource allocations, deploys infrastructure across mesh</w:t>
            </w:r>
          </w:p>
        </w:tc>
      </w:tr>
      <w:tr>
        <w:tc>
          <w:tcPr/>
          <w:p>
            <w:pPr>
              <w:pStyle w:val="Compact"/>
              <w:jc w:val="left"/>
            </w:pPr>
            <w:r>
              <w:rPr>
                <w:b/>
                <w:bCs/>
              </w:rPr>
              <w:t xml:space="preserve">Sub-Agent</w:t>
            </w:r>
          </w:p>
        </w:tc>
        <w:tc>
          <w:tcPr/>
          <w:p>
            <w:pPr>
              <w:pStyle w:val="Compact"/>
              <w:jc w:val="left"/>
            </w:pPr>
            <w:r>
              <w:t xml:space="preserve">Billing &amp; Revenue Agent</w:t>
            </w:r>
          </w:p>
        </w:tc>
        <w:tc>
          <w:tcPr/>
          <w:p>
            <w:pPr>
              <w:pStyle w:val="Compact"/>
              <w:jc w:val="left"/>
            </w:pPr>
            <w:r>
              <w:t xml:space="preserve">Meters usage, generates invoices, settles micro-transactions, reconciles fiat + crypto</w:t>
            </w:r>
          </w:p>
        </w:tc>
      </w:tr>
      <w:tr>
        <w:tc>
          <w:tcPr/>
          <w:p>
            <w:pPr>
              <w:pStyle w:val="Compact"/>
              <w:jc w:val="left"/>
            </w:pPr>
            <w:r>
              <w:rPr>
                <w:b/>
                <w:bCs/>
              </w:rPr>
              <w:t xml:space="preserve">Sub-Agent</w:t>
            </w:r>
          </w:p>
        </w:tc>
        <w:tc>
          <w:tcPr/>
          <w:p>
            <w:pPr>
              <w:pStyle w:val="Compact"/>
              <w:jc w:val="left"/>
            </w:pPr>
            <w:r>
              <w:t xml:space="preserve">Predictive Maintenance Agent</w:t>
            </w:r>
          </w:p>
        </w:tc>
        <w:tc>
          <w:tcPr/>
          <w:p>
            <w:pPr>
              <w:pStyle w:val="Compact"/>
              <w:jc w:val="left"/>
            </w:pPr>
            <w:r>
              <w:t xml:space="preserve">Ingests sensor telemetry, maintains digital twins, schedules preventive replacements</w:t>
            </w:r>
          </w:p>
        </w:tc>
      </w:tr>
      <w:tr>
        <w:tc>
          <w:tcPr/>
          <w:p>
            <w:pPr>
              <w:pStyle w:val="Compact"/>
              <w:jc w:val="left"/>
            </w:pPr>
            <w:r>
              <w:rPr>
                <w:b/>
                <w:bCs/>
              </w:rPr>
              <w:t xml:space="preserve">Sub-Agent</w:t>
            </w:r>
          </w:p>
        </w:tc>
        <w:tc>
          <w:tcPr/>
          <w:p>
            <w:pPr>
              <w:pStyle w:val="Compact"/>
              <w:jc w:val="left"/>
            </w:pPr>
            <w:r>
              <w:t xml:space="preserve">SLA Guardian Agent</w:t>
            </w:r>
          </w:p>
        </w:tc>
        <w:tc>
          <w:tcPr/>
          <w:p>
            <w:pPr>
              <w:pStyle w:val="Compact"/>
              <w:jc w:val="left"/>
            </w:pPr>
            <w:r>
              <w:t xml:space="preserve">Monitors SLA thresholds, triggers remediation, issues credits, generates compliance reports</w:t>
            </w:r>
          </w:p>
        </w:tc>
      </w:tr>
      <w:tr>
        <w:tc>
          <w:tcPr/>
          <w:p>
            <w:pPr>
              <w:pStyle w:val="Compact"/>
              <w:jc w:val="left"/>
            </w:pPr>
            <w:r>
              <w:rPr>
                <w:b/>
                <w:bCs/>
              </w:rPr>
              <w:t xml:space="preserve">Data Layer</w:t>
            </w:r>
          </w:p>
        </w:tc>
        <w:tc>
          <w:tcPr/>
          <w:p>
            <w:pPr>
              <w:pStyle w:val="Compact"/>
              <w:jc w:val="left"/>
            </w:pPr>
            <w:r>
              <w:t xml:space="preserve">Shared Context &amp; State Store</w:t>
            </w:r>
          </w:p>
        </w:tc>
        <w:tc>
          <w:tcPr/>
          <w:p>
            <w:pPr>
              <w:pStyle w:val="Compact"/>
              <w:jc w:val="left"/>
            </w:pPr>
            <w:r>
              <w:t xml:space="preserve">Customer profiles, capacity maps, billing ledger, maintenance logs, SLA contracts</w:t>
            </w:r>
          </w:p>
        </w:tc>
      </w:tr>
    </w:tbl>
    <w:p>
      <w:pPr>
        <w:pStyle w:val="BodyText"/>
      </w:pPr>
      <w:r>
        <w:rPr>
          <w:i/>
          <w:iCs/>
        </w:rPr>
        <w:t xml:space="preserve">The Orchestration Agent sits above all sub-agents and mediates between them. All agents read from and write to the Shared Context &amp; State Store. Human escalation is triggered when any agent’s confidence falls below a configurable threshold.</w:t>
      </w:r>
    </w:p>
    <w:p>
      <w:pPr>
        <w:pStyle w:val="BodyText"/>
      </w:pPr>
      <w:r>
        <w:rPr>
          <w:b/>
          <w:bCs/>
        </w:rPr>
        <w:t xml:space="preserve">Customer Onboarding Agent.</w:t>
      </w:r>
      <w:r>
        <w:t xml:space="preserve"> </w:t>
      </w:r>
      <w:r>
        <w:t xml:space="preserve">Handles the entire customer lifecycle from first contact:</w:t>
      </w:r>
      <w:r>
        <w:t xml:space="preserve"> </w:t>
      </w:r>
      <w:r>
        <w:t xml:space="preserve">- Qualifies leads through conversational AI (chat, email, API)</w:t>
      </w:r>
      <w:r>
        <w:t xml:space="preserve"> </w:t>
      </w:r>
      <w:r>
        <w:t xml:space="preserve">- Generates custom proposals based on workload requirements and available capacity</w:t>
      </w:r>
      <w:r>
        <w:t xml:space="preserve"> </w:t>
      </w:r>
      <w:r>
        <w:t xml:space="preserve">- Executes KYC/KYB verification through integrated identity services</w:t>
      </w:r>
      <w:r>
        <w:t xml:space="preserve"> </w:t>
      </w:r>
      <w:r>
        <w:t xml:space="preserve">- Provisions tenant environments upon contract execution</w:t>
      </w:r>
      <w:r>
        <w:t xml:space="preserve"> </w:t>
      </w:r>
      <w:r>
        <w:t xml:space="preserve">- No human sales team required for standard deployments</w:t>
      </w:r>
    </w:p>
    <w:p>
      <w:pPr>
        <w:pStyle w:val="BodyText"/>
      </w:pPr>
      <w:r>
        <w:rPr>
          <w:b/>
          <w:bCs/>
        </w:rPr>
        <w:t xml:space="preserve">Provisioning Agent.</w:t>
      </w:r>
      <w:r>
        <w:t xml:space="preserve"> </w:t>
      </w:r>
      <w:r>
        <w:t xml:space="preserve">Transforms customer requirements into running infrastructure:</w:t>
      </w:r>
      <w:r>
        <w:t xml:space="preserve"> </w:t>
      </w:r>
      <w:r>
        <w:t xml:space="preserve">- Translates workload specifications into resource allocations across the mesh</w:t>
      </w:r>
      <w:r>
        <w:t xml:space="preserve"> </w:t>
      </w:r>
      <w:r>
        <w:t xml:space="preserve">- Selects optimal node placement based on latency requirements, data residency, and available capacity</w:t>
      </w:r>
      <w:r>
        <w:t xml:space="preserve"> </w:t>
      </w:r>
      <w:r>
        <w:t xml:space="preserve">- Deploys virtual networks, storage volumes, compute instances, and GPU allocations</w:t>
      </w:r>
      <w:r>
        <w:t xml:space="preserve"> </w:t>
      </w:r>
      <w:r>
        <w:t xml:space="preserve">- Configures monitoring, alerting, and auto-scaling policies</w:t>
      </w:r>
      <w:r>
        <w:t xml:space="preserve"> </w:t>
      </w:r>
      <w:r>
        <w:t xml:space="preserve">- Completes in minutes what traditionally takes days of human engineering</w:t>
      </w:r>
    </w:p>
    <w:p>
      <w:pPr>
        <w:pStyle w:val="BodyText"/>
      </w:pPr>
      <w:r>
        <w:rPr>
          <w:b/>
          <w:bCs/>
        </w:rPr>
        <w:t xml:space="preserve">Billing &amp; Revenue Agent.</w:t>
      </w:r>
      <w:r>
        <w:t xml:space="preserve"> </w:t>
      </w:r>
      <w:r>
        <w:t xml:space="preserve">Manages all financial operations:</w:t>
      </w:r>
      <w:r>
        <w:t xml:space="preserve"> </w:t>
      </w:r>
      <w:r>
        <w:t xml:space="preserve">- Meters resource usage at sub-second granularity across compute, storage, bandwidth, and GPU-hours</w:t>
      </w:r>
      <w:r>
        <w:t xml:space="preserve"> </w:t>
      </w:r>
      <w:r>
        <w:t xml:space="preserve">- Generates invoices for subscription customers (monthly/annual)</w:t>
      </w:r>
      <w:r>
        <w:t xml:space="preserve"> </w:t>
      </w:r>
      <w:r>
        <w:t xml:space="preserve">- Settles micro-transactions in real-time for pay-per-use and DePIN customers</w:t>
      </w:r>
      <w:r>
        <w:t xml:space="preserve"> </w:t>
      </w:r>
      <w:r>
        <w:t xml:space="preserve">- Detects billing anomalies (usage spikes, potential abuse, credit risk)</w:t>
      </w:r>
      <w:r>
        <w:t xml:space="preserve"> </w:t>
      </w:r>
      <w:r>
        <w:t xml:space="preserve">- Reconciles fiat and crypto payment streams into unified financial reporting</w:t>
      </w:r>
      <w:r>
        <w:t xml:space="preserve"> </w:t>
      </w:r>
      <w:r>
        <w:t xml:space="preserve">- Manages accounts receivable, payment reminders, and collections workflows</w:t>
      </w:r>
    </w:p>
    <w:p>
      <w:pPr>
        <w:pStyle w:val="BodyText"/>
      </w:pPr>
      <w:r>
        <w:rPr>
          <w:b/>
          <w:bCs/>
        </w:rPr>
        <w:t xml:space="preserve">Predictive Maintenance Agent.</w:t>
      </w:r>
      <w:r>
        <w:t xml:space="preserve"> </w:t>
      </w:r>
      <w:r>
        <w:t xml:space="preserve">Keeps infrastructure running without human intervention:</w:t>
      </w:r>
      <w:r>
        <w:t xml:space="preserve"> </w:t>
      </w:r>
      <w:r>
        <w:t xml:space="preserve">- Ingests telemetry from all hardware sensors (temperature, vibration, power draw, error rates, SMART data)</w:t>
      </w:r>
      <w:r>
        <w:t xml:space="preserve"> </w:t>
      </w:r>
      <w:r>
        <w:t xml:space="preserve">- Maintains digital twins of every hardware component with failure probability models</w:t>
      </w:r>
      <w:r>
        <w:t xml:space="preserve"> </w:t>
      </w:r>
      <w:r>
        <w:t xml:space="preserve">- Schedules preventive replacements during low-utilization windows</w:t>
      </w:r>
      <w:r>
        <w:t xml:space="preserve"> </w:t>
      </w:r>
      <w:r>
        <w:t xml:space="preserve">- Coordinates with the provisioning agent to live-migrate workloads before maintenance events</w:t>
      </w:r>
      <w:r>
        <w:t xml:space="preserve"> </w:t>
      </w:r>
      <w:r>
        <w:t xml:space="preserve">- Dispatches field service technicians (the one remaining human role) for physical hardware swaps via automated work orders with precise instructions</w:t>
      </w:r>
    </w:p>
    <w:p>
      <w:pPr>
        <w:pStyle w:val="BodyText"/>
      </w:pPr>
      <w:r>
        <w:rPr>
          <w:b/>
          <w:bCs/>
        </w:rPr>
        <w:t xml:space="preserve">SLA Guardian Agent.</w:t>
      </w:r>
      <w:r>
        <w:t xml:space="preserve"> </w:t>
      </w:r>
      <w:r>
        <w:t xml:space="preserve">Ensures contractual commitments are met:</w:t>
      </w:r>
      <w:r>
        <w:t xml:space="preserve"> </w:t>
      </w:r>
      <w:r>
        <w:t xml:space="preserve">- Continuously monitors performance metrics against SLA thresholds for every tenant</w:t>
      </w:r>
      <w:r>
        <w:t xml:space="preserve"> </w:t>
      </w:r>
      <w:r>
        <w:t xml:space="preserve">- Triggers automated remediation (workload migration, failover, capacity scaling) before SLA breach</w:t>
      </w:r>
      <w:r>
        <w:t xml:space="preserve"> </w:t>
      </w:r>
      <w:r>
        <w:t xml:space="preserve">- Generates compliance reports for government and regulated-industry tenants</w:t>
      </w:r>
      <w:r>
        <w:t xml:space="preserve"> </w:t>
      </w:r>
      <w:r>
        <w:t xml:space="preserve">- Calculates and issues SLA credits automatically when breaches occur</w:t>
      </w:r>
      <w:r>
        <w:t xml:space="preserve"> </w:t>
      </w:r>
      <w:r>
        <w:t xml:space="preserve">- Provides real-time SLA dashboards to customers</w:t>
      </w:r>
    </w:p>
    <w:bookmarkEnd w:id="85"/>
    <w:bookmarkStart w:id="86" w:name="human-in-the-loop-design"/>
    <w:p>
      <w:pPr>
        <w:pStyle w:val="Heading3"/>
      </w:pPr>
      <w:r>
        <w:t xml:space="preserve">7.3 Human-in-the-Loop Design</w:t>
      </w:r>
    </w:p>
    <w:p>
      <w:pPr>
        <w:pStyle w:val="FirstParagraph"/>
      </w:pPr>
      <w:r>
        <w:t xml:space="preserve">AI-native does not mean human-free. Humans remain in the loop for:</w:t>
      </w:r>
    </w:p>
    <w:p>
      <w:pPr>
        <w:pStyle w:val="Compact"/>
        <w:numPr>
          <w:ilvl w:val="0"/>
          <w:numId w:val="1014"/>
        </w:numPr>
      </w:pPr>
      <w:r>
        <w:rPr>
          <w:b/>
          <w:bCs/>
        </w:rPr>
        <w:t xml:space="preserve">Exception handling:</w:t>
      </w:r>
      <w:r>
        <w:t xml:space="preserve"> </w:t>
      </w:r>
      <w:r>
        <w:t xml:space="preserve">Situations the AI agents have not encountered or where confidence is below threshold trigger escalation to human operators with full context and recommended actions.</w:t>
      </w:r>
    </w:p>
    <w:p>
      <w:pPr>
        <w:pStyle w:val="Compact"/>
        <w:numPr>
          <w:ilvl w:val="0"/>
          <w:numId w:val="1014"/>
        </w:numPr>
      </w:pPr>
      <w:r>
        <w:rPr>
          <w:b/>
          <w:bCs/>
        </w:rPr>
        <w:t xml:space="preserve">Strategic decisions:</w:t>
      </w:r>
      <w:r>
        <w:t xml:space="preserve"> </w:t>
      </w:r>
      <w:r>
        <w:t xml:space="preserve">Capacity expansion, new site selection, pricing strategy, partnership negotiations.</w:t>
      </w:r>
    </w:p>
    <w:p>
      <w:pPr>
        <w:pStyle w:val="Compact"/>
        <w:numPr>
          <w:ilvl w:val="0"/>
          <w:numId w:val="1014"/>
        </w:numPr>
      </w:pPr>
      <w:r>
        <w:rPr>
          <w:b/>
          <w:bCs/>
        </w:rPr>
        <w:t xml:space="preserve">Physical maintenance:</w:t>
      </w:r>
      <w:r>
        <w:t xml:space="preserve"> </w:t>
      </w:r>
      <w:r>
        <w:t xml:space="preserve">Hardware installation, cable routing, and component replacement require hands on site. The AI system generates precise work orders, routes technicians efficiently, and verifies completion through sensor validation.</w:t>
      </w:r>
    </w:p>
    <w:p>
      <w:pPr>
        <w:pStyle w:val="Compact"/>
        <w:numPr>
          <w:ilvl w:val="0"/>
          <w:numId w:val="1014"/>
        </w:numPr>
      </w:pPr>
      <w:r>
        <w:rPr>
          <w:b/>
          <w:bCs/>
        </w:rPr>
        <w:t xml:space="preserve">Compliance oversight:</w:t>
      </w:r>
      <w:r>
        <w:t xml:space="preserve"> </w:t>
      </w:r>
      <w:r>
        <w:t xml:space="preserve">A human compliance officer reviews AI-generated audit reports and signs off on regulatory submissions.</w:t>
      </w:r>
    </w:p>
    <w:p>
      <w:pPr>
        <w:pStyle w:val="FirstParagraph"/>
      </w:pPr>
      <w:r>
        <w:t xml:space="preserve">The target ratio is</w:t>
      </w:r>
      <w:r>
        <w:t xml:space="preserve"> </w:t>
      </w:r>
      <w:r>
        <w:rPr>
          <w:b/>
          <w:bCs/>
        </w:rPr>
        <w:t xml:space="preserve">one human operator per 20–50 edge nodes</w:t>
      </w:r>
      <w:r>
        <w:t xml:space="preserve"> </w:t>
      </w:r>
      <w:r>
        <w:t xml:space="preserve">— a 10–25x improvement over traditional staffing models. This is the economic unlock that makes the distributed model viable.</w:t>
      </w:r>
    </w:p>
    <w:bookmarkEnd w:id="86"/>
    <w:bookmarkStart w:id="87" w:name="ai-model-infrastructure"/>
    <w:p>
      <w:pPr>
        <w:pStyle w:val="Heading3"/>
      </w:pPr>
      <w:r>
        <w:t xml:space="preserve">7.4 AI Model Infrastructure</w:t>
      </w:r>
    </w:p>
    <w:p>
      <w:pPr>
        <w:pStyle w:val="FirstParagraph"/>
      </w:pPr>
      <w:r>
        <w:t xml:space="preserve">The AI management layer runs on the ANDD network itself — a self-hosting architecture that aligns incentives:</w:t>
      </w:r>
    </w:p>
    <w:p>
      <w:pPr>
        <w:pStyle w:val="Compact"/>
        <w:numPr>
          <w:ilvl w:val="0"/>
          <w:numId w:val="1015"/>
        </w:numPr>
      </w:pPr>
      <w:r>
        <w:rPr>
          <w:b/>
          <w:bCs/>
        </w:rPr>
        <w:t xml:space="preserve">Foundation model:</w:t>
      </w:r>
      <w:r>
        <w:t xml:space="preserve"> </w:t>
      </w:r>
      <w:r>
        <w:t xml:space="preserve">A fine-tuned LLM serves as the reasoning engine for all agents, running on ANDD’s own GPU infrastructure. This ensures sovereignty — no dependency on external AI API providers for core operations.</w:t>
      </w:r>
    </w:p>
    <w:p>
      <w:pPr>
        <w:pStyle w:val="Compact"/>
        <w:numPr>
          <w:ilvl w:val="0"/>
          <w:numId w:val="1015"/>
        </w:numPr>
      </w:pPr>
      <w:r>
        <w:rPr>
          <w:b/>
          <w:bCs/>
        </w:rPr>
        <w:t xml:space="preserve">Specialized models:</w:t>
      </w:r>
      <w:r>
        <w:t xml:space="preserve"> </w:t>
      </w:r>
      <w:r>
        <w:t xml:space="preserve">Predictive maintenance uses time-series transformers trained on hardware telemetry. Network optimization uses reinforcement learning agents. Billing uses deterministic rules augmented by anomaly detection.</w:t>
      </w:r>
    </w:p>
    <w:p>
      <w:pPr>
        <w:pStyle w:val="Compact"/>
        <w:numPr>
          <w:ilvl w:val="0"/>
          <w:numId w:val="1015"/>
        </w:numPr>
      </w:pPr>
      <w:r>
        <w:rPr>
          <w:b/>
          <w:bCs/>
        </w:rPr>
        <w:t xml:space="preserve">Continuous learning:</w:t>
      </w:r>
      <w:r>
        <w:t xml:space="preserve"> </w:t>
      </w:r>
      <w:r>
        <w:t xml:space="preserve">Agent performance is monitored and models are updated through a staged rollout process: shadow mode → canary deployment → full deployment, with automatic rollback on performance regression.</w:t>
      </w:r>
    </w:p>
    <w:p>
      <w:pPr>
        <w:pStyle w:val="Compact"/>
        <w:numPr>
          <w:ilvl w:val="0"/>
          <w:numId w:val="1015"/>
        </w:numPr>
      </w:pPr>
      <w:r>
        <w:rPr>
          <w:b/>
          <w:bCs/>
        </w:rPr>
        <w:t xml:space="preserve">Model governance:</w:t>
      </w:r>
      <w:r>
        <w:t xml:space="preserve"> </w:t>
      </w:r>
      <w:r>
        <w:t xml:space="preserve">All AI decisions are logged with full reasoning chains for auditability. Customers can request explanations for any automated action taken on their infrastructure.</w:t>
      </w:r>
    </w:p>
    <w:p>
      <w:r>
        <w:pict>
          <v:rect style="width:0;height:1.5pt" o:hralign="center" o:hrstd="t" o:hr="t"/>
        </w:pict>
      </w:r>
    </w:p>
    <w:bookmarkEnd w:id="87"/>
    <w:bookmarkEnd w:id="88"/>
    <w:bookmarkStart w:id="95" w:name="resilience-through-decentralization"/>
    <w:p>
      <w:pPr>
        <w:pStyle w:val="Heading2"/>
      </w:pPr>
      <w:r>
        <w:t xml:space="preserve">9. Resilience Through Decentralization</w:t>
      </w:r>
    </w:p>
    <w:bookmarkStart w:id="89" w:name="X70b8afe5eab11aeda0c73f6be39509766f4f479"/>
    <w:p>
      <w:pPr>
        <w:pStyle w:val="Heading3"/>
      </w:pPr>
      <w:r>
        <w:t xml:space="preserve">8.1 Why Centralization is a Single Point of Failure for Critical Systems</w:t>
      </w:r>
    </w:p>
    <w:p>
      <w:pPr>
        <w:pStyle w:val="FirstParagraph"/>
      </w:pPr>
      <w:r>
        <w:t xml:space="preserve">The United States’ critical infrastructure — payments, energy, communications, emergency services — has migrated to software and cloud systems that are overwhelmingly hosted in concentrated datacenter corridors. This creates systemic risk that individual redundancy measures (backup generators, redundant network paths) cannot address, because the redundancy exists within the same geographic and operational blast radius.</w:t>
      </w:r>
    </w:p>
    <w:bookmarkEnd w:id="89"/>
    <w:bookmarkStart w:id="90" w:name="payments-infrastructure"/>
    <w:p>
      <w:pPr>
        <w:pStyle w:val="Heading3"/>
      </w:pPr>
      <w:r>
        <w:t xml:space="preserve">8.2 Payments Infrastructure</w:t>
      </w:r>
    </w:p>
    <w:p>
      <w:pPr>
        <w:pStyle w:val="FirstParagraph"/>
      </w:pPr>
      <w:r>
        <w:rPr>
          <w:b/>
          <w:bCs/>
        </w:rPr>
        <w:t xml:space="preserve">Current vulnerability:</w:t>
      </w:r>
      <w:r>
        <w:t xml:space="preserve"> </w:t>
      </w:r>
      <w:r>
        <w:t xml:space="preserve">The U.S. payment system processes over $10 trillion daily through networks (Fedwire, ACH, card networks) that ultimately depend on datacenter infrastructure in a handful of locations. A sustained outage at multiple Northern Virginia facilities could disrupt card authorization, ACH settlement, and real-time payment clearing simultaneously.</w:t>
      </w:r>
    </w:p>
    <w:p>
      <w:pPr>
        <w:pStyle w:val="BodyText"/>
      </w:pPr>
      <w:r>
        <w:rPr>
          <w:b/>
          <w:bCs/>
        </w:rPr>
        <w:t xml:space="preserve">ANDD resilience model:</w:t>
      </w:r>
      <w:r>
        <w:t xml:space="preserve"> </w:t>
      </w:r>
      <w:r>
        <w:t xml:space="preserve">-</w:t>
      </w:r>
      <w:r>
        <w:t xml:space="preserve"> </w:t>
      </w:r>
      <w:r>
        <w:rPr>
          <w:b/>
          <w:bCs/>
        </w:rPr>
        <w:t xml:space="preserve">Distributed payment processing nodes.</w:t>
      </w:r>
      <w:r>
        <w:t xml:space="preserve"> </w:t>
      </w:r>
      <w:r>
        <w:t xml:space="preserve">ANDD edge sites can host payment processing infrastructure — card authorization endpoints, ACH processing nodes, FedNow gateway instances — at hundreds of locations rather than a handful.</w:t>
      </w:r>
      <w:r>
        <w:t xml:space="preserve"> </w:t>
      </w:r>
      <w:r>
        <w:t xml:space="preserve">-</w:t>
      </w:r>
      <w:r>
        <w:t xml:space="preserve"> </w:t>
      </w:r>
      <w:r>
        <w:rPr>
          <w:b/>
          <w:bCs/>
        </w:rPr>
        <w:t xml:space="preserve">Local settlement capability.</w:t>
      </w:r>
      <w:r>
        <w:t xml:space="preserve"> </w:t>
      </w:r>
      <w:r>
        <w:t xml:space="preserve">During a backbone disruption, ANDD nodes can continue processing local transactions in store-and-forward mode, settling when backbone connectivity is restored.</w:t>
      </w:r>
      <w:r>
        <w:t xml:space="preserve"> </w:t>
      </w:r>
      <w:r>
        <w:t xml:space="preserve">-</w:t>
      </w:r>
      <w:r>
        <w:t xml:space="preserve"> </w:t>
      </w:r>
      <w:r>
        <w:rPr>
          <w:b/>
          <w:bCs/>
        </w:rPr>
        <w:t xml:space="preserve">Crypto/stablecoin rails as backup.</w:t>
      </w:r>
      <w:r>
        <w:t xml:space="preserve"> </w:t>
      </w:r>
      <w:r>
        <w:t xml:space="preserve">Blockchain-based payment networks (see Section 10) are natively distributed and can continue operating across any connected subset of ANDD nodes, providing an alternative settlement layer when traditional rails are disrupted.</w:t>
      </w:r>
    </w:p>
    <w:bookmarkEnd w:id="90"/>
    <w:bookmarkStart w:id="91" w:name="energy-grid"/>
    <w:p>
      <w:pPr>
        <w:pStyle w:val="Heading3"/>
      </w:pPr>
      <w:r>
        <w:t xml:space="preserve">8.3 Energy Grid</w:t>
      </w:r>
    </w:p>
    <w:p>
      <w:pPr>
        <w:pStyle w:val="FirstParagraph"/>
      </w:pPr>
      <w:r>
        <w:rPr>
          <w:b/>
          <w:bCs/>
        </w:rPr>
        <w:t xml:space="preserve">Current vulnerability:</w:t>
      </w:r>
      <w:r>
        <w:t xml:space="preserve"> </w:t>
      </w:r>
      <w:r>
        <w:t xml:space="preserve">The U.S. electric grid is managed through regional transmission organizations (RTOs) and independent system operators (ISOs) whose SCADA and energy management systems increasingly run on cloud infrastructure. A cyberattack targeting the compute infrastructure supporting grid management could disable load balancing, generation dispatch, and protective relay coordination across entire regions.</w:t>
      </w:r>
    </w:p>
    <w:p>
      <w:pPr>
        <w:pStyle w:val="BodyText"/>
      </w:pPr>
      <w:r>
        <w:rPr>
          <w:b/>
          <w:bCs/>
        </w:rPr>
        <w:t xml:space="preserve">ANDD resilience model:</w:t>
      </w:r>
      <w:r>
        <w:t xml:space="preserve"> </w:t>
      </w:r>
      <w:r>
        <w:t xml:space="preserve">-</w:t>
      </w:r>
      <w:r>
        <w:t xml:space="preserve"> </w:t>
      </w:r>
      <w:r>
        <w:rPr>
          <w:b/>
          <w:bCs/>
        </w:rPr>
        <w:t xml:space="preserve">Distributed SCADA/EMS hosting.</w:t>
      </w:r>
      <w:r>
        <w:t xml:space="preserve"> </w:t>
      </w:r>
      <w:r>
        <w:t xml:space="preserve">Grid management systems hosted across the ANDD mesh are resilient to localized attacks or outages. Loss of any single site does not degrade grid management capability.</w:t>
      </w:r>
      <w:r>
        <w:t xml:space="preserve"> </w:t>
      </w:r>
      <w:r>
        <w:t xml:space="preserve">-</w:t>
      </w:r>
      <w:r>
        <w:t xml:space="preserve"> </w:t>
      </w:r>
      <w:r>
        <w:rPr>
          <w:b/>
          <w:bCs/>
        </w:rPr>
        <w:t xml:space="preserve">Edge computing for grid edge.</w:t>
      </w:r>
      <w:r>
        <w:t xml:space="preserve"> </w:t>
      </w:r>
      <w:r>
        <w:t xml:space="preserve">Distributed energy resources (solar, wind, battery, EV charging) require local compute for real-time control. ANDD edge nodes co-located with DERs provide the sub-10ms control loops that centralized cloud infrastructure cannot support across geographic distance.</w:t>
      </w:r>
      <w:r>
        <w:t xml:space="preserve"> </w:t>
      </w:r>
      <w:r>
        <w:t xml:space="preserve">-</w:t>
      </w:r>
      <w:r>
        <w:t xml:space="preserve"> </w:t>
      </w:r>
      <w:r>
        <w:rPr>
          <w:b/>
          <w:bCs/>
        </w:rPr>
        <w:t xml:space="preserve">Virtual power plant aggregation.</w:t>
      </w:r>
      <w:r>
        <w:t xml:space="preserve"> </w:t>
      </w:r>
      <w:r>
        <w:t xml:space="preserve">ANDD’s distributed BESS capacity (across hundreds of sites) aggregates into a virtual power plant that can provide grid services — frequency regulation, demand response, capacity reserves — with geographic diversity that reduces correlated failure risk.</w:t>
      </w:r>
      <w:r>
        <w:t xml:space="preserve"> </w:t>
      </w:r>
      <w:r>
        <w:t xml:space="preserve">-</w:t>
      </w:r>
      <w:r>
        <w:t xml:space="preserve"> </w:t>
      </w:r>
      <w:r>
        <w:rPr>
          <w:b/>
          <w:bCs/>
        </w:rPr>
        <w:t xml:space="preserve">Microgrid islanding.</w:t>
      </w:r>
      <w:r>
        <w:t xml:space="preserve"> </w:t>
      </w:r>
      <w:r>
        <w:t xml:space="preserve">During grid emergencies, ANDD sites with microgrid capability can island, maintaining power for critical local services (emergency communications, payment processing, government systems) independently of the bulk power grid.</w:t>
      </w:r>
    </w:p>
    <w:bookmarkEnd w:id="91"/>
    <w:bookmarkStart w:id="92" w:name="emergency-services-public-safety"/>
    <w:p>
      <w:pPr>
        <w:pStyle w:val="Heading3"/>
      </w:pPr>
      <w:r>
        <w:t xml:space="preserve">8.4 Emergency Services &amp; Public Safety</w:t>
      </w:r>
    </w:p>
    <w:p>
      <w:pPr>
        <w:pStyle w:val="FirstParagraph"/>
      </w:pPr>
      <w:r>
        <w:rPr>
          <w:b/>
          <w:bCs/>
        </w:rPr>
        <w:t xml:space="preserve">Current vulnerability:</w:t>
      </w:r>
      <w:r>
        <w:t xml:space="preserve"> </w:t>
      </w:r>
      <w:r>
        <w:t xml:space="preserve">Next Generation 911 (NG911), public safety broadband (FirstNet), and emergency management coordination systems rely on cloud hosting that may be hundreds of miles from the communities served. During the disasters that make these systems most critical — hurricanes, wildfires, earthquakes — the backhaul connectivity to distant datacenters is most likely to be disrupted.</w:t>
      </w:r>
    </w:p>
    <w:p>
      <w:pPr>
        <w:pStyle w:val="BodyText"/>
      </w:pPr>
      <w:r>
        <w:rPr>
          <w:b/>
          <w:bCs/>
        </w:rPr>
        <w:t xml:space="preserve">ANDD resilience model:</w:t>
      </w:r>
      <w:r>
        <w:t xml:space="preserve"> </w:t>
      </w:r>
      <w:r>
        <w:t xml:space="preserve">-</w:t>
      </w:r>
      <w:r>
        <w:t xml:space="preserve"> </w:t>
      </w:r>
      <w:r>
        <w:rPr>
          <w:b/>
          <w:bCs/>
        </w:rPr>
        <w:t xml:space="preserve">Local NG911 hosting.</w:t>
      </w:r>
      <w:r>
        <w:t xml:space="preserve"> </w:t>
      </w:r>
      <w:r>
        <w:t xml:space="preserve">ANDD edge nodes in each community can host NG911 call routing and dispatch infrastructure locally, ensuring 911 services continue even when backhaul is disrupted.</w:t>
      </w:r>
      <w:r>
        <w:t xml:space="preserve"> </w:t>
      </w:r>
      <w:r>
        <w:t xml:space="preserve">-</w:t>
      </w:r>
      <w:r>
        <w:t xml:space="preserve"> </w:t>
      </w:r>
      <w:r>
        <w:rPr>
          <w:b/>
          <w:bCs/>
        </w:rPr>
        <w:t xml:space="preserve">FirstNet/public safety broadband edge.</w:t>
      </w:r>
      <w:r>
        <w:t xml:space="preserve"> </w:t>
      </w:r>
      <w:r>
        <w:t xml:space="preserve">Edge compute for public safety LTE/5G networks reduces dependence on distant core infrastructure. First responder applications (body camera streaming, real-time mapping, resource tracking) function even in degraded network conditions.</w:t>
      </w:r>
      <w:r>
        <w:t xml:space="preserve"> </w:t>
      </w:r>
      <w:r>
        <w:t xml:space="preserve">-</w:t>
      </w:r>
      <w:r>
        <w:t xml:space="preserve"> </w:t>
      </w:r>
      <w:r>
        <w:rPr>
          <w:b/>
          <w:bCs/>
        </w:rPr>
        <w:t xml:space="preserve">Emergency operations center (EOC) computing.</w:t>
      </w:r>
      <w:r>
        <w:t xml:space="preserve"> </w:t>
      </w:r>
      <w:r>
        <w:t xml:space="preserve">During disasters, ANDD sites can be designated as emergency compute resources, hosting incident management systems, damage assessment AI, and coordination tools locally.</w:t>
      </w:r>
      <w:r>
        <w:t xml:space="preserve"> </w:t>
      </w:r>
      <w:r>
        <w:t xml:space="preserve">-</w:t>
      </w:r>
      <w:r>
        <w:t xml:space="preserve"> </w:t>
      </w:r>
      <w:r>
        <w:rPr>
          <w:b/>
          <w:bCs/>
        </w:rPr>
        <w:t xml:space="preserve">Satellite backhaul resilience.</w:t>
      </w:r>
      <w:r>
        <w:t xml:space="preserve"> </w:t>
      </w:r>
      <w:r>
        <w:t xml:space="preserve">ANDD nodes with LEO satellite connectivity (Starlink, Kuiper) maintain communications even when terrestrial fiber and wireless networks are damaged.</w:t>
      </w:r>
      <w:r>
        <w:t xml:space="preserve"> </w:t>
      </w:r>
      <w:r>
        <w:t xml:space="preserve">-</w:t>
      </w:r>
      <w:r>
        <w:t xml:space="preserve"> </w:t>
      </w:r>
      <w:r>
        <w:rPr>
          <w:b/>
          <w:bCs/>
        </w:rPr>
        <w:t xml:space="preserve">Community notification systems.</w:t>
      </w:r>
      <w:r>
        <w:t xml:space="preserve"> </w:t>
      </w:r>
      <w:r>
        <w:t xml:space="preserve">Wireless Emergency Alerts (WEA) and local notification systems can be hosted and distributed from ANDD edge nodes, reducing dependence on centralized broadcast infrastructure.</w:t>
      </w:r>
    </w:p>
    <w:bookmarkEnd w:id="92"/>
    <w:bookmarkStart w:id="93" w:name="utilities-water-systems"/>
    <w:p>
      <w:pPr>
        <w:pStyle w:val="Heading3"/>
      </w:pPr>
      <w:r>
        <w:t xml:space="preserve">8.5 Utilities &amp; Water Systems</w:t>
      </w:r>
    </w:p>
    <w:p>
      <w:pPr>
        <w:pStyle w:val="FirstParagraph"/>
      </w:pPr>
      <w:r>
        <w:rPr>
          <w:b/>
          <w:bCs/>
        </w:rPr>
        <w:t xml:space="preserve">Current vulnerability:</w:t>
      </w:r>
      <w:r>
        <w:t xml:space="preserve"> </w:t>
      </w:r>
      <w:r>
        <w:t xml:space="preserve">SCADA systems for water treatment, wastewater management, and natural gas distribution are increasingly network-connected and managed through cloud-based platforms. A compromise of the hosting infrastructure could affect utility operations across multiple municipalities simultaneously.</w:t>
      </w:r>
    </w:p>
    <w:p>
      <w:pPr>
        <w:pStyle w:val="BodyText"/>
      </w:pPr>
      <w:r>
        <w:rPr>
          <w:b/>
          <w:bCs/>
        </w:rPr>
        <w:t xml:space="preserve">ANDD resilience model:</w:t>
      </w:r>
      <w:r>
        <w:t xml:space="preserve"> </w:t>
      </w:r>
      <w:r>
        <w:t xml:space="preserve">-</w:t>
      </w:r>
      <w:r>
        <w:t xml:space="preserve"> </w:t>
      </w:r>
      <w:r>
        <w:rPr>
          <w:b/>
          <w:bCs/>
        </w:rPr>
        <w:t xml:space="preserve">Local SCADA hosting.</w:t>
      </w:r>
      <w:r>
        <w:t xml:space="preserve"> </w:t>
      </w:r>
      <w:r>
        <w:t xml:space="preserve">Each ANDD edge node can host the SCADA/HMI systems for local utilities, keeping control loops within the community rather than traversing the internet to distant cloud regions.</w:t>
      </w:r>
      <w:r>
        <w:t xml:space="preserve"> </w:t>
      </w:r>
      <w:r>
        <w:t xml:space="preserve">-</w:t>
      </w:r>
      <w:r>
        <w:t xml:space="preserve"> </w:t>
      </w:r>
      <w:r>
        <w:rPr>
          <w:b/>
          <w:bCs/>
        </w:rPr>
        <w:t xml:space="preserve">Air-gapped operation capability.</w:t>
      </w:r>
      <w:r>
        <w:t xml:space="preserve"> </w:t>
      </w:r>
      <w:r>
        <w:t xml:space="preserve">For critical utilities, ANDD sites can operate SCADA networks in a semi-air-gapped mode — connected to the ANDD mesh for remote monitoring but capable of autonomous local operation if the mesh is disrupted.</w:t>
      </w:r>
      <w:r>
        <w:t xml:space="preserve"> </w:t>
      </w:r>
      <w:r>
        <w:t xml:space="preserve">-</w:t>
      </w:r>
      <w:r>
        <w:t xml:space="preserve"> </w:t>
      </w:r>
      <w:r>
        <w:rPr>
          <w:b/>
          <w:bCs/>
        </w:rPr>
        <w:t xml:space="preserve">AI-powered anomaly detection.</w:t>
      </w:r>
      <w:r>
        <w:t xml:space="preserve"> </w:t>
      </w:r>
      <w:r>
        <w:t xml:space="preserve">Running water quality, pressure, and flow analytics at the edge enables real-time detection of contamination events, leak events, or cyber intrusion attempts with sub-second response times.</w:t>
      </w:r>
    </w:p>
    <w:bookmarkEnd w:id="93"/>
    <w:bookmarkStart w:id="94" w:name="resilience-quantification"/>
    <w:p>
      <w:pPr>
        <w:pStyle w:val="Heading3"/>
      </w:pPr>
      <w:r>
        <w:t xml:space="preserve">8.6 Resilience Quantification</w:t>
      </w:r>
    </w:p>
    <w:p>
      <w:pPr>
        <w:pStyle w:val="FirstParagraph"/>
      </w:pPr>
      <w:r>
        <w:t xml:space="preserve">The mathematical advantage of distributed architecture is substantial:</w:t>
      </w:r>
    </w:p>
    <w:p>
      <w:pPr>
        <w:pStyle w:val="BodyText"/>
      </w:pPr>
      <w:r>
        <w:rPr>
          <w:b/>
          <w:bCs/>
        </w:rPr>
        <w:t xml:space="preserve">Single hyperscale campus</w:t>
      </w:r>
      <w:r>
        <w:t xml:space="preserve"> </w:t>
      </w:r>
      <w:r>
        <w:t xml:space="preserve">with 99.99% uptime (52.6 minutes downtime/year) and a 1% chance of catastrophic failure (&gt;24hr outage) per year:</w:t>
      </w:r>
      <w:r>
        <w:t xml:space="preserve"> </w:t>
      </w:r>
      <w:r>
        <w:t xml:space="preserve">- Expected annual downtime: 52.6 minutes + (0.01 × 1,440 minutes) =</w:t>
      </w:r>
      <w:r>
        <w:t xml:space="preserve"> </w:t>
      </w:r>
      <w:r>
        <w:rPr>
          <w:b/>
          <w:bCs/>
        </w:rPr>
        <w:t xml:space="preserve">67 minutes</w:t>
      </w:r>
    </w:p>
    <w:p>
      <w:pPr>
        <w:pStyle w:val="BodyText"/>
      </w:pPr>
      <w:r>
        <w:rPr>
          <w:b/>
          <w:bCs/>
        </w:rPr>
        <w:t xml:space="preserve">ANDD mesh with 100 nodes</w:t>
      </w:r>
      <w:r>
        <w:t xml:space="preserve">, each with 99.95% uptime, requiring only 70% of nodes for full service continuity:</w:t>
      </w:r>
      <w:r>
        <w:t xml:space="preserve"> </w:t>
      </w:r>
      <w:r>
        <w:t xml:space="preserve">- Probability of &gt;30 simultaneous failures (system-wide outage): effectively</w:t>
      </w:r>
      <w:r>
        <w:t xml:space="preserve"> </w:t>
      </w:r>
      <w:r>
        <w:rPr>
          <w:b/>
          <w:bCs/>
        </w:rPr>
        <w:t xml:space="preserve">zero</w:t>
      </w:r>
      <w:r>
        <w:t xml:space="preserve"> </w:t>
      </w:r>
      <w:r>
        <w:t xml:space="preserve">(10^-47)</w:t>
      </w:r>
      <w:r>
        <w:t xml:space="preserve"> </w:t>
      </w:r>
      <w:r>
        <w:t xml:space="preserve">- Expected service availability:</w:t>
      </w:r>
      <w:r>
        <w:t xml:space="preserve"> </w:t>
      </w:r>
      <w:r>
        <w:rPr>
          <w:b/>
          <w:bCs/>
        </w:rPr>
        <w:t xml:space="preserve">99.9999%+</w:t>
      </w:r>
      <w:r>
        <w:t xml:space="preserve"> </w:t>
      </w:r>
      <w:r>
        <w:t xml:space="preserve">at the network level</w:t>
      </w:r>
      <w:r>
        <w:t xml:space="preserve"> </w:t>
      </w:r>
      <w:r>
        <w:t xml:space="preserve">- Graceful degradation: Performance decreases linearly with node loss rather than catastrophically</w:t>
      </w:r>
    </w:p>
    <w:p>
      <w:r>
        <w:pict>
          <v:rect style="width:0;height:1.5pt" o:hralign="center" o:hrstd="t" o:hr="t"/>
        </w:pict>
      </w:r>
    </w:p>
    <w:bookmarkEnd w:id="94"/>
    <w:bookmarkEnd w:id="95"/>
    <w:bookmarkStart w:id="106" w:name="payment-architecture"/>
    <w:p>
      <w:pPr>
        <w:pStyle w:val="Heading2"/>
      </w:pPr>
      <w:r>
        <w:t xml:space="preserve">10. Payment Architecture</w:t>
      </w:r>
    </w:p>
    <w:bookmarkStart w:id="96" w:name="design-principles-1"/>
    <w:p>
      <w:pPr>
        <w:pStyle w:val="Heading3"/>
      </w:pPr>
      <w:r>
        <w:t xml:space="preserve">9.1 Design Principles</w:t>
      </w:r>
    </w:p>
    <w:p>
      <w:pPr>
        <w:pStyle w:val="FirstParagraph"/>
      </w:pPr>
      <w:r>
        <w:t xml:space="preserve">The ANDD payment architecture must support:</w:t>
      </w:r>
      <w:r>
        <w:t xml:space="preserve"> </w:t>
      </w:r>
      <w:r>
        <w:t xml:space="preserve">- Traditional enterprise customers expecting monthly invoices and annual contracts</w:t>
      </w:r>
      <w:r>
        <w:t xml:space="preserve"> </w:t>
      </w:r>
      <w:r>
        <w:t xml:space="preserve">- DePIN projects requiring real-time, programmatic, per-unit-of-work settlement</w:t>
      </w:r>
      <w:r>
        <w:t xml:space="preserve"> </w:t>
      </w:r>
      <w:r>
        <w:t xml:space="preserve">- Government agencies with procurement-specific billing requirements</w:t>
      </w:r>
      <w:r>
        <w:t xml:space="preserve"> </w:t>
      </w:r>
      <w:r>
        <w:t xml:space="preserve">- Micro-transactions for individual API calls, GPU-seconds, or storage reads</w:t>
      </w:r>
      <w:r>
        <w:t xml:space="preserve"> </w:t>
      </w:r>
      <w:r>
        <w:t xml:space="preserve">- Multiple currencies: USD, EUR, and major stablecoins (USDC, USDT)</w:t>
      </w:r>
    </w:p>
    <w:bookmarkEnd w:id="96"/>
    <w:bookmarkStart w:id="99" w:name="fiat-payment-rails"/>
    <w:p>
      <w:pPr>
        <w:pStyle w:val="Heading3"/>
      </w:pPr>
      <w:r>
        <w:t xml:space="preserve">9.2 Fiat Payment Rails</w:t>
      </w:r>
    </w:p>
    <w:bookmarkStart w:id="97" w:name="subscription-tiers"/>
    <w:p>
      <w:pPr>
        <w:pStyle w:val="Heading4"/>
      </w:pPr>
      <w:r>
        <w:t xml:space="preserve">9.2.1 Subscription Tiers</w:t>
      </w:r>
    </w:p>
    <w:tbl>
      <w:tblPr>
        <w:tblStyle w:val="Table"/>
        <w:tblW w:type="pct" w:w="5000"/>
        <w:jc w:val="left"/>
        <w:tblLayout w:type="fixed"/>
        <w:tblLook w:firstRow="1" w:lastRow="0" w:firstColumn="0" w:lastColumn="0" w:noHBand="0" w:noVBand="0" w:val="0020"/>
      </w:tblPr>
      <w:tblGrid>
        <w:gridCol w:w="990"/>
        <w:gridCol w:w="1155"/>
        <w:gridCol w:w="1485"/>
        <w:gridCol w:w="2640"/>
        <w:gridCol w:w="1650"/>
      </w:tblGrid>
      <w:tr>
        <w:trPr>
          <w:tblHeader w:val="on"/>
        </w:trPr>
        <w:tc>
          <w:tcPr/>
          <w:p>
            <w:pPr>
              <w:pStyle w:val="Compact"/>
              <w:jc w:val="left"/>
            </w:pPr>
            <w:r>
              <w:t xml:space="preserve">Tier</w:t>
            </w:r>
          </w:p>
        </w:tc>
        <w:tc>
          <w:tcPr/>
          <w:p>
            <w:pPr>
              <w:pStyle w:val="Compact"/>
              <w:jc w:val="left"/>
            </w:pPr>
            <w:r>
              <w:t xml:space="preserve">Model</w:t>
            </w:r>
          </w:p>
        </w:tc>
        <w:tc>
          <w:tcPr/>
          <w:p>
            <w:pPr>
              <w:pStyle w:val="Compact"/>
              <w:jc w:val="left"/>
            </w:pPr>
            <w:r>
              <w:t xml:space="preserve">Billing</w:t>
            </w:r>
          </w:p>
        </w:tc>
        <w:tc>
          <w:tcPr/>
          <w:p>
            <w:pPr>
              <w:pStyle w:val="Compact"/>
              <w:jc w:val="left"/>
            </w:pPr>
            <w:r>
              <w:t xml:space="preserve">Payment Methods</w:t>
            </w:r>
          </w:p>
        </w:tc>
        <w:tc>
          <w:tcPr/>
          <w:p>
            <w:pPr>
              <w:pStyle w:val="Compact"/>
              <w:jc w:val="left"/>
            </w:pPr>
            <w:r>
              <w:t xml:space="preserve">Use Case</w:t>
            </w:r>
          </w:p>
        </w:tc>
      </w:tr>
      <w:tr>
        <w:tc>
          <w:tcPr/>
          <w:p>
            <w:pPr>
              <w:pStyle w:val="Compact"/>
              <w:jc w:val="left"/>
            </w:pPr>
            <w:r>
              <w:t xml:space="preserve">Starter</w:t>
            </w:r>
          </w:p>
        </w:tc>
        <w:tc>
          <w:tcPr/>
          <w:p>
            <w:pPr>
              <w:pStyle w:val="Compact"/>
              <w:jc w:val="left"/>
            </w:pPr>
            <w:r>
              <w:t xml:space="preserve">Monthly</w:t>
            </w:r>
          </w:p>
        </w:tc>
        <w:tc>
          <w:tcPr/>
          <w:p>
            <w:pPr>
              <w:pStyle w:val="Compact"/>
              <w:jc w:val="left"/>
            </w:pPr>
            <w:r>
              <w:t xml:space="preserve">Post-paid, NET 30</w:t>
            </w:r>
          </w:p>
        </w:tc>
        <w:tc>
          <w:tcPr/>
          <w:p>
            <w:pPr>
              <w:pStyle w:val="Compact"/>
              <w:jc w:val="left"/>
            </w:pPr>
            <w:r>
              <w:t xml:space="preserve">Credit card, ACH</w:t>
            </w:r>
          </w:p>
        </w:tc>
        <w:tc>
          <w:tcPr/>
          <w:p>
            <w:pPr>
              <w:pStyle w:val="Compact"/>
              <w:jc w:val="left"/>
            </w:pPr>
            <w:r>
              <w:t xml:space="preserve">Startups, developers</w:t>
            </w:r>
          </w:p>
        </w:tc>
      </w:tr>
      <w:tr>
        <w:tc>
          <w:tcPr/>
          <w:p>
            <w:pPr>
              <w:pStyle w:val="Compact"/>
              <w:jc w:val="left"/>
            </w:pPr>
            <w:r>
              <w:t xml:space="preserve">Professional</w:t>
            </w:r>
          </w:p>
        </w:tc>
        <w:tc>
          <w:tcPr/>
          <w:p>
            <w:pPr>
              <w:pStyle w:val="Compact"/>
              <w:jc w:val="left"/>
            </w:pPr>
            <w:r>
              <w:t xml:space="preserve">Monthly/Annual</w:t>
            </w:r>
          </w:p>
        </w:tc>
        <w:tc>
          <w:tcPr/>
          <w:p>
            <w:pPr>
              <w:pStyle w:val="Compact"/>
              <w:jc w:val="left"/>
            </w:pPr>
            <w:r>
              <w:t xml:space="preserve">Post-paid, NET 30</w:t>
            </w:r>
          </w:p>
        </w:tc>
        <w:tc>
          <w:tcPr/>
          <w:p>
            <w:pPr>
              <w:pStyle w:val="Compact"/>
              <w:jc w:val="left"/>
            </w:pPr>
            <w:r>
              <w:t xml:space="preserve">ACH, wire</w:t>
            </w:r>
          </w:p>
        </w:tc>
        <w:tc>
          <w:tcPr/>
          <w:p>
            <w:pPr>
              <w:pStyle w:val="Compact"/>
              <w:jc w:val="left"/>
            </w:pPr>
            <w:r>
              <w:t xml:space="preserve">Mid-market, fintech</w:t>
            </w:r>
          </w:p>
        </w:tc>
      </w:tr>
      <w:tr>
        <w:tc>
          <w:tcPr/>
          <w:p>
            <w:pPr>
              <w:pStyle w:val="Compact"/>
              <w:jc w:val="left"/>
            </w:pPr>
            <w:r>
              <w:t xml:space="preserve">Enterprise</w:t>
            </w:r>
          </w:p>
        </w:tc>
        <w:tc>
          <w:tcPr/>
          <w:p>
            <w:pPr>
              <w:pStyle w:val="Compact"/>
              <w:jc w:val="left"/>
            </w:pPr>
            <w:r>
              <w:t xml:space="preserve">Annual</w:t>
            </w:r>
          </w:p>
        </w:tc>
        <w:tc>
          <w:tcPr/>
          <w:p>
            <w:pPr>
              <w:pStyle w:val="Compact"/>
              <w:jc w:val="left"/>
            </w:pPr>
            <w:r>
              <w:t xml:space="preserve">Custom, NET 45-60</w:t>
            </w:r>
          </w:p>
        </w:tc>
        <w:tc>
          <w:tcPr/>
          <w:p>
            <w:pPr>
              <w:pStyle w:val="Compact"/>
              <w:jc w:val="left"/>
            </w:pPr>
            <w:r>
              <w:t xml:space="preserve">Wire, ACH, PO-backed</w:t>
            </w:r>
          </w:p>
        </w:tc>
        <w:tc>
          <w:tcPr/>
          <w:p>
            <w:pPr>
              <w:pStyle w:val="Compact"/>
              <w:jc w:val="left"/>
            </w:pPr>
            <w:r>
              <w:t xml:space="preserve">Large enterprise, telcos</w:t>
            </w:r>
          </w:p>
        </w:tc>
      </w:tr>
      <w:tr>
        <w:tc>
          <w:tcPr/>
          <w:p>
            <w:pPr>
              <w:pStyle w:val="Compact"/>
              <w:jc w:val="left"/>
            </w:pPr>
            <w:r>
              <w:t xml:space="preserve">Government</w:t>
            </w:r>
          </w:p>
        </w:tc>
        <w:tc>
          <w:tcPr/>
          <w:p>
            <w:pPr>
              <w:pStyle w:val="Compact"/>
              <w:jc w:val="left"/>
            </w:pPr>
            <w:r>
              <w:t xml:space="preserve">Annual/Multi-year</w:t>
            </w:r>
          </w:p>
        </w:tc>
        <w:tc>
          <w:tcPr/>
          <w:p>
            <w:pPr>
              <w:pStyle w:val="Compact"/>
              <w:jc w:val="left"/>
            </w:pPr>
            <w:r>
              <w:t xml:space="preserve">Per procurement regs</w:t>
            </w:r>
          </w:p>
        </w:tc>
        <w:tc>
          <w:tcPr/>
          <w:p>
            <w:pPr>
              <w:pStyle w:val="Compact"/>
              <w:jc w:val="left"/>
            </w:pPr>
            <w:r>
              <w:t xml:space="preserve">Treasury/PO systems</w:t>
            </w:r>
          </w:p>
        </w:tc>
        <w:tc>
          <w:tcPr/>
          <w:p>
            <w:pPr>
              <w:pStyle w:val="Compact"/>
              <w:jc w:val="left"/>
            </w:pPr>
            <w:r>
              <w:t xml:space="preserve">Federal, state, local gov</w:t>
            </w:r>
          </w:p>
        </w:tc>
      </w:tr>
    </w:tbl>
    <w:p>
      <w:pPr>
        <w:pStyle w:val="BodyText"/>
      </w:pPr>
      <w:r>
        <w:rPr>
          <w:b/>
          <w:bCs/>
        </w:rPr>
        <w:t xml:space="preserve">Annual contracts</w:t>
      </w:r>
      <w:r>
        <w:t xml:space="preserve"> </w:t>
      </w:r>
      <w:r>
        <w:t xml:space="preserve">offer 15–20% discount over monthly pricing, providing revenue predictability for ANDD and cost savings for customers. Multi-year government contracts (3–5 years) offer deeper discounts and are aligned with Opportunity Zone investment hold periods.</w:t>
      </w:r>
    </w:p>
    <w:p>
      <w:pPr>
        <w:pStyle w:val="BodyText"/>
      </w:pPr>
      <w:r>
        <w:rPr>
          <w:b/>
          <w:bCs/>
        </w:rPr>
        <w:t xml:space="preserve">Metered overage billing:</w:t>
      </w:r>
      <w:r>
        <w:t xml:space="preserve"> </w:t>
      </w:r>
      <w:r>
        <w:t xml:space="preserve">All subscription tiers include base allocations for compute, storage, bandwidth, and GPU-hours. Usage beyond base allocations is metered and billed as overage on the next billing cycle. The AI billing agent provides real-time usage dashboards and configurable alerts at 50%, 75%, 90%, and 100% of allocation.</w:t>
      </w:r>
    </w:p>
    <w:bookmarkEnd w:id="97"/>
    <w:bookmarkStart w:id="98" w:name="fiat-processing-infrastructure"/>
    <w:p>
      <w:pPr>
        <w:pStyle w:val="Heading4"/>
      </w:pPr>
      <w:r>
        <w:t xml:space="preserve">9.2.2 Fiat Processing Infrastructure</w:t>
      </w:r>
    </w:p>
    <w:p>
      <w:pPr>
        <w:pStyle w:val="FirstParagraph"/>
      </w:pPr>
      <w:r>
        <w:rPr>
          <w:b/>
          <w:bCs/>
        </w:rPr>
        <w:t xml:space="preserve">Diagram 9: Fiat Payment Processing Flow</w:t>
      </w:r>
    </w:p>
    <w:tbl>
      <w:tblPr>
        <w:tblStyle w:val="Table"/>
        <w:tblW w:type="pct" w:w="5000"/>
        <w:jc w:val="left"/>
        <w:tblLayout w:type="fixed"/>
        <w:tblLook w:firstRow="1" w:lastRow="0" w:firstColumn="0" w:lastColumn="0" w:noHBand="0" w:noVBand="0" w:val="0020"/>
      </w:tblPr>
      <w:tblGrid>
        <w:gridCol w:w="1900"/>
        <w:gridCol w:w="1900"/>
        <w:gridCol w:w="2534"/>
        <w:gridCol w:w="1584"/>
      </w:tblGrid>
      <w:tr>
        <w:trPr>
          <w:tblHeader w:val="on"/>
        </w:trPr>
        <w:tc>
          <w:tcPr/>
          <w:p>
            <w:pPr>
              <w:pStyle w:val="Compact"/>
              <w:jc w:val="left"/>
            </w:pPr>
            <w:r>
              <w:t xml:space="preserve">Step</w:t>
            </w:r>
          </w:p>
        </w:tc>
        <w:tc>
          <w:tcPr/>
          <w:p>
            <w:pPr>
              <w:pStyle w:val="Compact"/>
              <w:jc w:val="left"/>
            </w:pPr>
            <w:r>
              <w:t xml:space="preserve">From</w:t>
            </w:r>
          </w:p>
        </w:tc>
        <w:tc>
          <w:tcPr/>
          <w:p>
            <w:pPr>
              <w:pStyle w:val="Compact"/>
              <w:jc w:val="left"/>
            </w:pPr>
            <w:r>
              <w:t xml:space="preserve">Action</w:t>
            </w:r>
          </w:p>
        </w:tc>
        <w:tc>
          <w:tcPr/>
          <w:p>
            <w:pPr>
              <w:pStyle w:val="Compact"/>
              <w:jc w:val="left"/>
            </w:pPr>
            <w:r>
              <w:t xml:space="preserve">To</w:t>
            </w:r>
          </w:p>
        </w:tc>
      </w:tr>
      <w:tr>
        <w:tc>
          <w:tcPr/>
          <w:p>
            <w:pPr>
              <w:pStyle w:val="Compact"/>
              <w:jc w:val="left"/>
            </w:pPr>
            <w:r>
              <w:rPr>
                <w:b/>
                <w:bCs/>
              </w:rPr>
              <w:t xml:space="preserve">1</w:t>
            </w:r>
          </w:p>
        </w:tc>
        <w:tc>
          <w:tcPr/>
          <w:p>
            <w:pPr>
              <w:pStyle w:val="Compact"/>
              <w:jc w:val="left"/>
            </w:pPr>
            <w:r>
              <w:t xml:space="preserve">ANDD Billing Agent</w:t>
            </w:r>
          </w:p>
        </w:tc>
        <w:tc>
          <w:tcPr/>
          <w:p>
            <w:pPr>
              <w:pStyle w:val="Compact"/>
              <w:jc w:val="left"/>
            </w:pPr>
            <w:r>
              <w:t xml:space="preserve">Generates and sends invoice / payment link</w:t>
            </w:r>
          </w:p>
        </w:tc>
        <w:tc>
          <w:tcPr/>
          <w:p>
            <w:pPr>
              <w:pStyle w:val="Compact"/>
              <w:jc w:val="left"/>
            </w:pPr>
            <w:r>
              <w:t xml:space="preserve">Customer</w:t>
            </w:r>
          </w:p>
        </w:tc>
      </w:tr>
      <w:tr>
        <w:tc>
          <w:tcPr/>
          <w:p>
            <w:pPr>
              <w:pStyle w:val="Compact"/>
              <w:jc w:val="left"/>
            </w:pPr>
            <w:r>
              <w:rPr>
                <w:b/>
                <w:bCs/>
              </w:rPr>
              <w:t xml:space="preserve">2</w:t>
            </w:r>
          </w:p>
        </w:tc>
        <w:tc>
          <w:tcPr/>
          <w:p>
            <w:pPr>
              <w:pStyle w:val="Compact"/>
              <w:jc w:val="left"/>
            </w:pPr>
            <w:r>
              <w:t xml:space="preserve">Customer</w:t>
            </w:r>
          </w:p>
        </w:tc>
        <w:tc>
          <w:tcPr/>
          <w:p>
            <w:pPr>
              <w:pStyle w:val="Compact"/>
              <w:jc w:val="left"/>
            </w:pPr>
            <w:r>
              <w:t xml:space="preserve">Submits payment (credit card / ACH / wire)</w:t>
            </w:r>
          </w:p>
        </w:tc>
        <w:tc>
          <w:tcPr/>
          <w:p>
            <w:pPr>
              <w:pStyle w:val="Compact"/>
              <w:jc w:val="left"/>
            </w:pPr>
            <w:r>
              <w:t xml:space="preserve">ANDD Billing Agent</w:t>
            </w:r>
          </w:p>
        </w:tc>
      </w:tr>
      <w:tr>
        <w:tc>
          <w:tcPr/>
          <w:p>
            <w:pPr>
              <w:pStyle w:val="Compact"/>
              <w:jc w:val="left"/>
            </w:pPr>
            <w:r>
              <w:rPr>
                <w:b/>
                <w:bCs/>
              </w:rPr>
              <w:t xml:space="preserve">3</w:t>
            </w:r>
          </w:p>
        </w:tc>
        <w:tc>
          <w:tcPr/>
          <w:p>
            <w:pPr>
              <w:pStyle w:val="Compact"/>
              <w:jc w:val="left"/>
            </w:pPr>
            <w:r>
              <w:t xml:space="preserve">ANDD Billing Agent</w:t>
            </w:r>
          </w:p>
        </w:tc>
        <w:tc>
          <w:tcPr/>
          <w:p>
            <w:pPr>
              <w:pStyle w:val="Compact"/>
              <w:jc w:val="left"/>
            </w:pPr>
            <w:r>
              <w:t xml:space="preserve">Routes payment to processor</w:t>
            </w:r>
          </w:p>
        </w:tc>
        <w:tc>
          <w:tcPr/>
          <w:p>
            <w:pPr>
              <w:pStyle w:val="Compact"/>
              <w:jc w:val="left"/>
            </w:pPr>
            <w:r>
              <w:t xml:space="preserve">Payment Processor (Stripe / Adyen)</w:t>
            </w:r>
          </w:p>
        </w:tc>
      </w:tr>
      <w:tr>
        <w:tc>
          <w:tcPr/>
          <w:p>
            <w:pPr>
              <w:pStyle w:val="Compact"/>
              <w:jc w:val="left"/>
            </w:pPr>
            <w:r>
              <w:rPr>
                <w:b/>
                <w:bCs/>
              </w:rPr>
              <w:t xml:space="preserve">4</w:t>
            </w:r>
          </w:p>
        </w:tc>
        <w:tc>
          <w:tcPr/>
          <w:p>
            <w:pPr>
              <w:pStyle w:val="Compact"/>
              <w:jc w:val="left"/>
            </w:pPr>
            <w:r>
              <w:t xml:space="preserve">Payment Processor</w:t>
            </w:r>
          </w:p>
        </w:tc>
        <w:tc>
          <w:tcPr/>
          <w:p>
            <w:pPr>
              <w:pStyle w:val="Compact"/>
              <w:jc w:val="left"/>
            </w:pPr>
            <w:r>
              <w:t xml:space="preserve">Confirms payment, transfers funds</w:t>
            </w:r>
          </w:p>
        </w:tc>
        <w:tc>
          <w:tcPr/>
          <w:p>
            <w:pPr>
              <w:pStyle w:val="Compact"/>
              <w:jc w:val="left"/>
            </w:pPr>
            <w:r>
              <w:t xml:space="preserve">Treasury Management</w:t>
            </w:r>
          </w:p>
        </w:tc>
      </w:tr>
      <w:tr>
        <w:tc>
          <w:tcPr/>
          <w:p>
            <w:pPr>
              <w:pStyle w:val="Compact"/>
              <w:jc w:val="left"/>
            </w:pPr>
            <w:r>
              <w:rPr>
                <w:b/>
                <w:bCs/>
              </w:rPr>
              <w:t xml:space="preserve">5</w:t>
            </w:r>
          </w:p>
        </w:tc>
        <w:tc>
          <w:tcPr/>
          <w:p>
            <w:pPr>
              <w:pStyle w:val="Compact"/>
              <w:jc w:val="left"/>
            </w:pPr>
            <w:r>
              <w:t xml:space="preserve">Treasury Management</w:t>
            </w:r>
          </w:p>
        </w:tc>
        <w:tc>
          <w:tcPr/>
          <w:p>
            <w:pPr>
              <w:pStyle w:val="Compact"/>
              <w:jc w:val="left"/>
            </w:pPr>
            <w:r>
              <w:t xml:space="preserve">Reconciles payment, updates AR/AP ledger</w:t>
            </w:r>
          </w:p>
        </w:tc>
        <w:tc>
          <w:tcPr/>
          <w:p>
            <w:pPr>
              <w:pStyle w:val="Compact"/>
              <w:jc w:val="left"/>
            </w:pPr>
            <w:r>
              <w:t xml:space="preserve">ANDD Billing Agent (closes invoice)</w:t>
            </w:r>
          </w:p>
        </w:tc>
      </w:tr>
    </w:tbl>
    <w:bookmarkEnd w:id="98"/>
    <w:bookmarkEnd w:id="99"/>
    <w:bookmarkStart w:id="103" w:name="digital-crypto-payment-rails"/>
    <w:p>
      <w:pPr>
        <w:pStyle w:val="Heading3"/>
      </w:pPr>
      <w:r>
        <w:t xml:space="preserve">9.3 Digital &amp; Crypto Payment Rails</w:t>
      </w:r>
    </w:p>
    <w:bookmarkStart w:id="100" w:name="stablecoin-payments"/>
    <w:p>
      <w:pPr>
        <w:pStyle w:val="Heading4"/>
      </w:pPr>
      <w:r>
        <w:t xml:space="preserve">9.3.1 Stablecoin Payments</w:t>
      </w:r>
    </w:p>
    <w:p>
      <w:pPr>
        <w:pStyle w:val="FirstParagraph"/>
      </w:pPr>
      <w:r>
        <w:t xml:space="preserve">ANDD accepts stablecoins (USDC, USDT) on multiple chains for customers preferring crypto-native settlement:</w:t>
      </w:r>
    </w:p>
    <w:p>
      <w:pPr>
        <w:pStyle w:val="Compact"/>
        <w:numPr>
          <w:ilvl w:val="0"/>
          <w:numId w:val="1016"/>
        </w:numPr>
      </w:pPr>
      <w:r>
        <w:rPr>
          <w:b/>
          <w:bCs/>
        </w:rPr>
        <w:t xml:space="preserve">Ethereum L1:</w:t>
      </w:r>
      <w:r>
        <w:t xml:space="preserve"> </w:t>
      </w:r>
      <w:r>
        <w:t xml:space="preserve">For large, infrequent payments (enterprise contracts). Higher gas costs acceptable for high-value transactions.</w:t>
      </w:r>
    </w:p>
    <w:p>
      <w:pPr>
        <w:pStyle w:val="Compact"/>
        <w:numPr>
          <w:ilvl w:val="0"/>
          <w:numId w:val="1016"/>
        </w:numPr>
      </w:pPr>
      <w:r>
        <w:rPr>
          <w:b/>
          <w:bCs/>
        </w:rPr>
        <w:t xml:space="preserve">Solana:</w:t>
      </w:r>
      <w:r>
        <w:t xml:space="preserve"> </w:t>
      </w:r>
      <w:r>
        <w:t xml:space="preserve">For high-frequency, lower-value payments. Sub-second finality, ~$0.001 per transaction.</w:t>
      </w:r>
    </w:p>
    <w:p>
      <w:pPr>
        <w:pStyle w:val="Compact"/>
        <w:numPr>
          <w:ilvl w:val="0"/>
          <w:numId w:val="1016"/>
        </w:numPr>
      </w:pPr>
      <w:r>
        <w:rPr>
          <w:b/>
          <w:bCs/>
        </w:rPr>
        <w:t xml:space="preserve">Ethereum L2 (Arbitrum, Base, Optimism):</w:t>
      </w:r>
      <w:r>
        <w:t xml:space="preserve"> </w:t>
      </w:r>
      <w:r>
        <w:t xml:space="preserve">Balance of low fees and Ethereum security for medium-frequency payments.</w:t>
      </w:r>
    </w:p>
    <w:p>
      <w:pPr>
        <w:pStyle w:val="Compact"/>
        <w:numPr>
          <w:ilvl w:val="0"/>
          <w:numId w:val="1016"/>
        </w:numPr>
      </w:pPr>
      <w:r>
        <w:rPr>
          <w:b/>
          <w:bCs/>
        </w:rPr>
        <w:t xml:space="preserve">Settlement:</w:t>
      </w:r>
      <w:r>
        <w:t xml:space="preserve"> </w:t>
      </w:r>
      <w:r>
        <w:t xml:space="preserve">Stablecoin payments trigger immediate provisioning — no waiting for traditional banking settlement cycles. The AI billing agent monitors the blockchain for payment confirmation and activates services within one block confirmation.</w:t>
      </w:r>
    </w:p>
    <w:bookmarkEnd w:id="100"/>
    <w:bookmarkStart w:id="101" w:name="real-time-micro-transactions"/>
    <w:p>
      <w:pPr>
        <w:pStyle w:val="Heading4"/>
      </w:pPr>
      <w:r>
        <w:t xml:space="preserve">9.3.2 Real-Time Micro-Transactions</w:t>
      </w:r>
    </w:p>
    <w:p>
      <w:pPr>
        <w:pStyle w:val="FirstParagraph"/>
      </w:pPr>
      <w:r>
        <w:t xml:space="preserve">For DePIN projects and pay-per-use customers, ANDD supports micro-transactions down to fractions of a cent:</w:t>
      </w:r>
    </w:p>
    <w:p>
      <w:pPr>
        <w:pStyle w:val="BodyText"/>
      </w:pPr>
      <w:r>
        <w:rPr>
          <w:b/>
          <w:bCs/>
        </w:rPr>
        <w:t xml:space="preserve">Diagram 10: Real-Time Micro-Transaction Flow</w:t>
      </w:r>
    </w:p>
    <w:tbl>
      <w:tblPr>
        <w:tblStyle w:val="Table"/>
        <w:tblW w:type="pct" w:w="5000"/>
        <w:jc w:val="left"/>
        <w:tblLayout w:type="fixed"/>
        <w:tblLook w:firstRow="1" w:lastRow="0" w:firstColumn="0" w:lastColumn="0" w:noHBand="0" w:noVBand="0" w:val="0020"/>
      </w:tblPr>
      <w:tblGrid>
        <w:gridCol w:w="1900"/>
        <w:gridCol w:w="1900"/>
        <w:gridCol w:w="2534"/>
        <w:gridCol w:w="1584"/>
      </w:tblGrid>
      <w:tr>
        <w:trPr>
          <w:tblHeader w:val="on"/>
        </w:trPr>
        <w:tc>
          <w:tcPr/>
          <w:p>
            <w:pPr>
              <w:pStyle w:val="Compact"/>
              <w:jc w:val="left"/>
            </w:pPr>
            <w:r>
              <w:t xml:space="preserve">Step</w:t>
            </w:r>
          </w:p>
        </w:tc>
        <w:tc>
          <w:tcPr/>
          <w:p>
            <w:pPr>
              <w:pStyle w:val="Compact"/>
              <w:jc w:val="left"/>
            </w:pPr>
            <w:r>
              <w:t xml:space="preserve">From</w:t>
            </w:r>
          </w:p>
        </w:tc>
        <w:tc>
          <w:tcPr/>
          <w:p>
            <w:pPr>
              <w:pStyle w:val="Compact"/>
              <w:jc w:val="left"/>
            </w:pPr>
            <w:r>
              <w:t xml:space="preserve">Action</w:t>
            </w:r>
          </w:p>
        </w:tc>
        <w:tc>
          <w:tcPr/>
          <w:p>
            <w:pPr>
              <w:pStyle w:val="Compact"/>
              <w:jc w:val="left"/>
            </w:pPr>
            <w:r>
              <w:t xml:space="preserve">To</w:t>
            </w:r>
          </w:p>
        </w:tc>
      </w:tr>
      <w:tr>
        <w:tc>
          <w:tcPr/>
          <w:p>
            <w:pPr>
              <w:pStyle w:val="Compact"/>
              <w:jc w:val="left"/>
            </w:pPr>
            <w:r>
              <w:rPr>
                <w:b/>
                <w:bCs/>
              </w:rPr>
              <w:t xml:space="preserve">1</w:t>
            </w:r>
          </w:p>
        </w:tc>
        <w:tc>
          <w:tcPr/>
          <w:p>
            <w:pPr>
              <w:pStyle w:val="Compact"/>
              <w:jc w:val="left"/>
            </w:pPr>
            <w:r>
              <w:t xml:space="preserve">DePIN Project / API Consumer</w:t>
            </w:r>
          </w:p>
        </w:tc>
        <w:tc>
          <w:tcPr/>
          <w:p>
            <w:pPr>
              <w:pStyle w:val="Compact"/>
              <w:jc w:val="left"/>
            </w:pPr>
            <w:r>
              <w:t xml:space="preserve">Sends request (compute / storage / bandwidth)</w:t>
            </w:r>
          </w:p>
        </w:tc>
        <w:tc>
          <w:tcPr/>
          <w:p>
            <w:pPr>
              <w:pStyle w:val="Compact"/>
              <w:jc w:val="left"/>
            </w:pPr>
            <w:r>
              <w:t xml:space="preserve">ANDD Edge Node</w:t>
            </w:r>
          </w:p>
        </w:tc>
      </w:tr>
      <w:tr>
        <w:tc>
          <w:tcPr/>
          <w:p>
            <w:pPr>
              <w:pStyle w:val="Compact"/>
              <w:jc w:val="left"/>
            </w:pPr>
            <w:r>
              <w:rPr>
                <w:b/>
                <w:bCs/>
              </w:rPr>
              <w:t xml:space="preserve">2</w:t>
            </w:r>
          </w:p>
        </w:tc>
        <w:tc>
          <w:tcPr/>
          <w:p>
            <w:pPr>
              <w:pStyle w:val="Compact"/>
              <w:jc w:val="left"/>
            </w:pPr>
            <w:r>
              <w:t xml:space="preserve">ANDD Edge Node</w:t>
            </w:r>
          </w:p>
        </w:tc>
        <w:tc>
          <w:tcPr/>
          <w:p>
            <w:pPr>
              <w:pStyle w:val="Compact"/>
              <w:jc w:val="left"/>
            </w:pPr>
            <w:r>
              <w:t xml:space="preserve">Metering Engine tracks per-request resource usage</w:t>
            </w:r>
          </w:p>
        </w:tc>
        <w:tc>
          <w:tcPr/>
          <w:p>
            <w:pPr>
              <w:pStyle w:val="Compact"/>
              <w:jc w:val="left"/>
            </w:pPr>
            <w:r>
              <w:t xml:space="preserve">Internal ledger</w:t>
            </w:r>
          </w:p>
        </w:tc>
      </w:tr>
      <w:tr>
        <w:tc>
          <w:tcPr/>
          <w:p>
            <w:pPr>
              <w:pStyle w:val="Compact"/>
              <w:jc w:val="left"/>
            </w:pPr>
            <w:r>
              <w:rPr>
                <w:b/>
                <w:bCs/>
              </w:rPr>
              <w:t xml:space="preserve">3</w:t>
            </w:r>
          </w:p>
        </w:tc>
        <w:tc>
          <w:tcPr/>
          <w:p>
            <w:pPr>
              <w:pStyle w:val="Compact"/>
              <w:jc w:val="left"/>
            </w:pPr>
            <w:r>
              <w:t xml:space="preserve">ANDD Edge Node</w:t>
            </w:r>
          </w:p>
        </w:tc>
        <w:tc>
          <w:tcPr/>
          <w:p>
            <w:pPr>
              <w:pStyle w:val="Compact"/>
              <w:jc w:val="left"/>
            </w:pPr>
            <w:r>
              <w:t xml:space="preserve">Payment Channel (state channel or batch aggregation) records signed state update</w:t>
            </w:r>
          </w:p>
        </w:tc>
        <w:tc>
          <w:tcPr/>
          <w:p>
            <w:pPr>
              <w:pStyle w:val="Compact"/>
              <w:jc w:val="left"/>
            </w:pPr>
            <w:r>
              <w:t xml:space="preserve">Off-chain balance</w:t>
            </w:r>
          </w:p>
        </w:tc>
      </w:tr>
      <w:tr>
        <w:tc>
          <w:tcPr/>
          <w:p>
            <w:pPr>
              <w:pStyle w:val="Compact"/>
              <w:jc w:val="left"/>
            </w:pPr>
            <w:r>
              <w:rPr>
                <w:b/>
                <w:bCs/>
              </w:rPr>
              <w:t xml:space="preserve">4</w:t>
            </w:r>
          </w:p>
        </w:tc>
        <w:tc>
          <w:tcPr/>
          <w:p>
            <w:pPr>
              <w:pStyle w:val="Compact"/>
              <w:jc w:val="left"/>
            </w:pPr>
            <w:r>
              <w:t xml:space="preserve">Payment Channel</w:t>
            </w:r>
          </w:p>
        </w:tc>
        <w:tc>
          <w:tcPr/>
          <w:p>
            <w:pPr>
              <w:pStyle w:val="Compact"/>
              <w:jc w:val="left"/>
            </w:pPr>
            <w:r>
              <w:t xml:space="preserve">Periodic on-chain settlement (every N minutes or at balance threshold)</w:t>
            </w:r>
          </w:p>
        </w:tc>
        <w:tc>
          <w:tcPr/>
          <w:p>
            <w:pPr>
              <w:pStyle w:val="Compact"/>
              <w:jc w:val="left"/>
            </w:pPr>
            <w:r>
              <w:t xml:space="preserve">Blockchain (Solana / L2)</w:t>
            </w:r>
          </w:p>
        </w:tc>
      </w:tr>
      <w:tr>
        <w:tc>
          <w:tcPr/>
          <w:p>
            <w:pPr>
              <w:pStyle w:val="Compact"/>
              <w:jc w:val="left"/>
            </w:pPr>
            <w:r>
              <w:rPr>
                <w:b/>
                <w:bCs/>
              </w:rPr>
              <w:t xml:space="preserve">5</w:t>
            </w:r>
          </w:p>
        </w:tc>
        <w:tc>
          <w:tcPr/>
          <w:p>
            <w:pPr>
              <w:pStyle w:val="Compact"/>
              <w:jc w:val="left"/>
            </w:pPr>
            <w:r>
              <w:t xml:space="preserve">Blockchain</w:t>
            </w:r>
          </w:p>
        </w:tc>
        <w:tc>
          <w:tcPr/>
          <w:p>
            <w:pPr>
              <w:pStyle w:val="Compact"/>
              <w:jc w:val="left"/>
            </w:pPr>
            <w:r>
              <w:t xml:space="preserve">Settlement confirmation returned</w:t>
            </w:r>
          </w:p>
        </w:tc>
        <w:tc>
          <w:tcPr/>
          <w:p>
            <w:pPr>
              <w:pStyle w:val="Compact"/>
              <w:jc w:val="left"/>
            </w:pPr>
            <w:r>
              <w:t xml:space="preserve">DePIN Project / API Consumer</w:t>
            </w:r>
          </w:p>
        </w:tc>
      </w:tr>
    </w:tbl>
    <w:p>
      <w:pPr>
        <w:pStyle w:val="BodyText"/>
      </w:pPr>
      <w:r>
        <w:rPr>
          <w:i/>
          <w:iCs/>
        </w:rPr>
        <w:t xml:space="preserve">Payment channels enable off-chain micro-transactions down to fractions of a cent. The consumer deposits funds to open a channel; each resource usage event is tracked off-chain; settlement occurs on-chain periodically to minimize gas costs.</w:t>
      </w:r>
    </w:p>
    <w:p>
      <w:pPr>
        <w:pStyle w:val="BodyText"/>
      </w:pPr>
      <w:r>
        <w:rPr>
          <w:b/>
          <w:bCs/>
        </w:rPr>
        <w:t xml:space="preserve">Payment channels</w:t>
      </w:r>
      <w:r>
        <w:t xml:space="preserve"> </w:t>
      </w:r>
      <w:r>
        <w:t xml:space="preserve">(similar to Lightning Network state channels) enable off-chain micro-transactions between ANDD and high-frequency consumers. The consumer opens a channel by depositing funds (stablecoin or native token); each API call or resource usage event is tracked off-chain with signed state updates; settlement occurs on-chain periodically or when the channel balance reaches a threshold.</w:t>
      </w:r>
    </w:p>
    <w:p>
      <w:pPr>
        <w:pStyle w:val="BodyText"/>
      </w:pPr>
      <w:r>
        <w:rPr>
          <w:b/>
          <w:bCs/>
        </w:rPr>
        <w:t xml:space="preserve">Batch settlement</w:t>
      </w:r>
      <w:r>
        <w:t xml:space="preserve"> </w:t>
      </w:r>
      <w:r>
        <w:t xml:space="preserve">for lower-frequency micro-transactions: Usage is metered, aggregated into batches (every 5 minutes, hourly, or daily based on customer preference), and settled in a single on-chain transaction to minimize gas costs.</w:t>
      </w:r>
    </w:p>
    <w:bookmarkEnd w:id="101"/>
    <w:bookmarkStart w:id="102" w:name="andd-network-token-future"/>
    <w:p>
      <w:pPr>
        <w:pStyle w:val="Heading4"/>
      </w:pPr>
      <w:r>
        <w:t xml:space="preserve">9.3.3 ANDD Network Token (Future)</w:t>
      </w:r>
    </w:p>
    <w:p>
      <w:pPr>
        <w:pStyle w:val="FirstParagraph"/>
      </w:pPr>
      <w:r>
        <w:t xml:space="preserve">A native network utility token is contemplated (subject to regulatory analysis) to enable:</w:t>
      </w:r>
    </w:p>
    <w:p>
      <w:pPr>
        <w:pStyle w:val="Compact"/>
        <w:numPr>
          <w:ilvl w:val="0"/>
          <w:numId w:val="1017"/>
        </w:numPr>
      </w:pPr>
      <w:r>
        <w:rPr>
          <w:b/>
          <w:bCs/>
        </w:rPr>
        <w:t xml:space="preserve">Staking for capacity reservation:</w:t>
      </w:r>
      <w:r>
        <w:t xml:space="preserve"> </w:t>
      </w:r>
      <w:r>
        <w:t xml:space="preserve">Token holders can stake to reserve priority access to ANDD compute/storage/GPU resources, similar to how Filecoin’s FIL is used for storage deals.</w:t>
      </w:r>
    </w:p>
    <w:p>
      <w:pPr>
        <w:pStyle w:val="Compact"/>
        <w:numPr>
          <w:ilvl w:val="0"/>
          <w:numId w:val="1017"/>
        </w:numPr>
      </w:pPr>
      <w:r>
        <w:rPr>
          <w:b/>
          <w:bCs/>
        </w:rPr>
        <w:t xml:space="preserve">DePIN incentive alignment:</w:t>
      </w:r>
      <w:r>
        <w:t xml:space="preserve"> </w:t>
      </w:r>
      <w:r>
        <w:t xml:space="preserve">Third-party infrastructure operators who add capacity to the ANDD network (e.g., deploying an ANDD-certified edge node on their property) earn token rewards proportional to verified uptime and utilization.</w:t>
      </w:r>
    </w:p>
    <w:p>
      <w:pPr>
        <w:pStyle w:val="Compact"/>
        <w:numPr>
          <w:ilvl w:val="0"/>
          <w:numId w:val="1017"/>
        </w:numPr>
      </w:pPr>
      <w:r>
        <w:rPr>
          <w:b/>
          <w:bCs/>
        </w:rPr>
        <w:t xml:space="preserve">Governance:</w:t>
      </w:r>
      <w:r>
        <w:t xml:space="preserve"> </w:t>
      </w:r>
      <w:r>
        <w:t xml:space="preserve">Token-weighted voting on network parameters (pricing floors, capacity expansion priorities, protocol upgrades).</w:t>
      </w:r>
    </w:p>
    <w:p>
      <w:pPr>
        <w:pStyle w:val="Compact"/>
        <w:numPr>
          <w:ilvl w:val="0"/>
          <w:numId w:val="1017"/>
        </w:numPr>
      </w:pPr>
      <w:r>
        <w:rPr>
          <w:b/>
          <w:bCs/>
        </w:rPr>
        <w:t xml:space="preserve">Burn mechanism:</w:t>
      </w:r>
      <w:r>
        <w:t xml:space="preserve"> </w:t>
      </w:r>
      <w:r>
        <w:t xml:space="preserve">A percentage of network fees are used to buy back and burn tokens, creating deflationary pressure proportional to network usage.</w:t>
      </w:r>
    </w:p>
    <w:p>
      <w:pPr>
        <w:pStyle w:val="FirstParagraph"/>
      </w:pPr>
      <w:r>
        <w:t xml:space="preserve">This model draws on lessons from Filecoin, Helium, and Render Network while avoiding their documented pitfalls (see Section 11).</w:t>
      </w:r>
    </w:p>
    <w:bookmarkEnd w:id="102"/>
    <w:bookmarkEnd w:id="103"/>
    <w:bookmarkStart w:id="104" w:name="smart-contract-slas"/>
    <w:p>
      <w:pPr>
        <w:pStyle w:val="Heading3"/>
      </w:pPr>
      <w:r>
        <w:t xml:space="preserve">9.4 Smart Contract SLAs</w:t>
      </w:r>
    </w:p>
    <w:p>
      <w:pPr>
        <w:pStyle w:val="FirstParagraph"/>
      </w:pPr>
      <w:r>
        <w:t xml:space="preserve">Traditional SLAs are legal documents enforced through dispute resolution. ANDD introduces</w:t>
      </w:r>
      <w:r>
        <w:t xml:space="preserve"> </w:t>
      </w:r>
      <w:r>
        <w:rPr>
          <w:b/>
          <w:bCs/>
        </w:rPr>
        <w:t xml:space="preserve">programmable SLAs</w:t>
      </w:r>
      <w:r>
        <w:t xml:space="preserve"> </w:t>
      </w:r>
      <w:r>
        <w:t xml:space="preserve">— smart contracts that encode service level commitments and automatically enforce them:</w:t>
      </w:r>
    </w:p>
    <w:p>
      <w:pPr>
        <w:pStyle w:val="BodyText"/>
      </w:pPr>
      <w:r>
        <w:rPr>
          <w:b/>
          <w:bCs/>
        </w:rPr>
        <w:t xml:space="preserve">Simplified ANDD SLA Smart Contract Logic (Solidity):</w:t>
      </w:r>
    </w:p>
    <w:tbl>
      <w:tblPr>
        <w:tblStyle w:val="Table"/>
        <w:tblW w:type="pct" w:w="5000"/>
        <w:jc w:val="left"/>
        <w:tblLayout w:type="fixed"/>
        <w:tblLook w:firstRow="1" w:lastRow="0" w:firstColumn="0" w:lastColumn="0" w:noHBand="0" w:noVBand="0" w:val="0020"/>
      </w:tblPr>
      <w:tblGrid>
        <w:gridCol w:w="3452"/>
        <w:gridCol w:w="2640"/>
        <w:gridCol w:w="1827"/>
      </w:tblGrid>
      <w:tr>
        <w:trPr>
          <w:tblHeader w:val="on"/>
        </w:trPr>
        <w:tc>
          <w:tcPr/>
          <w:p>
            <w:pPr>
              <w:pStyle w:val="Compact"/>
              <w:jc w:val="left"/>
            </w:pPr>
            <w:r>
              <w:t xml:space="preserve">Contract Element</w:t>
            </w:r>
          </w:p>
        </w:tc>
        <w:tc>
          <w:tcPr/>
          <w:p>
            <w:pPr>
              <w:pStyle w:val="Compact"/>
              <w:jc w:val="left"/>
            </w:pPr>
            <w:r>
              <w:t xml:space="preserve">Code / Logic</w:t>
            </w:r>
          </w:p>
        </w:tc>
        <w:tc>
          <w:tcPr/>
          <w:p>
            <w:pPr>
              <w:pStyle w:val="Compact"/>
              <w:jc w:val="left"/>
            </w:pPr>
            <w:r>
              <w:t xml:space="preserve">Purpose</w:t>
            </w:r>
          </w:p>
        </w:tc>
      </w:tr>
      <w:tr>
        <w:tc>
          <w:tcPr/>
          <w:p>
            <w:pPr>
              <w:pStyle w:val="Compact"/>
              <w:jc w:val="left"/>
            </w:pPr>
            <w:r>
              <w:rPr>
                <w:b/>
                <w:bCs/>
              </w:rPr>
              <w:t xml:space="preserve">SLA Parameter</w:t>
            </w:r>
          </w:p>
        </w:tc>
        <w:tc>
          <w:tcPr/>
          <w:p>
            <w:pPr>
              <w:pStyle w:val="Compact"/>
              <w:jc w:val="left"/>
            </w:pPr>
            <w:r>
              <w:t xml:space="preserve">uptimeTarget = 9999 (basis points)</w:t>
            </w:r>
          </w:p>
        </w:tc>
        <w:tc>
          <w:tcPr/>
          <w:p>
            <w:pPr>
              <w:pStyle w:val="Compact"/>
              <w:jc w:val="left"/>
            </w:pPr>
            <w:r>
              <w:t xml:space="preserve">99.99% uptime target</w:t>
            </w:r>
          </w:p>
        </w:tc>
      </w:tr>
      <w:tr>
        <w:tc>
          <w:tcPr/>
          <w:p>
            <w:pPr>
              <w:pStyle w:val="Compact"/>
              <w:jc w:val="left"/>
            </w:pPr>
            <w:r>
              <w:rPr>
                <w:b/>
                <w:bCs/>
              </w:rPr>
              <w:t xml:space="preserve">SLA Parameter</w:t>
            </w:r>
          </w:p>
        </w:tc>
        <w:tc>
          <w:tcPr/>
          <w:p>
            <w:pPr>
              <w:pStyle w:val="Compact"/>
              <w:jc w:val="left"/>
            </w:pPr>
            <w:r>
              <w:t xml:space="preserve">latencyTarget = 5</w:t>
            </w:r>
          </w:p>
        </w:tc>
        <w:tc>
          <w:tcPr/>
          <w:p>
            <w:pPr>
              <w:pStyle w:val="Compact"/>
              <w:jc w:val="left"/>
            </w:pPr>
            <w:r>
              <w:t xml:space="preserve">Less than 5ms edge latency</w:t>
            </w:r>
          </w:p>
        </w:tc>
      </w:tr>
      <w:tr>
        <w:tc>
          <w:tcPr/>
          <w:p>
            <w:pPr>
              <w:pStyle w:val="Compact"/>
              <w:jc w:val="left"/>
            </w:pPr>
            <w:r>
              <w:rPr>
                <w:b/>
                <w:bCs/>
              </w:rPr>
              <w:t xml:space="preserve">SLA Parameter</w:t>
            </w:r>
          </w:p>
        </w:tc>
        <w:tc>
          <w:tcPr/>
          <w:p>
            <w:pPr>
              <w:pStyle w:val="Compact"/>
              <w:jc w:val="left"/>
            </w:pPr>
            <w:r>
              <w:t xml:space="preserve">measurementPeriod = 30 days</w:t>
            </w:r>
          </w:p>
        </w:tc>
        <w:tc>
          <w:tcPr/>
          <w:p>
            <w:pPr>
              <w:pStyle w:val="Compact"/>
              <w:jc w:val="left"/>
            </w:pPr>
            <w:r>
              <w:t xml:space="preserve">Rolling monthly evaluation window</w:t>
            </w:r>
          </w:p>
        </w:tc>
      </w:tr>
      <w:tr>
        <w:tc>
          <w:tcPr/>
          <w:p>
            <w:pPr>
              <w:pStyle w:val="Compact"/>
              <w:jc w:val="left"/>
            </w:pPr>
            <w:r>
              <w:rPr>
                <w:b/>
                <w:bCs/>
              </w:rPr>
              <w:t xml:space="preserve">Oracle Integration</w:t>
            </w:r>
          </w:p>
        </w:tc>
        <w:tc>
          <w:tcPr/>
          <w:p>
            <w:pPr>
              <w:pStyle w:val="Compact"/>
              <w:jc w:val="left"/>
            </w:pPr>
            <w:r>
              <w:t xml:space="preserve">oracle.getUptime(tenantId, period)</w:t>
            </w:r>
          </w:p>
        </w:tc>
        <w:tc>
          <w:tcPr/>
          <w:p>
            <w:pPr>
              <w:pStyle w:val="Compact"/>
              <w:jc w:val="left"/>
            </w:pPr>
            <w:r>
              <w:t xml:space="preserve">Retrieves actual uptime from on-chain or decentralized oracle</w:t>
            </w:r>
          </w:p>
        </w:tc>
      </w:tr>
      <w:tr>
        <w:tc>
          <w:tcPr/>
          <w:p>
            <w:pPr>
              <w:pStyle w:val="Compact"/>
              <w:jc w:val="left"/>
            </w:pPr>
            <w:r>
              <w:rPr>
                <w:b/>
                <w:bCs/>
              </w:rPr>
              <w:t xml:space="preserve">Credit Calculation</w:t>
            </w:r>
          </w:p>
        </w:tc>
        <w:tc>
          <w:tcPr/>
          <w:p>
            <w:pPr>
              <w:pStyle w:val="Compact"/>
              <w:jc w:val="left"/>
            </w:pPr>
            <w:r>
              <w:t xml:space="preserve">calculateCredit(uptimeTarget - actualUptime)</w:t>
            </w:r>
          </w:p>
        </w:tc>
        <w:tc>
          <w:tcPr/>
          <w:p>
            <w:pPr>
              <w:pStyle w:val="Compact"/>
              <w:jc w:val="left"/>
            </w:pPr>
            <w:r>
              <w:t xml:space="preserve">Proportional credit based on severity of SLA miss</w:t>
            </w:r>
          </w:p>
        </w:tc>
      </w:tr>
      <w:tr>
        <w:tc>
          <w:tcPr/>
          <w:p>
            <w:pPr>
              <w:pStyle w:val="Compact"/>
              <w:jc w:val="left"/>
            </w:pPr>
            <w:r>
              <w:rPr>
                <w:b/>
                <w:bCs/>
              </w:rPr>
              <w:t xml:space="preserve">Automated Payout</w:t>
            </w:r>
          </w:p>
        </w:tc>
        <w:tc>
          <w:tcPr/>
          <w:p>
            <w:pPr>
              <w:pStyle w:val="Compact"/>
              <w:jc w:val="left"/>
            </w:pPr>
            <w:r>
              <w:t xml:space="preserve">paymentToken.transfer(tenant, credit)</w:t>
            </w:r>
          </w:p>
        </w:tc>
        <w:tc>
          <w:tcPr/>
          <w:p>
            <w:pPr>
              <w:pStyle w:val="Compact"/>
              <w:jc w:val="left"/>
            </w:pPr>
            <w:r>
              <w:t xml:space="preserve">Stablecoin credit issued directly to tenant wallet</w:t>
            </w:r>
          </w:p>
        </w:tc>
      </w:tr>
      <w:tr>
        <w:tc>
          <w:tcPr/>
          <w:p>
            <w:pPr>
              <w:pStyle w:val="Compact"/>
              <w:jc w:val="left"/>
            </w:pPr>
            <w:r>
              <w:rPr>
                <w:b/>
                <w:bCs/>
              </w:rPr>
              <w:t xml:space="preserve">Event Logging</w:t>
            </w:r>
          </w:p>
        </w:tc>
        <w:tc>
          <w:tcPr/>
          <w:p>
            <w:pPr>
              <w:pStyle w:val="Compact"/>
              <w:jc w:val="left"/>
            </w:pPr>
            <w:r>
              <w:t xml:space="preserve">emit SLACreditIssued(tenantId, credit, actualUptime)</w:t>
            </w:r>
          </w:p>
        </w:tc>
        <w:tc>
          <w:tcPr/>
          <w:p>
            <w:pPr>
              <w:pStyle w:val="Compact"/>
              <w:jc w:val="left"/>
            </w:pPr>
            <w:r>
              <w:t xml:space="preserve">Immutable on-chain record of SLA breach and credit</w:t>
            </w:r>
          </w:p>
        </w:tc>
      </w:tr>
    </w:tbl>
    <w:p>
      <w:pPr>
        <w:pStyle w:val="BodyText"/>
      </w:pPr>
      <w:r>
        <w:rPr>
          <w:i/>
          <w:iCs/>
        </w:rPr>
        <w:t xml:space="preserve">When checkSLA() is called, the contract reads actual uptime from the oracle. If uptime falls below the 99.99% target, credits are calculated proportionally and transferred to the tenant’s wallet automatically — no human claims process required.</w:t>
      </w:r>
    </w:p>
    <w:p>
      <w:pPr>
        <w:pStyle w:val="BodyText"/>
      </w:pPr>
      <w:r>
        <w:rPr>
          <w:b/>
          <w:bCs/>
        </w:rPr>
        <w:t xml:space="preserve">Benefits:</w:t>
      </w:r>
      <w:r>
        <w:t xml:space="preserve"> </w:t>
      </w:r>
      <w:r>
        <w:t xml:space="preserve">-</w:t>
      </w:r>
      <w:r>
        <w:t xml:space="preserve"> </w:t>
      </w:r>
      <w:r>
        <w:rPr>
          <w:b/>
          <w:bCs/>
        </w:rPr>
        <w:t xml:space="preserve">Automatic enforcement:</w:t>
      </w:r>
      <w:r>
        <w:t xml:space="preserve"> </w:t>
      </w:r>
      <w:r>
        <w:t xml:space="preserve">No human claims process. If ANDD fails to meet SLA, credits are issued automatically via the smart contract.</w:t>
      </w:r>
      <w:r>
        <w:t xml:space="preserve"> </w:t>
      </w:r>
      <w:r>
        <w:t xml:space="preserve">-</w:t>
      </w:r>
      <w:r>
        <w:t xml:space="preserve"> </w:t>
      </w:r>
      <w:r>
        <w:rPr>
          <w:b/>
          <w:bCs/>
        </w:rPr>
        <w:t xml:space="preserve">Transparency:</w:t>
      </w:r>
      <w:r>
        <w:t xml:space="preserve"> </w:t>
      </w:r>
      <w:r>
        <w:t xml:space="preserve">SLA performance data is published to an oracle (decentralized or ANDD-operated) that feeds the smart contract. Both parties see the same data.</w:t>
      </w:r>
      <w:r>
        <w:t xml:space="preserve"> </w:t>
      </w:r>
      <w:r>
        <w:t xml:space="preserve">-</w:t>
      </w:r>
      <w:r>
        <w:t xml:space="preserve"> </w:t>
      </w:r>
      <w:r>
        <w:rPr>
          <w:b/>
          <w:bCs/>
        </w:rPr>
        <w:t xml:space="preserve">Composability:</w:t>
      </w:r>
      <w:r>
        <w:t xml:space="preserve"> </w:t>
      </w:r>
      <w:r>
        <w:t xml:space="preserve">DePIN projects building on ANDD can embed ANDD’s SLA guarantees into their own customer-facing SLAs, creating cascading accountability.</w:t>
      </w:r>
      <w:r>
        <w:t xml:space="preserve"> </w:t>
      </w:r>
      <w:r>
        <w:t xml:space="preserve">-</w:t>
      </w:r>
      <w:r>
        <w:t xml:space="preserve"> </w:t>
      </w:r>
      <w:r>
        <w:rPr>
          <w:b/>
          <w:bCs/>
        </w:rPr>
        <w:t xml:space="preserve">Dispute elimination:</w:t>
      </w:r>
      <w:r>
        <w:t xml:space="preserve"> </w:t>
      </w:r>
      <w:r>
        <w:t xml:space="preserve">The smart contract is the arbiter. Parameters, measurement methodology, and credit calculations are agreed upon at contract creation and are immutable.</w:t>
      </w:r>
    </w:p>
    <w:bookmarkEnd w:id="104"/>
    <w:bookmarkStart w:id="105" w:name="hybrid-payment-orchestration"/>
    <w:p>
      <w:pPr>
        <w:pStyle w:val="Heading3"/>
      </w:pPr>
      <w:r>
        <w:t xml:space="preserve">9.5 Hybrid Payment Orchestration</w:t>
      </w:r>
    </w:p>
    <w:p>
      <w:pPr>
        <w:pStyle w:val="FirstParagraph"/>
      </w:pPr>
      <w:r>
        <w:t xml:space="preserve">Most customers will use a combination of payment methods. The AI billing agent orchestrates across rails:</w:t>
      </w:r>
    </w:p>
    <w:tbl>
      <w:tblPr>
        <w:tblStyle w:val="Table"/>
        <w:tblW w:type="pct" w:w="5000"/>
        <w:jc w:val="left"/>
        <w:tblLayout w:type="fixed"/>
        <w:tblLook w:firstRow="1" w:lastRow="0" w:firstColumn="0" w:lastColumn="0" w:noHBand="0" w:noVBand="0" w:val="0020"/>
      </w:tblPr>
      <w:tblGrid>
        <w:gridCol w:w="1721"/>
        <w:gridCol w:w="1836"/>
        <w:gridCol w:w="2180"/>
        <w:gridCol w:w="2180"/>
      </w:tblGrid>
      <w:tr>
        <w:trPr>
          <w:tblHeader w:val="on"/>
        </w:trPr>
        <w:tc>
          <w:tcPr/>
          <w:p>
            <w:pPr>
              <w:pStyle w:val="Compact"/>
              <w:jc w:val="left"/>
            </w:pPr>
            <w:r>
              <w:t xml:space="preserve">Customer Type</w:t>
            </w:r>
          </w:p>
        </w:tc>
        <w:tc>
          <w:tcPr/>
          <w:p>
            <w:pPr>
              <w:pStyle w:val="Compact"/>
              <w:jc w:val="left"/>
            </w:pPr>
            <w:r>
              <w:t xml:space="preserve">Primary Payment</w:t>
            </w:r>
          </w:p>
        </w:tc>
        <w:tc>
          <w:tcPr/>
          <w:p>
            <w:pPr>
              <w:pStyle w:val="Compact"/>
              <w:jc w:val="left"/>
            </w:pPr>
            <w:r>
              <w:t xml:space="preserve">Secondary/Backup</w:t>
            </w:r>
          </w:p>
        </w:tc>
        <w:tc>
          <w:tcPr/>
          <w:p>
            <w:pPr>
              <w:pStyle w:val="Compact"/>
              <w:jc w:val="left"/>
            </w:pPr>
            <w:r>
              <w:t xml:space="preserve">Micro-Transaction</w:t>
            </w:r>
          </w:p>
        </w:tc>
      </w:tr>
      <w:tr>
        <w:tc>
          <w:tcPr/>
          <w:p>
            <w:pPr>
              <w:pStyle w:val="Compact"/>
              <w:jc w:val="left"/>
            </w:pPr>
            <w:r>
              <w:t xml:space="preserve">Enterprise</w:t>
            </w:r>
          </w:p>
        </w:tc>
        <w:tc>
          <w:tcPr/>
          <w:p>
            <w:pPr>
              <w:pStyle w:val="Compact"/>
              <w:jc w:val="left"/>
            </w:pPr>
            <w:r>
              <w:t xml:space="preserve">Wire / ACH (annual)</w:t>
            </w:r>
          </w:p>
        </w:tc>
        <w:tc>
          <w:tcPr/>
          <w:p>
            <w:pPr>
              <w:pStyle w:val="Compact"/>
              <w:jc w:val="left"/>
            </w:pPr>
            <w:r>
              <w:t xml:space="preserve">Credit card (overage)</w:t>
            </w:r>
          </w:p>
        </w:tc>
        <w:tc>
          <w:tcPr/>
          <w:p>
            <w:pPr>
              <w:pStyle w:val="Compact"/>
              <w:jc w:val="left"/>
            </w:pPr>
            <w:r>
              <w:t xml:space="preserve">N/A</w:t>
            </w:r>
          </w:p>
        </w:tc>
      </w:tr>
      <w:tr>
        <w:tc>
          <w:tcPr/>
          <w:p>
            <w:pPr>
              <w:pStyle w:val="Compact"/>
              <w:jc w:val="left"/>
            </w:pPr>
            <w:r>
              <w:t xml:space="preserve">Government</w:t>
            </w:r>
          </w:p>
        </w:tc>
        <w:tc>
          <w:tcPr/>
          <w:p>
            <w:pPr>
              <w:pStyle w:val="Compact"/>
              <w:jc w:val="left"/>
            </w:pPr>
            <w:r>
              <w:t xml:space="preserve">PO / Treasury</w:t>
            </w:r>
          </w:p>
        </w:tc>
        <w:tc>
          <w:tcPr/>
          <w:p>
            <w:pPr>
              <w:pStyle w:val="Compact"/>
              <w:jc w:val="left"/>
            </w:pPr>
            <w:r>
              <w:t xml:space="preserve">ACH</w:t>
            </w:r>
          </w:p>
        </w:tc>
        <w:tc>
          <w:tcPr/>
          <w:p>
            <w:pPr>
              <w:pStyle w:val="Compact"/>
              <w:jc w:val="left"/>
            </w:pPr>
            <w:r>
              <w:t xml:space="preserve">N/A</w:t>
            </w:r>
          </w:p>
        </w:tc>
      </w:tr>
      <w:tr>
        <w:tc>
          <w:tcPr/>
          <w:p>
            <w:pPr>
              <w:pStyle w:val="Compact"/>
              <w:jc w:val="left"/>
            </w:pPr>
            <w:r>
              <w:t xml:space="preserve">Startup</w:t>
            </w:r>
          </w:p>
        </w:tc>
        <w:tc>
          <w:tcPr/>
          <w:p>
            <w:pPr>
              <w:pStyle w:val="Compact"/>
              <w:jc w:val="left"/>
            </w:pPr>
            <w:r>
              <w:t xml:space="preserve">Credit card (monthly)</w:t>
            </w:r>
          </w:p>
        </w:tc>
        <w:tc>
          <w:tcPr/>
          <w:p>
            <w:pPr>
              <w:pStyle w:val="Compact"/>
              <w:jc w:val="left"/>
            </w:pPr>
            <w:r>
              <w:t xml:space="preserve">USDC</w:t>
            </w:r>
          </w:p>
        </w:tc>
        <w:tc>
          <w:tcPr/>
          <w:p>
            <w:pPr>
              <w:pStyle w:val="Compact"/>
              <w:jc w:val="left"/>
            </w:pPr>
            <w:r>
              <w:t xml:space="preserve">Per-API-call option</w:t>
            </w:r>
          </w:p>
        </w:tc>
      </w:tr>
      <w:tr>
        <w:tc>
          <w:tcPr/>
          <w:p>
            <w:pPr>
              <w:pStyle w:val="Compact"/>
              <w:jc w:val="left"/>
            </w:pPr>
            <w:r>
              <w:t xml:space="preserve">DePIN Project</w:t>
            </w:r>
          </w:p>
        </w:tc>
        <w:tc>
          <w:tcPr/>
          <w:p>
            <w:pPr>
              <w:pStyle w:val="Compact"/>
              <w:jc w:val="left"/>
            </w:pPr>
            <w:r>
              <w:t xml:space="preserve">Stablecoin</w:t>
            </w:r>
          </w:p>
        </w:tc>
        <w:tc>
          <w:tcPr/>
          <w:p>
            <w:pPr>
              <w:pStyle w:val="Compact"/>
              <w:jc w:val="left"/>
            </w:pPr>
            <w:r>
              <w:t xml:space="preserve">Payment channel</w:t>
            </w:r>
          </w:p>
        </w:tc>
        <w:tc>
          <w:tcPr/>
          <w:p>
            <w:pPr>
              <w:pStyle w:val="Compact"/>
              <w:jc w:val="left"/>
            </w:pPr>
            <w:r>
              <w:t xml:space="preserve">Per-request</w:t>
            </w:r>
          </w:p>
        </w:tc>
      </w:tr>
      <w:tr>
        <w:tc>
          <w:tcPr/>
          <w:p>
            <w:pPr>
              <w:pStyle w:val="Compact"/>
              <w:jc w:val="left"/>
            </w:pPr>
            <w:r>
              <w:t xml:space="preserve">Web3 Native</w:t>
            </w:r>
          </w:p>
        </w:tc>
        <w:tc>
          <w:tcPr/>
          <w:p>
            <w:pPr>
              <w:pStyle w:val="Compact"/>
              <w:jc w:val="left"/>
            </w:pPr>
            <w:r>
              <w:t xml:space="preserve">USDC/token</w:t>
            </w:r>
          </w:p>
        </w:tc>
        <w:tc>
          <w:tcPr/>
          <w:p>
            <w:pPr>
              <w:pStyle w:val="Compact"/>
              <w:jc w:val="left"/>
            </w:pPr>
            <w:r>
              <w:t xml:space="preserve">Payment channel</w:t>
            </w:r>
          </w:p>
        </w:tc>
        <w:tc>
          <w:tcPr/>
          <w:p>
            <w:pPr>
              <w:pStyle w:val="Compact"/>
              <w:jc w:val="left"/>
            </w:pPr>
            <w:r>
              <w:t xml:space="preserve">Per-request</w:t>
            </w:r>
          </w:p>
        </w:tc>
      </w:tr>
      <w:tr>
        <w:tc>
          <w:tcPr/>
          <w:p>
            <w:pPr>
              <w:pStyle w:val="Compact"/>
              <w:jc w:val="left"/>
            </w:pPr>
            <w:r>
              <w:t xml:space="preserve">Individual Dev</w:t>
            </w:r>
          </w:p>
        </w:tc>
        <w:tc>
          <w:tcPr/>
          <w:p>
            <w:pPr>
              <w:pStyle w:val="Compact"/>
              <w:jc w:val="left"/>
            </w:pPr>
            <w:r>
              <w:t xml:space="preserve">Credit card</w:t>
            </w:r>
          </w:p>
        </w:tc>
        <w:tc>
          <w:tcPr/>
          <w:p>
            <w:pPr>
              <w:pStyle w:val="Compact"/>
              <w:jc w:val="left"/>
            </w:pPr>
            <w:r>
              <w:t xml:space="preserve">Stablecoin</w:t>
            </w:r>
          </w:p>
        </w:tc>
        <w:tc>
          <w:tcPr/>
          <w:p>
            <w:pPr>
              <w:pStyle w:val="Compact"/>
              <w:jc w:val="left"/>
            </w:pPr>
            <w:r>
              <w:t xml:space="preserve">Per-API-call option</w:t>
            </w:r>
          </w:p>
        </w:tc>
      </w:tr>
    </w:tbl>
    <w:p>
      <w:pPr>
        <w:pStyle w:val="BodyText"/>
      </w:pPr>
      <w:r>
        <w:t xml:space="preserve">The billing agent maintains a unified ledger reconciling all payment streams and providing a single pane of glass for financial reporting, regardless of payment method.</w:t>
      </w:r>
    </w:p>
    <w:p>
      <w:r>
        <w:pict>
          <v:rect style="width:0;height:1.5pt" o:hralign="center" o:hrstd="t" o:hr="t"/>
        </w:pict>
      </w:r>
    </w:p>
    <w:bookmarkEnd w:id="105"/>
    <w:bookmarkEnd w:id="106"/>
    <w:bookmarkStart w:id="117" w:name="depin-integration-pressure-test"/>
    <w:p>
      <w:pPr>
        <w:pStyle w:val="Heading2"/>
      </w:pPr>
      <w:r>
        <w:t xml:space="preserve">11. DePIN Integration &amp; Pressure Test</w:t>
      </w:r>
    </w:p>
    <w:bookmarkStart w:id="107" w:name="the-depin-landscape-promise-and-reality"/>
    <w:p>
      <w:pPr>
        <w:pStyle w:val="Heading3"/>
      </w:pPr>
      <w:r>
        <w:t xml:space="preserve">10.1 The DePIN Landscape: Promise and Reality</w:t>
      </w:r>
    </w:p>
    <w:p>
      <w:pPr>
        <w:pStyle w:val="FirstParagraph"/>
      </w:pPr>
      <w:r>
        <w:t xml:space="preserve">Decentralized Physical Infrastructure Networks (DePIN) represent one of the most compelling applications of blockchain technology to real-world problems. By using token incentives to coordinate the deployment of physical infrastructure — wireless networks, compute resources, storage, sensors, energy — DePIN projects promise to build infrastructure faster, cheaper, and more equitably than centralized alternatives.</w:t>
      </w:r>
    </w:p>
    <w:p>
      <w:pPr>
        <w:pStyle w:val="BodyText"/>
      </w:pPr>
      <w:r>
        <w:t xml:space="preserve">The reality has been mixed. A rigorous assessment of the DePIN landscape reveals both validated demand and structural weaknesses that ANDD is designed to address.</w:t>
      </w:r>
    </w:p>
    <w:bookmarkEnd w:id="107"/>
    <w:bookmarkStart w:id="113" w:name="case-studies-what-works-and-what-doesnt"/>
    <w:p>
      <w:pPr>
        <w:pStyle w:val="Heading3"/>
      </w:pPr>
      <w:r>
        <w:t xml:space="preserve">10.2 Case Studies: What Works and What Doesn’t</w:t>
      </w:r>
    </w:p>
    <w:bookmarkStart w:id="108" w:name="helium-wirelessiot"/>
    <w:p>
      <w:pPr>
        <w:pStyle w:val="Heading4"/>
      </w:pPr>
      <w:r>
        <w:t xml:space="preserve">Helium (Wireless/IoT)</w:t>
      </w:r>
    </w:p>
    <w:p>
      <w:pPr>
        <w:pStyle w:val="FirstParagraph"/>
      </w:pPr>
      <w:r>
        <w:rPr>
          <w:b/>
          <w:bCs/>
        </w:rPr>
        <w:t xml:space="preserve">What worked:</w:t>
      </w:r>
      <w:r>
        <w:t xml:space="preserve"> </w:t>
      </w:r>
      <w:r>
        <w:t xml:space="preserve">Helium demonstrated that token incentives could rapidly bootstrap a global wireless network. At its peak, the Helium network deployed over 900,000 hotspots across 190+ countries, creating the largest decentralized wireless network in history. The migration to Solana in 2023 improved network economics and scalability.</w:t>
      </w:r>
    </w:p>
    <w:p>
      <w:pPr>
        <w:pStyle w:val="BodyText"/>
      </w:pPr>
      <w:r>
        <w:rPr>
          <w:b/>
          <w:bCs/>
        </w:rPr>
        <w:t xml:space="preserve">What didn’t:</w:t>
      </w:r>
      <w:r>
        <w:t xml:space="preserve"> </w:t>
      </w:r>
      <w:r>
        <w:t xml:space="preserve">The vast majority of hotspots generated negligible data transfer revenue. The network was over-provisioned in affluent urban areas (where enthusiasts lived) and under-provisioned in the industrial/agricultural areas where IoT connectivity was most needed. Consumer-grade hardware (home routers) suffered from unreliable uptime, inconsistent coverage, and no SLA guarantees — making Helium unsuitable for enterprise IoT applications that require carrier-grade reliability.</w:t>
      </w:r>
    </w:p>
    <w:p>
      <w:pPr>
        <w:pStyle w:val="BodyText"/>
      </w:pPr>
      <w:r>
        <w:rPr>
          <w:b/>
          <w:bCs/>
        </w:rPr>
        <w:t xml:space="preserve">ANDD lesson:</w:t>
      </w:r>
      <w:r>
        <w:t xml:space="preserve"> </w:t>
      </w:r>
      <w:r>
        <w:t xml:space="preserve">Location selection must be demand-driven, not deployer-driven. Enterprise-grade hardware with guaranteed uptime is non-negotiable for meaningful utilization. ANDD’s AI control plane selects node locations based on demand modeling, not where individuals happen to want to earn tokens.</w:t>
      </w:r>
    </w:p>
    <w:bookmarkEnd w:id="108"/>
    <w:bookmarkStart w:id="109" w:name="filecoin-storage"/>
    <w:p>
      <w:pPr>
        <w:pStyle w:val="Heading4"/>
      </w:pPr>
      <w:r>
        <w:t xml:space="preserve">Filecoin (Storage)</w:t>
      </w:r>
    </w:p>
    <w:p>
      <w:pPr>
        <w:pStyle w:val="FirstParagraph"/>
      </w:pPr>
      <w:r>
        <w:rPr>
          <w:b/>
          <w:bCs/>
        </w:rPr>
        <w:t xml:space="preserve">What worked:</w:t>
      </w:r>
      <w:r>
        <w:t xml:space="preserve"> </w:t>
      </w:r>
      <w:r>
        <w:t xml:space="preserve">Filecoin created a functioning decentralized storage market with over 22 exbibytes of raw storage capacity. The proof-of-replication and proof-of-spacetime mechanisms provide cryptographic verification that data is actually being stored. Enterprise adoption has grown through partnerships with Internet Archive and other large data stewards.</w:t>
      </w:r>
    </w:p>
    <w:p>
      <w:pPr>
        <w:pStyle w:val="BodyText"/>
      </w:pPr>
      <w:r>
        <w:rPr>
          <w:b/>
          <w:bCs/>
        </w:rPr>
        <w:t xml:space="preserve">What didn’t:</w:t>
      </w:r>
      <w:r>
        <w:t xml:space="preserve"> </w:t>
      </w:r>
      <w:r>
        <w:t xml:space="preserve">The vast majority of Filecoin storage is</w:t>
      </w:r>
      <w:r>
        <w:t xml:space="preserve"> </w:t>
      </w:r>
      <w:r>
        <w:t xml:space="preserve">“</w:t>
      </w:r>
      <w:r>
        <w:t xml:space="preserve">committed capacity</w:t>
      </w:r>
      <w:r>
        <w:t xml:space="preserve">”</w:t>
      </w:r>
      <w:r>
        <w:t xml:space="preserve"> </w:t>
      </w:r>
      <w:r>
        <w:t xml:space="preserve">— empty sectors sealed to earn block rewards with no actual customer data. The economics of the network have favored large, industrial-scale miners who can amortize the high hardware requirements (GPU for proving, large storage arrays), undermining the decentralization thesis. Retrieval speed has been inconsistent, making Filecoin unsuitable for latency-sensitive applications.</w:t>
      </w:r>
    </w:p>
    <w:p>
      <w:pPr>
        <w:pStyle w:val="BodyText"/>
      </w:pPr>
      <w:r>
        <w:rPr>
          <w:b/>
          <w:bCs/>
        </w:rPr>
        <w:t xml:space="preserve">ANDD lesson:</w:t>
      </w:r>
      <w:r>
        <w:t xml:space="preserve"> </w:t>
      </w:r>
      <w:r>
        <w:t xml:space="preserve">Storage incentives must be tied to actual utilization, not committed capacity. ANDD’s storage infrastructure serves real workloads (CDN caching, AI training data, enterprise backup) and measures revenue by data served, not capacity sealed. The distributed erasure coding across ANDD nodes provides Filecoin-like durability without the proving overhead.</w:t>
      </w:r>
    </w:p>
    <w:bookmarkEnd w:id="109"/>
    <w:bookmarkStart w:id="110" w:name="render-network-gpu-compute"/>
    <w:p>
      <w:pPr>
        <w:pStyle w:val="Heading4"/>
      </w:pPr>
      <w:r>
        <w:t xml:space="preserve">Render Network (GPU Compute)</w:t>
      </w:r>
    </w:p>
    <w:p>
      <w:pPr>
        <w:pStyle w:val="FirstParagraph"/>
      </w:pPr>
      <w:r>
        <w:rPr>
          <w:b/>
          <w:bCs/>
        </w:rPr>
        <w:t xml:space="preserve">What worked:</w:t>
      </w:r>
      <w:r>
        <w:t xml:space="preserve"> </w:t>
      </w:r>
      <w:r>
        <w:t xml:space="preserve">Render Network successfully aggregated idle GPU capacity for 3D rendering workloads, demonstrating that distributed GPU compute can serve real creative-industry demand. The migration from Ethereum to Solana improved settlement speed. The network has processed millions of rendering jobs.</w:t>
      </w:r>
    </w:p>
    <w:p>
      <w:pPr>
        <w:pStyle w:val="BodyText"/>
      </w:pPr>
      <w:r>
        <w:rPr>
          <w:b/>
          <w:bCs/>
        </w:rPr>
        <w:t xml:space="preserve">What didn’t:</w:t>
      </w:r>
      <w:r>
        <w:t xml:space="preserve"> </w:t>
      </w:r>
      <w:r>
        <w:t xml:space="preserve">GPU compute for AI inference and training requires dramatically different reliability guarantees than batch rendering. A dropped rendering frame can be re-queued; a dropped inference request in a real-time application causes user-facing failure. Render’s consumer-grade GPU providers (gaming PCs, workstations) cannot guarantee the sustained uptime, thermal management, or ECC memory that production AI workloads require.</w:t>
      </w:r>
    </w:p>
    <w:p>
      <w:pPr>
        <w:pStyle w:val="BodyText"/>
      </w:pPr>
      <w:r>
        <w:rPr>
          <w:b/>
          <w:bCs/>
        </w:rPr>
        <w:t xml:space="preserve">ANDD lesson:</w:t>
      </w:r>
      <w:r>
        <w:t xml:space="preserve"> </w:t>
      </w:r>
      <w:r>
        <w:t xml:space="preserve">GPU infrastructure for AI must be enterprise-grade: ECC memory, server-grade cooling, guaranteed power, and network redundancy. ANDD deploys datacenter GPUs (L40S, H100, MI300X) in purpose-built facilities, not desktop cards in apartments. DePIN projects building AI applications on ANDD get the reliability their end-users demand.</w:t>
      </w:r>
    </w:p>
    <w:bookmarkEnd w:id="110"/>
    <w:bookmarkStart w:id="111" w:name="akash-network-general-compute"/>
    <w:p>
      <w:pPr>
        <w:pStyle w:val="Heading4"/>
      </w:pPr>
      <w:r>
        <w:t xml:space="preserve">Akash Network (General Compute)</w:t>
      </w:r>
    </w:p>
    <w:p>
      <w:pPr>
        <w:pStyle w:val="FirstParagraph"/>
      </w:pPr>
      <w:r>
        <w:rPr>
          <w:b/>
          <w:bCs/>
        </w:rPr>
        <w:t xml:space="preserve">What worked:</w:t>
      </w:r>
      <w:r>
        <w:t xml:space="preserve"> </w:t>
      </w:r>
      <w:r>
        <w:t xml:space="preserve">Akash created a functioning decentralized compute marketplace where providers list available capacity and consumers bid for resources. The pricing model consistently undercuts major cloud providers by 70–85% for comparable configurations.</w:t>
      </w:r>
    </w:p>
    <w:p>
      <w:pPr>
        <w:pStyle w:val="BodyText"/>
      </w:pPr>
      <w:r>
        <w:rPr>
          <w:b/>
          <w:bCs/>
        </w:rPr>
        <w:t xml:space="preserve">What didn’t:</w:t>
      </w:r>
      <w:r>
        <w:t xml:space="preserve"> </w:t>
      </w:r>
      <w:r>
        <w:t xml:space="preserve">Provider reliability is inconsistent. Uptime guarantees are soft — there is no SLA enforcement mechanism that automatically compensates consumers for provider failures. Enterprise workloads (databases, stateful services, compliance-sensitive applications) require guarantees that a marketplace of anonymous providers cannot offer. Adoption has remained primarily among crypto-native users and cost-optimizing developers rather than mainstream enterprise.</w:t>
      </w:r>
    </w:p>
    <w:p>
      <w:pPr>
        <w:pStyle w:val="BodyText"/>
      </w:pPr>
      <w:r>
        <w:rPr>
          <w:b/>
          <w:bCs/>
        </w:rPr>
        <w:t xml:space="preserve">ANDD lesson:</w:t>
      </w:r>
      <w:r>
        <w:t xml:space="preserve"> </w:t>
      </w:r>
      <w:r>
        <w:t xml:space="preserve">A marketplace alone is insufficient. Enterprise customers need SLA guarantees backed by infrastructure, not reputation scores. ANDD’s smart contract SLAs (Section 10.4) and enterprise-grade facilities provide the trust layer that makes decentralized compute viable for regulated industries. Akash and similar projects can list ANDD capacity on their marketplaces, gaining reliable supply while ANDD gains demand aggregation.</w:t>
      </w:r>
    </w:p>
    <w:bookmarkEnd w:id="111"/>
    <w:bookmarkStart w:id="112" w:name="io.net-ai-compute-aggregation"/>
    <w:p>
      <w:pPr>
        <w:pStyle w:val="Heading4"/>
      </w:pPr>
      <w:r>
        <w:t xml:space="preserve">io.net (AI Compute Aggregation)</w:t>
      </w:r>
    </w:p>
    <w:p>
      <w:pPr>
        <w:pStyle w:val="FirstParagraph"/>
      </w:pPr>
      <w:r>
        <w:rPr>
          <w:b/>
          <w:bCs/>
        </w:rPr>
        <w:t xml:space="preserve">What worked:</w:t>
      </w:r>
      <w:r>
        <w:t xml:space="preserve"> </w:t>
      </w:r>
      <w:r>
        <w:t xml:space="preserve">io.net aggregated distributed GPU resources specifically for AI/ML workloads, including model training and inference. The platform’s clustering technology enables distributed GPUs to function as a coordinated compute pool.</w:t>
      </w:r>
    </w:p>
    <w:p>
      <w:pPr>
        <w:pStyle w:val="BodyText"/>
      </w:pPr>
      <w:r>
        <w:rPr>
          <w:b/>
          <w:bCs/>
        </w:rPr>
        <w:t xml:space="preserve">What didn’t:</w:t>
      </w:r>
      <w:r>
        <w:t xml:space="preserve"> </w:t>
      </w:r>
      <w:r>
        <w:t xml:space="preserve">Consumer GPUs contributing to the network introduce heterogeneity (different models, VRAM sizes, interconnect speeds) that makes workload scheduling unpredictable. Network latency between geographically dispersed consumer GPUs severely limits training efficiency for models requiring tight synchronization. The gap between benchmark performance and real-world production performance has been significant.</w:t>
      </w:r>
    </w:p>
    <w:p>
      <w:pPr>
        <w:pStyle w:val="BodyText"/>
      </w:pPr>
      <w:r>
        <w:rPr>
          <w:b/>
          <w:bCs/>
        </w:rPr>
        <w:t xml:space="preserve">ANDD lesson:</w:t>
      </w:r>
      <w:r>
        <w:t xml:space="preserve"> </w:t>
      </w:r>
      <w:r>
        <w:t xml:space="preserve">AI compute clustering works best with homogeneous, co-located hardware. Within each ANDD edge node, GPU racks are standardized and interconnected with high-bandwidth, low-latency fabric (NVLink within nodes, RoCE v2 across racks). Cross-site distributed training is supported for the regional hub tier where inter-hub bandwidth is sufficient, but not promised where physics makes it impractical.</w:t>
      </w:r>
    </w:p>
    <w:bookmarkEnd w:id="112"/>
    <w:bookmarkEnd w:id="113"/>
    <w:bookmarkStart w:id="114" w:name="the-enterprise-grade-gap"/>
    <w:p>
      <w:pPr>
        <w:pStyle w:val="Heading3"/>
      </w:pPr>
      <w:r>
        <w:t xml:space="preserve">10.3 The Enterprise-Grade Gap</w:t>
      </w:r>
    </w:p>
    <w:p>
      <w:pPr>
        <w:pStyle w:val="FirstParagraph"/>
      </w:pPr>
      <w:r>
        <w:t xml:space="preserve">The common thread across DePIN failures is the</w:t>
      </w:r>
      <w:r>
        <w:t xml:space="preserve"> </w:t>
      </w:r>
      <w:r>
        <w:rPr>
          <w:b/>
          <w:bCs/>
        </w:rPr>
        <w:t xml:space="preserve">enterprise-grade gap</w:t>
      </w:r>
      <w:r>
        <w:t xml:space="preserve">: the difference between consumer-contributed infrastructure and what commercial customers require.</w:t>
      </w:r>
    </w:p>
    <w:tbl>
      <w:tblPr>
        <w:tblStyle w:val="Table"/>
        <w:tblW w:type="pct" w:w="5000"/>
        <w:jc w:val="left"/>
        <w:tblLayout w:type="fixed"/>
        <w:tblLook w:firstRow="1" w:lastRow="0" w:firstColumn="0" w:lastColumn="0" w:noHBand="0" w:noVBand="0" w:val="0020"/>
      </w:tblPr>
      <w:tblGrid>
        <w:gridCol w:w="2722"/>
        <w:gridCol w:w="3712"/>
        <w:gridCol w:w="1485"/>
      </w:tblGrid>
      <w:tr>
        <w:trPr>
          <w:tblHeader w:val="on"/>
        </w:trPr>
        <w:tc>
          <w:tcPr/>
          <w:p>
            <w:pPr>
              <w:pStyle w:val="Compact"/>
              <w:jc w:val="left"/>
            </w:pPr>
            <w:r>
              <w:t xml:space="preserve">Dimension</w:t>
            </w:r>
          </w:p>
        </w:tc>
        <w:tc>
          <w:tcPr/>
          <w:p>
            <w:pPr>
              <w:pStyle w:val="Compact"/>
              <w:jc w:val="left"/>
            </w:pPr>
            <w:r>
              <w:t xml:space="preserve">Consumer DePIN</w:t>
            </w:r>
          </w:p>
        </w:tc>
        <w:tc>
          <w:tcPr/>
          <w:p>
            <w:pPr>
              <w:pStyle w:val="Compact"/>
              <w:jc w:val="left"/>
            </w:pPr>
            <w:r>
              <w:t xml:space="preserve">ANDD</w:t>
            </w:r>
          </w:p>
        </w:tc>
      </w:tr>
      <w:tr>
        <w:tc>
          <w:tcPr/>
          <w:p>
            <w:pPr>
              <w:pStyle w:val="Compact"/>
              <w:jc w:val="left"/>
            </w:pPr>
            <w:r>
              <w:t xml:space="preserve">Uptime</w:t>
            </w:r>
          </w:p>
        </w:tc>
        <w:tc>
          <w:tcPr/>
          <w:p>
            <w:pPr>
              <w:pStyle w:val="Compact"/>
              <w:jc w:val="left"/>
            </w:pPr>
            <w:r>
              <w:t xml:space="preserve">90–98% (best effort)</w:t>
            </w:r>
          </w:p>
        </w:tc>
        <w:tc>
          <w:tcPr/>
          <w:p>
            <w:pPr>
              <w:pStyle w:val="Compact"/>
              <w:jc w:val="left"/>
            </w:pPr>
            <w:r>
              <w:t xml:space="preserve">99.99% (SLA-backed)</w:t>
            </w:r>
          </w:p>
        </w:tc>
      </w:tr>
      <w:tr>
        <w:tc>
          <w:tcPr/>
          <w:p>
            <w:pPr>
              <w:pStyle w:val="Compact"/>
              <w:jc w:val="left"/>
            </w:pPr>
            <w:r>
              <w:t xml:space="preserve">Redundancy</w:t>
            </w:r>
          </w:p>
        </w:tc>
        <w:tc>
          <w:tcPr/>
          <w:p>
            <w:pPr>
              <w:pStyle w:val="Compact"/>
              <w:jc w:val="left"/>
            </w:pPr>
            <w:r>
              <w:t xml:space="preserve">None</w:t>
            </w:r>
          </w:p>
        </w:tc>
        <w:tc>
          <w:tcPr/>
          <w:p>
            <w:pPr>
              <w:pStyle w:val="Compact"/>
              <w:jc w:val="left"/>
            </w:pPr>
            <w:r>
              <w:t xml:space="preserve">N+1 power, cooling, network</w:t>
            </w:r>
          </w:p>
        </w:tc>
      </w:tr>
      <w:tr>
        <w:tc>
          <w:tcPr/>
          <w:p>
            <w:pPr>
              <w:pStyle w:val="Compact"/>
              <w:jc w:val="left"/>
            </w:pPr>
            <w:r>
              <w:t xml:space="preserve">Physical Security</w:t>
            </w:r>
          </w:p>
        </w:tc>
        <w:tc>
          <w:tcPr/>
          <w:p>
            <w:pPr>
              <w:pStyle w:val="Compact"/>
              <w:jc w:val="left"/>
            </w:pPr>
            <w:r>
              <w:t xml:space="preserve">None</w:t>
            </w:r>
          </w:p>
        </w:tc>
        <w:tc>
          <w:tcPr/>
          <w:p>
            <w:pPr>
              <w:pStyle w:val="Compact"/>
              <w:jc w:val="left"/>
            </w:pPr>
            <w:r>
              <w:t xml:space="preserve">Biometric access, surveillance, tamper-evident</w:t>
            </w:r>
          </w:p>
        </w:tc>
      </w:tr>
      <w:tr>
        <w:tc>
          <w:tcPr/>
          <w:p>
            <w:pPr>
              <w:pStyle w:val="Compact"/>
              <w:jc w:val="left"/>
            </w:pPr>
            <w:r>
              <w:t xml:space="preserve">Compliance</w:t>
            </w:r>
          </w:p>
        </w:tc>
        <w:tc>
          <w:tcPr/>
          <w:p>
            <w:pPr>
              <w:pStyle w:val="Compact"/>
              <w:jc w:val="left"/>
            </w:pPr>
            <w:r>
              <w:t xml:space="preserve">None</w:t>
            </w:r>
          </w:p>
        </w:tc>
        <w:tc>
          <w:tcPr/>
          <w:p>
            <w:pPr>
              <w:pStyle w:val="Compact"/>
              <w:jc w:val="left"/>
            </w:pPr>
            <w:r>
              <w:t xml:space="preserve">FedRAMP, SOC 2, HIPAA, CJIS paths</w:t>
            </w:r>
          </w:p>
        </w:tc>
      </w:tr>
      <w:tr>
        <w:tc>
          <w:tcPr/>
          <w:p>
            <w:pPr>
              <w:pStyle w:val="Compact"/>
              <w:jc w:val="left"/>
            </w:pPr>
            <w:r>
              <w:t xml:space="preserve">Power Quality</w:t>
            </w:r>
          </w:p>
        </w:tc>
        <w:tc>
          <w:tcPr/>
          <w:p>
            <w:pPr>
              <w:pStyle w:val="Compact"/>
              <w:jc w:val="left"/>
            </w:pPr>
            <w:r>
              <w:t xml:space="preserve">Residential (variable)</w:t>
            </w:r>
          </w:p>
        </w:tc>
        <w:tc>
          <w:tcPr/>
          <w:p>
            <w:pPr>
              <w:pStyle w:val="Compact"/>
              <w:jc w:val="left"/>
            </w:pPr>
            <w:r>
              <w:t xml:space="preserve">UPS-backed, conditioned, generator/BESS backup</w:t>
            </w:r>
          </w:p>
        </w:tc>
      </w:tr>
      <w:tr>
        <w:tc>
          <w:tcPr/>
          <w:p>
            <w:pPr>
              <w:pStyle w:val="Compact"/>
              <w:jc w:val="left"/>
            </w:pPr>
            <w:r>
              <w:t xml:space="preserve">Cooling</w:t>
            </w:r>
          </w:p>
        </w:tc>
        <w:tc>
          <w:tcPr/>
          <w:p>
            <w:pPr>
              <w:pStyle w:val="Compact"/>
              <w:jc w:val="left"/>
            </w:pPr>
            <w:r>
              <w:t xml:space="preserve">Ambient/consumer fans</w:t>
            </w:r>
          </w:p>
        </w:tc>
        <w:tc>
          <w:tcPr/>
          <w:p>
            <w:pPr>
              <w:pStyle w:val="Compact"/>
              <w:jc w:val="left"/>
            </w:pPr>
            <w:r>
              <w:t xml:space="preserve">DLC, precision cooling, AI-optimized</w:t>
            </w:r>
          </w:p>
        </w:tc>
      </w:tr>
      <w:tr>
        <w:tc>
          <w:tcPr/>
          <w:p>
            <w:pPr>
              <w:pStyle w:val="Compact"/>
              <w:jc w:val="left"/>
            </w:pPr>
            <w:r>
              <w:t xml:space="preserve">Connectivity</w:t>
            </w:r>
          </w:p>
        </w:tc>
        <w:tc>
          <w:tcPr/>
          <w:p>
            <w:pPr>
              <w:pStyle w:val="Compact"/>
              <w:jc w:val="left"/>
            </w:pPr>
            <w:r>
              <w:t xml:space="preserve">Residential broadband</w:t>
            </w:r>
          </w:p>
        </w:tc>
        <w:tc>
          <w:tcPr/>
          <w:p>
            <w:pPr>
              <w:pStyle w:val="Compact"/>
              <w:jc w:val="left"/>
            </w:pPr>
            <w:r>
              <w:t xml:space="preserve">Multi-provider, redundant, SLA-backed</w:t>
            </w:r>
          </w:p>
        </w:tc>
      </w:tr>
      <w:tr>
        <w:tc>
          <w:tcPr/>
          <w:p>
            <w:pPr>
              <w:pStyle w:val="Compact"/>
              <w:jc w:val="left"/>
            </w:pPr>
            <w:r>
              <w:t xml:space="preserve">Support</w:t>
            </w:r>
          </w:p>
        </w:tc>
        <w:tc>
          <w:tcPr/>
          <w:p>
            <w:pPr>
              <w:pStyle w:val="Compact"/>
              <w:jc w:val="left"/>
            </w:pPr>
            <w:r>
              <w:t xml:space="preserve">Community forums</w:t>
            </w:r>
          </w:p>
        </w:tc>
        <w:tc>
          <w:tcPr/>
          <w:p>
            <w:pPr>
              <w:pStyle w:val="Compact"/>
              <w:jc w:val="left"/>
            </w:pPr>
            <w:r>
              <w:t xml:space="preserve">AI-native 24/7 with human escalation</w:t>
            </w:r>
          </w:p>
        </w:tc>
      </w:tr>
      <w:tr>
        <w:tc>
          <w:tcPr/>
          <w:p>
            <w:pPr>
              <w:pStyle w:val="Compact"/>
              <w:jc w:val="left"/>
            </w:pPr>
            <w:r>
              <w:t xml:space="preserve">Data Sovereignty</w:t>
            </w:r>
          </w:p>
        </w:tc>
        <w:tc>
          <w:tcPr/>
          <w:p>
            <w:pPr>
              <w:pStyle w:val="Compact"/>
              <w:jc w:val="left"/>
            </w:pPr>
            <w:r>
              <w:t xml:space="preserve">Unknown/uncontrolled</w:t>
            </w:r>
          </w:p>
        </w:tc>
        <w:tc>
          <w:tcPr/>
          <w:p>
            <w:pPr>
              <w:pStyle w:val="Compact"/>
              <w:jc w:val="left"/>
            </w:pPr>
            <w:r>
              <w:t xml:space="preserve">Configurable per-tenant geographic restrictions</w:t>
            </w:r>
          </w:p>
        </w:tc>
      </w:tr>
    </w:tbl>
    <w:p>
      <w:pPr>
        <w:pStyle w:val="BodyText"/>
      </w:pPr>
      <w:r>
        <w:t xml:space="preserve">ANDD does not compete with DePIN projects — it</w:t>
      </w:r>
      <w:r>
        <w:t xml:space="preserve"> </w:t>
      </w:r>
      <w:r>
        <w:rPr>
          <w:b/>
          <w:bCs/>
        </w:rPr>
        <w:t xml:space="preserve">completes</w:t>
      </w:r>
      <w:r>
        <w:t xml:space="preserve"> </w:t>
      </w:r>
      <w:r>
        <w:t xml:space="preserve">them. Projects that need reliable physical infrastructure can deploy on ANDD rather than depending on consumer contributors. The DePIN tokenomics and demand aggregation work; the physical infrastructure layer needs upgrading.</w:t>
      </w:r>
    </w:p>
    <w:bookmarkEnd w:id="114"/>
    <w:bookmarkStart w:id="115" w:name="andd-as-depin-backbone"/>
    <w:p>
      <w:pPr>
        <w:pStyle w:val="Heading3"/>
      </w:pPr>
      <w:r>
        <w:t xml:space="preserve">10.4 ANDD as DePIN Backbone</w:t>
      </w:r>
    </w:p>
    <w:p>
      <w:pPr>
        <w:pStyle w:val="FirstParagraph"/>
      </w:pPr>
      <w:r>
        <w:t xml:space="preserve">ANDD positions itself as the physical infrastructure layer for the DePIN ecosystem:</w:t>
      </w:r>
    </w:p>
    <w:p>
      <w:pPr>
        <w:pStyle w:val="BodyText"/>
      </w:pPr>
      <w:r>
        <w:rPr>
          <w:b/>
          <w:bCs/>
        </w:rPr>
        <w:t xml:space="preserve">Diagram 11: ANDD as DePIN Backbone — Layered Architecture</w:t>
      </w:r>
    </w:p>
    <w:tbl>
      <w:tblPr>
        <w:tblStyle w:val="Table"/>
        <w:tblW w:type="pct" w:w="5000"/>
        <w:jc w:val="left"/>
        <w:tblLayout w:type="fixed"/>
        <w:tblLook w:firstRow="1" w:lastRow="0" w:firstColumn="0" w:lastColumn="0" w:noHBand="0" w:noVBand="0" w:val="0020"/>
      </w:tblPr>
      <w:tblGrid>
        <w:gridCol w:w="4337"/>
        <w:gridCol w:w="1320"/>
        <w:gridCol w:w="2262"/>
      </w:tblGrid>
      <w:tr>
        <w:trPr>
          <w:tblHeader w:val="on"/>
        </w:trPr>
        <w:tc>
          <w:tcPr/>
          <w:p>
            <w:pPr>
              <w:pStyle w:val="Compact"/>
              <w:jc w:val="left"/>
            </w:pPr>
            <w:r>
              <w:t xml:space="preserve">Layer (Top to Bottom)</w:t>
            </w:r>
          </w:p>
        </w:tc>
        <w:tc>
          <w:tcPr/>
          <w:p>
            <w:pPr>
              <w:pStyle w:val="Compact"/>
              <w:jc w:val="left"/>
            </w:pPr>
            <w:r>
              <w:t xml:space="preserve">Owner</w:t>
            </w:r>
          </w:p>
        </w:tc>
        <w:tc>
          <w:tcPr/>
          <w:p>
            <w:pPr>
              <w:pStyle w:val="Compact"/>
              <w:jc w:val="left"/>
            </w:pPr>
            <w:r>
              <w:t xml:space="preserve">Components</w:t>
            </w:r>
          </w:p>
        </w:tc>
      </w:tr>
      <w:tr>
        <w:tc>
          <w:tcPr/>
          <w:p>
            <w:pPr>
              <w:pStyle w:val="Compact"/>
              <w:jc w:val="left"/>
            </w:pPr>
            <w:r>
              <w:rPr>
                <w:b/>
                <w:bCs/>
              </w:rPr>
              <w:t xml:space="preserve">Layer 4: DePIN Application</w:t>
            </w:r>
          </w:p>
        </w:tc>
        <w:tc>
          <w:tcPr/>
          <w:p>
            <w:pPr>
              <w:pStyle w:val="Compact"/>
              <w:jc w:val="left"/>
            </w:pPr>
            <w:r>
              <w:t xml:space="preserve">DePIN Project</w:t>
            </w:r>
          </w:p>
        </w:tc>
        <w:tc>
          <w:tcPr/>
          <w:p>
            <w:pPr>
              <w:pStyle w:val="Compact"/>
              <w:jc w:val="left"/>
            </w:pPr>
            <w:r>
              <w:t xml:space="preserve">Helium 5G, Render, Akash, io.net, Filecoin, custom DePIN projects</w:t>
            </w:r>
          </w:p>
        </w:tc>
      </w:tr>
      <w:tr>
        <w:tc>
          <w:tcPr/>
          <w:p>
            <w:pPr>
              <w:pStyle w:val="Compact"/>
              <w:jc w:val="left"/>
            </w:pPr>
            <w:r>
              <w:rPr>
                <w:b/>
                <w:bCs/>
              </w:rPr>
              <w:t xml:space="preserve">Layer 3: DePIN Protocol</w:t>
            </w:r>
          </w:p>
        </w:tc>
        <w:tc>
          <w:tcPr/>
          <w:p>
            <w:pPr>
              <w:pStyle w:val="Compact"/>
              <w:jc w:val="left"/>
            </w:pPr>
            <w:r>
              <w:t xml:space="preserve">DePIN Project</w:t>
            </w:r>
          </w:p>
        </w:tc>
        <w:tc>
          <w:tcPr/>
          <w:p>
            <w:pPr>
              <w:pStyle w:val="Compact"/>
              <w:jc w:val="left"/>
            </w:pPr>
            <w:r>
              <w:t xml:space="preserve">Token incentives, proof mechanisms, marketplace matching, governance</w:t>
            </w:r>
          </w:p>
        </w:tc>
      </w:tr>
      <w:tr>
        <w:tc>
          <w:tcPr/>
          <w:p>
            <w:pPr>
              <w:pStyle w:val="Compact"/>
              <w:jc w:val="left"/>
            </w:pPr>
            <w:r>
              <w:rPr>
                <w:b/>
                <w:bCs/>
              </w:rPr>
              <w:t xml:space="preserve">Layer 2: ANDD Physical Infrastructure</w:t>
            </w:r>
          </w:p>
        </w:tc>
        <w:tc>
          <w:tcPr/>
          <w:p>
            <w:pPr>
              <w:pStyle w:val="Compact"/>
              <w:jc w:val="left"/>
            </w:pPr>
            <w:r>
              <w:t xml:space="preserve">ANDD</w:t>
            </w:r>
          </w:p>
        </w:tc>
        <w:tc>
          <w:tcPr/>
          <w:p>
            <w:pPr>
              <w:pStyle w:val="Compact"/>
              <w:jc w:val="left"/>
            </w:pPr>
            <w:r>
              <w:t xml:space="preserve">Enterprise-grade compute, storage, GPU, connectivity across distributed edge sites</w:t>
            </w:r>
          </w:p>
        </w:tc>
      </w:tr>
      <w:tr>
        <w:tc>
          <w:tcPr/>
          <w:p>
            <w:pPr>
              <w:pStyle w:val="Compact"/>
              <w:jc w:val="left"/>
            </w:pPr>
            <w:r>
              <w:rPr>
                <w:b/>
                <w:bCs/>
              </w:rPr>
              <w:t xml:space="preserve">Layer 1: ANDD AI Operations</w:t>
            </w:r>
          </w:p>
        </w:tc>
        <w:tc>
          <w:tcPr/>
          <w:p>
            <w:pPr>
              <w:pStyle w:val="Compact"/>
              <w:jc w:val="left"/>
            </w:pPr>
            <w:r>
              <w:t xml:space="preserve">ANDD</w:t>
            </w:r>
          </w:p>
        </w:tc>
        <w:tc>
          <w:tcPr/>
          <w:p>
            <w:pPr>
              <w:pStyle w:val="Compact"/>
              <w:jc w:val="left"/>
            </w:pPr>
            <w:r>
              <w:t xml:space="preserve">Autonomous provisioning, SLA enforcement, billing, maintenance</w:t>
            </w:r>
          </w:p>
        </w:tc>
      </w:tr>
    </w:tbl>
    <w:p>
      <w:pPr>
        <w:pStyle w:val="BodyText"/>
      </w:pPr>
      <w:r>
        <w:rPr>
          <w:i/>
          <w:iCs/>
        </w:rPr>
        <w:t xml:space="preserve">DePIN projects own Layers 3–4 (protocol + application). ANDD owns Layers 1–2 (physical infrastructure + AI operations). This separation of concerns allows DePIN teams to focus on innovation rather than hardware management.</w:t>
      </w:r>
    </w:p>
    <w:p>
      <w:pPr>
        <w:pStyle w:val="BodyText"/>
      </w:pPr>
      <w:r>
        <w:rPr>
          <w:b/>
          <w:bCs/>
        </w:rPr>
        <w:t xml:space="preserve">Integration model:</w:t>
      </w:r>
      <w:r>
        <w:t xml:space="preserve"> </w:t>
      </w:r>
      <w:r>
        <w:t xml:space="preserve">DePIN projects deploy on ANDD through standard APIs. ANDD handles the physical infrastructure; the DePIN project handles the protocol, tokenomics, and application layers. This separation of concerns allows DePIN teams to focus on their core innovation rather than managing hardware.</w:t>
      </w:r>
    </w:p>
    <w:bookmarkEnd w:id="115"/>
    <w:bookmarkStart w:id="116" w:name="X1eb57c22e0bc7d0884f4e4dccb826826e82b901"/>
    <w:p>
      <w:pPr>
        <w:pStyle w:val="Heading3"/>
      </w:pPr>
      <w:r>
        <w:t xml:space="preserve">10.5 Pressure Test: Why ANDD Succeeds Where Others Struggle</w:t>
      </w:r>
    </w:p>
    <w:tbl>
      <w:tblPr>
        <w:tblStyle w:val="Table"/>
        <w:tblW w:type="pct" w:w="5000"/>
        <w:jc w:val="left"/>
        <w:tblLayout w:type="fixed"/>
        <w:tblLook w:firstRow="1" w:lastRow="0" w:firstColumn="0" w:lastColumn="0" w:noHBand="0" w:noVBand="0" w:val="0020"/>
      </w:tblPr>
      <w:tblGrid>
        <w:gridCol w:w="1708"/>
        <w:gridCol w:w="2795"/>
        <w:gridCol w:w="3416"/>
      </w:tblGrid>
      <w:tr>
        <w:trPr>
          <w:tblHeader w:val="on"/>
        </w:trPr>
        <w:tc>
          <w:tcPr/>
          <w:p>
            <w:pPr>
              <w:pStyle w:val="Compact"/>
              <w:jc w:val="left"/>
            </w:pPr>
            <w:r>
              <w:t xml:space="preserve">Challenge</w:t>
            </w:r>
          </w:p>
        </w:tc>
        <w:tc>
          <w:tcPr/>
          <w:p>
            <w:pPr>
              <w:pStyle w:val="Compact"/>
              <w:jc w:val="left"/>
            </w:pPr>
            <w:r>
              <w:t xml:space="preserve">How Others Failed</w:t>
            </w:r>
          </w:p>
        </w:tc>
        <w:tc>
          <w:tcPr/>
          <w:p>
            <w:pPr>
              <w:pStyle w:val="Compact"/>
              <w:jc w:val="left"/>
            </w:pPr>
            <w:r>
              <w:t xml:space="preserve">How ANDD Addresses It</w:t>
            </w:r>
          </w:p>
        </w:tc>
      </w:tr>
      <w:tr>
        <w:tc>
          <w:tcPr/>
          <w:p>
            <w:pPr>
              <w:pStyle w:val="Compact"/>
              <w:jc w:val="left"/>
            </w:pPr>
            <w:r>
              <w:t xml:space="preserve">Location selection</w:t>
            </w:r>
          </w:p>
        </w:tc>
        <w:tc>
          <w:tcPr/>
          <w:p>
            <w:pPr>
              <w:pStyle w:val="Compact"/>
              <w:jc w:val="left"/>
            </w:pPr>
            <w:r>
              <w:t xml:space="preserve">Deployer-driven (incentive gaming)</w:t>
            </w:r>
          </w:p>
        </w:tc>
        <w:tc>
          <w:tcPr/>
          <w:p>
            <w:pPr>
              <w:pStyle w:val="Compact"/>
              <w:jc w:val="left"/>
            </w:pPr>
            <w:r>
              <w:t xml:space="preserve">AI-driven demand modeling</w:t>
            </w:r>
          </w:p>
        </w:tc>
      </w:tr>
      <w:tr>
        <w:tc>
          <w:tcPr/>
          <w:p>
            <w:pPr>
              <w:pStyle w:val="Compact"/>
              <w:jc w:val="left"/>
            </w:pPr>
            <w:r>
              <w:t xml:space="preserve">Hardware reliability</w:t>
            </w:r>
          </w:p>
        </w:tc>
        <w:tc>
          <w:tcPr/>
          <w:p>
            <w:pPr>
              <w:pStyle w:val="Compact"/>
              <w:jc w:val="left"/>
            </w:pPr>
            <w:r>
              <w:t xml:space="preserve">Consumer-grade, unmanaged</w:t>
            </w:r>
          </w:p>
        </w:tc>
        <w:tc>
          <w:tcPr/>
          <w:p>
            <w:pPr>
              <w:pStyle w:val="Compact"/>
              <w:jc w:val="left"/>
            </w:pPr>
            <w:r>
              <w:t xml:space="preserve">Enterprise-grade, AI-monitored</w:t>
            </w:r>
          </w:p>
        </w:tc>
      </w:tr>
      <w:tr>
        <w:tc>
          <w:tcPr/>
          <w:p>
            <w:pPr>
              <w:pStyle w:val="Compact"/>
              <w:jc w:val="left"/>
            </w:pPr>
            <w:r>
              <w:t xml:space="preserve">Utilization</w:t>
            </w:r>
          </w:p>
        </w:tc>
        <w:tc>
          <w:tcPr/>
          <w:p>
            <w:pPr>
              <w:pStyle w:val="Compact"/>
              <w:jc w:val="left"/>
            </w:pPr>
            <w:r>
              <w:t xml:space="preserve">Supply/demand mismatch</w:t>
            </w:r>
          </w:p>
        </w:tc>
        <w:tc>
          <w:tcPr/>
          <w:p>
            <w:pPr>
              <w:pStyle w:val="Compact"/>
              <w:jc w:val="left"/>
            </w:pPr>
            <w:r>
              <w:t xml:space="preserve">Capacity planning by AI control plane</w:t>
            </w:r>
          </w:p>
        </w:tc>
      </w:tr>
      <w:tr>
        <w:tc>
          <w:tcPr/>
          <w:p>
            <w:pPr>
              <w:pStyle w:val="Compact"/>
              <w:jc w:val="left"/>
            </w:pPr>
            <w:r>
              <w:t xml:space="preserve">Operational cost</w:t>
            </w:r>
          </w:p>
        </w:tc>
        <w:tc>
          <w:tcPr/>
          <w:p>
            <w:pPr>
              <w:pStyle w:val="Compact"/>
              <w:jc w:val="left"/>
            </w:pPr>
            <w:r>
              <w:t xml:space="preserve">Too high for small sites</w:t>
            </w:r>
          </w:p>
        </w:tc>
        <w:tc>
          <w:tcPr/>
          <w:p>
            <w:pPr>
              <w:pStyle w:val="Compact"/>
              <w:jc w:val="left"/>
            </w:pPr>
            <w:r>
              <w:t xml:space="preserve">AI-native operations (1 human per 20-50 nodes)</w:t>
            </w:r>
          </w:p>
        </w:tc>
      </w:tr>
      <w:tr>
        <w:tc>
          <w:tcPr/>
          <w:p>
            <w:pPr>
              <w:pStyle w:val="Compact"/>
              <w:jc w:val="left"/>
            </w:pPr>
            <w:r>
              <w:t xml:space="preserve">SLA enforcement</w:t>
            </w:r>
          </w:p>
        </w:tc>
        <w:tc>
          <w:tcPr/>
          <w:p>
            <w:pPr>
              <w:pStyle w:val="Compact"/>
              <w:jc w:val="left"/>
            </w:pPr>
            <w:r>
              <w:t xml:space="preserve">Reputation-based, no recourse</w:t>
            </w:r>
          </w:p>
        </w:tc>
        <w:tc>
          <w:tcPr/>
          <w:p>
            <w:pPr>
              <w:pStyle w:val="Compact"/>
              <w:jc w:val="left"/>
            </w:pPr>
            <w:r>
              <w:t xml:space="preserve">Smart contract SLAs with automatic credits</w:t>
            </w:r>
          </w:p>
        </w:tc>
      </w:tr>
      <w:tr>
        <w:tc>
          <w:tcPr/>
          <w:p>
            <w:pPr>
              <w:pStyle w:val="Compact"/>
              <w:jc w:val="left"/>
            </w:pPr>
            <w:r>
              <w:t xml:space="preserve">Regulatory compliance</w:t>
            </w:r>
          </w:p>
        </w:tc>
        <w:tc>
          <w:tcPr/>
          <w:p>
            <w:pPr>
              <w:pStyle w:val="Compact"/>
              <w:jc w:val="left"/>
            </w:pPr>
            <w:r>
              <w:t xml:space="preserve">Largely ignored</w:t>
            </w:r>
          </w:p>
        </w:tc>
        <w:tc>
          <w:tcPr/>
          <w:p>
            <w:pPr>
              <w:pStyle w:val="Compact"/>
              <w:jc w:val="left"/>
            </w:pPr>
            <w:r>
              <w:t xml:space="preserve">Built-in compliance paths (FedRAMP, SOC 2, etc.)</w:t>
            </w:r>
          </w:p>
        </w:tc>
      </w:tr>
      <w:tr>
        <w:tc>
          <w:tcPr/>
          <w:p>
            <w:pPr>
              <w:pStyle w:val="Compact"/>
              <w:jc w:val="left"/>
            </w:pPr>
            <w:r>
              <w:t xml:space="preserve">Token value sustainability</w:t>
            </w:r>
          </w:p>
        </w:tc>
        <w:tc>
          <w:tcPr/>
          <w:p>
            <w:pPr>
              <w:pStyle w:val="Compact"/>
              <w:jc w:val="left"/>
            </w:pPr>
            <w:r>
              <w:t xml:space="preserve">Speculation-driven</w:t>
            </w:r>
          </w:p>
        </w:tc>
        <w:tc>
          <w:tcPr/>
          <w:p>
            <w:pPr>
              <w:pStyle w:val="Compact"/>
              <w:jc w:val="left"/>
            </w:pPr>
            <w:r>
              <w:t xml:space="preserve">Utility-driven (real revenue from real customers)</w:t>
            </w:r>
          </w:p>
        </w:tc>
      </w:tr>
      <w:tr>
        <w:tc>
          <w:tcPr/>
          <w:p>
            <w:pPr>
              <w:pStyle w:val="Compact"/>
              <w:jc w:val="left"/>
            </w:pPr>
            <w:r>
              <w:t xml:space="preserve">Energy resilience</w:t>
            </w:r>
          </w:p>
        </w:tc>
        <w:tc>
          <w:tcPr/>
          <w:p>
            <w:pPr>
              <w:pStyle w:val="Compact"/>
              <w:jc w:val="left"/>
            </w:pPr>
            <w:r>
              <w:t xml:space="preserve">Grid-dependent</w:t>
            </w:r>
          </w:p>
        </w:tc>
        <w:tc>
          <w:tcPr/>
          <w:p>
            <w:pPr>
              <w:pStyle w:val="Compact"/>
              <w:jc w:val="left"/>
            </w:pPr>
            <w:r>
              <w:t xml:space="preserve">Microgrid, BESS, solar, fuel cell options</w:t>
            </w:r>
          </w:p>
        </w:tc>
      </w:tr>
      <w:tr>
        <w:tc>
          <w:tcPr/>
          <w:p>
            <w:pPr>
              <w:pStyle w:val="Compact"/>
              <w:jc w:val="left"/>
            </w:pPr>
            <w:r>
              <w:t xml:space="preserve">Network effects</w:t>
            </w:r>
          </w:p>
        </w:tc>
        <w:tc>
          <w:tcPr/>
          <w:p>
            <w:pPr>
              <w:pStyle w:val="Compact"/>
              <w:jc w:val="left"/>
            </w:pPr>
            <w:r>
              <w:t xml:space="preserve">Weak (isolated nodes)</w:t>
            </w:r>
          </w:p>
        </w:tc>
        <w:tc>
          <w:tcPr/>
          <w:p>
            <w:pPr>
              <w:pStyle w:val="Compact"/>
              <w:jc w:val="left"/>
            </w:pPr>
            <w:r>
              <w:t xml:space="preserve">Strong (mesh fabric, cross-site services)</w:t>
            </w:r>
          </w:p>
        </w:tc>
      </w:tr>
    </w:tbl>
    <w:p>
      <w:r>
        <w:pict>
          <v:rect style="width:0;height:1.5pt" o:hralign="center" o:hrstd="t" o:hr="t"/>
        </w:pict>
      </w:r>
    </w:p>
    <w:bookmarkEnd w:id="116"/>
    <w:bookmarkEnd w:id="117"/>
    <w:bookmarkStart w:id="122" w:name="opportunity-zone-alignment"/>
    <w:p>
      <w:pPr>
        <w:pStyle w:val="Heading2"/>
      </w:pPr>
      <w:r>
        <w:t xml:space="preserve">12. Opportunity Zone Alignment</w:t>
      </w:r>
    </w:p>
    <w:bookmarkStart w:id="118" w:name="strategic-rationale"/>
    <w:p>
      <w:pPr>
        <w:pStyle w:val="Heading3"/>
      </w:pPr>
      <w:r>
        <w:t xml:space="preserve">11.1 Strategic Rationale</w:t>
      </w:r>
    </w:p>
    <w:p>
      <w:pPr>
        <w:pStyle w:val="FirstParagraph"/>
      </w:pPr>
      <w:r>
        <w:t xml:space="preserve">ANDD’s deployment strategy is deliberately aligned with federally designated Opportunity Zones (OZs) — 8,764 census tracts identified as economically distressed communities. This alignment is not merely a tax optimization strategy; it is fundamental to the ANDD thesis that compute infrastructure should be deployed where it creates maximum community impact.</w:t>
      </w:r>
    </w:p>
    <w:bookmarkEnd w:id="118"/>
    <w:bookmarkStart w:id="119" w:name="tax-incentive-structure"/>
    <w:p>
      <w:pPr>
        <w:pStyle w:val="Heading3"/>
      </w:pPr>
      <w:r>
        <w:t xml:space="preserve">11.2 Tax Incentive Structure</w:t>
      </w:r>
    </w:p>
    <w:p>
      <w:pPr>
        <w:pStyle w:val="FirstParagraph"/>
      </w:pPr>
      <w:r>
        <w:t xml:space="preserve">The Opportunity Zone program, made permanent by the One Big Beautiful Bill Act of 2025, provides three tiers of tax benefit for Qualified Opportunity Fund (QOF) investments:</w:t>
      </w:r>
    </w:p>
    <w:p>
      <w:pPr>
        <w:pStyle w:val="BodyText"/>
      </w:pPr>
      <w:r>
        <w:rPr>
          <w:b/>
          <w:bCs/>
        </w:rPr>
        <w:t xml:space="preserve">Tier 1 — Capital Gains Deferral.</w:t>
      </w:r>
      <w:r>
        <w:t xml:space="preserve"> </w:t>
      </w:r>
      <w:r>
        <w:t xml:space="preserve">Investors can defer tax on eligible capital gains by reinvesting into a QOF within a rolling 5-year window. This defers the tax liability, not the recognition — the original gain is eventually taxed at the end of the deferral period or upon disposition.</w:t>
      </w:r>
    </w:p>
    <w:p>
      <w:pPr>
        <w:pStyle w:val="BodyText"/>
      </w:pPr>
      <w:r>
        <w:rPr>
          <w:b/>
          <w:bCs/>
        </w:rPr>
        <w:t xml:space="preserve">Tier 2 — Basis Step-Up.</w:t>
      </w:r>
      <w:r>
        <w:t xml:space="preserve"> </w:t>
      </w:r>
      <w:r>
        <w:t xml:space="preserve">Investments held for 5+ years receive a 10% step-up in basis on the original deferred gain (reducing the eventual tax on the deferred gain by 10%). Investments in designated rural Opportunity Zones through Qualified Rural Opportunity Funds can receive up to a 30% step-up — a significant enhancement for ANDD’s rural edge nodes.</w:t>
      </w:r>
    </w:p>
    <w:p>
      <w:pPr>
        <w:pStyle w:val="BodyText"/>
      </w:pPr>
      <w:r>
        <w:rPr>
          <w:b/>
          <w:bCs/>
        </w:rPr>
        <w:t xml:space="preserve">Tier 3 — 10-Year Exclusion.</w:t>
      </w:r>
      <w:r>
        <w:t xml:space="preserve"> </w:t>
      </w:r>
      <w:r>
        <w:t xml:space="preserve">The most powerful incentive: investments held for 10+ years pay</w:t>
      </w:r>
      <w:r>
        <w:t xml:space="preserve"> </w:t>
      </w:r>
      <w:r>
        <w:rPr>
          <w:b/>
          <w:bCs/>
        </w:rPr>
        <w:t xml:space="preserve">zero federal capital gains tax on all appreciation</w:t>
      </w:r>
      <w:r>
        <w:t xml:space="preserve"> </w:t>
      </w:r>
      <w:r>
        <w:t xml:space="preserve">of the new investment. For infrastructure assets like datacenters that appreciate in value as the network grows and utilization increases, this represents substantial tax savings.</w:t>
      </w:r>
    </w:p>
    <w:bookmarkEnd w:id="119"/>
    <w:bookmarkStart w:id="120" w:name="andd-oz-economic-model"/>
    <w:p>
      <w:pPr>
        <w:pStyle w:val="Heading3"/>
      </w:pPr>
      <w:r>
        <w:t xml:space="preserve">11.3 ANDD-OZ Economic Model</w:t>
      </w:r>
    </w:p>
    <w:p>
      <w:pPr>
        <w:pStyle w:val="FirstParagraph"/>
      </w:pPr>
      <w:r>
        <w:rPr>
          <w:b/>
          <w:bCs/>
        </w:rPr>
        <w:t xml:space="preserve">Per-site community impact (200kW edge node):</w:t>
      </w:r>
    </w:p>
    <w:tbl>
      <w:tblPr>
        <w:tblStyle w:val="Table"/>
        <w:tblW w:type="pct" w:w="5000"/>
        <w:jc w:val="left"/>
        <w:tblLayout w:type="fixed"/>
        <w:tblLook w:firstRow="1" w:lastRow="0" w:firstColumn="0" w:lastColumn="0" w:noHBand="0" w:noVBand="0" w:val="0020"/>
      </w:tblPr>
      <w:tblGrid>
        <w:gridCol w:w="4873"/>
        <w:gridCol w:w="3046"/>
      </w:tblGrid>
      <w:tr>
        <w:trPr>
          <w:tblHeader w:val="on"/>
        </w:trPr>
        <w:tc>
          <w:tcPr/>
          <w:p>
            <w:pPr>
              <w:pStyle w:val="Compact"/>
              <w:jc w:val="left"/>
            </w:pPr>
            <w:r>
              <w:t xml:space="preserve">Impact Category</w:t>
            </w:r>
          </w:p>
        </w:tc>
        <w:tc>
          <w:tcPr/>
          <w:p>
            <w:pPr>
              <w:pStyle w:val="Compact"/>
              <w:jc w:val="left"/>
            </w:pPr>
            <w:r>
              <w:t xml:space="preserve">Estimate</w:t>
            </w:r>
          </w:p>
        </w:tc>
      </w:tr>
      <w:tr>
        <w:tc>
          <w:tcPr/>
          <w:p>
            <w:pPr>
              <w:pStyle w:val="Compact"/>
              <w:jc w:val="left"/>
            </w:pPr>
            <w:r>
              <w:t xml:space="preserve">Construction jobs</w:t>
            </w:r>
          </w:p>
        </w:tc>
        <w:tc>
          <w:tcPr/>
          <w:p>
            <w:pPr>
              <w:pStyle w:val="Compact"/>
              <w:jc w:val="left"/>
            </w:pPr>
            <w:r>
              <w:t xml:space="preserve">15–30 (6–12 month build)</w:t>
            </w:r>
          </w:p>
        </w:tc>
      </w:tr>
      <w:tr>
        <w:tc>
          <w:tcPr/>
          <w:p>
            <w:pPr>
              <w:pStyle w:val="Compact"/>
              <w:jc w:val="left"/>
            </w:pPr>
            <w:r>
              <w:t xml:space="preserve">Permanent operations jobs</w:t>
            </w:r>
          </w:p>
        </w:tc>
        <w:tc>
          <w:tcPr/>
          <w:p>
            <w:pPr>
              <w:pStyle w:val="Compact"/>
              <w:jc w:val="left"/>
            </w:pPr>
            <w:r>
              <w:t xml:space="preserve">1–3 (technicians, supplemented by AI)</w:t>
            </w:r>
          </w:p>
        </w:tc>
      </w:tr>
      <w:tr>
        <w:tc>
          <w:tcPr/>
          <w:p>
            <w:pPr>
              <w:pStyle w:val="Compact"/>
              <w:jc w:val="left"/>
            </w:pPr>
            <w:r>
              <w:t xml:space="preserve">Annual property tax revenue</w:t>
            </w:r>
          </w:p>
        </w:tc>
        <w:tc>
          <w:tcPr/>
          <w:p>
            <w:pPr>
              <w:pStyle w:val="Compact"/>
              <w:jc w:val="left"/>
            </w:pPr>
            <w:r>
              <w:t xml:space="preserve">$50,000–$150,000</w:t>
            </w:r>
          </w:p>
        </w:tc>
      </w:tr>
      <w:tr>
        <w:tc>
          <w:tcPr/>
          <w:p>
            <w:pPr>
              <w:pStyle w:val="Compact"/>
              <w:jc w:val="left"/>
            </w:pPr>
            <w:r>
              <w:t xml:space="preserve">Annual utility revenue to local provider</w:t>
            </w:r>
          </w:p>
        </w:tc>
        <w:tc>
          <w:tcPr/>
          <w:p>
            <w:pPr>
              <w:pStyle w:val="Compact"/>
              <w:jc w:val="left"/>
            </w:pPr>
            <w:r>
              <w:t xml:space="preserve">$150,000–$300,000</w:t>
            </w:r>
          </w:p>
        </w:tc>
      </w:tr>
      <w:tr>
        <w:tc>
          <w:tcPr/>
          <w:p>
            <w:pPr>
              <w:pStyle w:val="Compact"/>
              <w:jc w:val="left"/>
            </w:pPr>
            <w:r>
              <w:t xml:space="preserve">Indirect economic impact (multiplier)</w:t>
            </w:r>
          </w:p>
        </w:tc>
        <w:tc>
          <w:tcPr/>
          <w:p>
            <w:pPr>
              <w:pStyle w:val="Compact"/>
              <w:jc w:val="left"/>
            </w:pPr>
            <w:r>
              <w:t xml:space="preserve">1.5–2.0x direct spending</w:t>
            </w:r>
          </w:p>
        </w:tc>
      </w:tr>
      <w:tr>
        <w:tc>
          <w:tcPr/>
          <w:p>
            <w:pPr>
              <w:pStyle w:val="Compact"/>
              <w:jc w:val="left"/>
            </w:pPr>
            <w:r>
              <w:t xml:space="preserve">Digital infrastructure benefit</w:t>
            </w:r>
          </w:p>
        </w:tc>
        <w:tc>
          <w:tcPr/>
          <w:p>
            <w:pPr>
              <w:pStyle w:val="Compact"/>
              <w:jc w:val="left"/>
            </w:pPr>
            <w:r>
              <w:t xml:space="preserve">Gigabit connectivity, AI capabilities, edge compute for community</w:t>
            </w:r>
          </w:p>
        </w:tc>
      </w:tr>
    </w:tbl>
    <w:p>
      <w:pPr>
        <w:pStyle w:val="BodyText"/>
      </w:pPr>
      <w:r>
        <w:rPr>
          <w:b/>
          <w:bCs/>
        </w:rPr>
        <w:t xml:space="preserve">Investor return model:</w:t>
      </w:r>
    </w:p>
    <w:p>
      <w:pPr>
        <w:pStyle w:val="BodyText"/>
      </w:pPr>
      <w:r>
        <w:t xml:space="preserve">A QOF investing in ANDD edge nodes acquires assets that:</w:t>
      </w:r>
      <w:r>
        <w:t xml:space="preserve"> </w:t>
      </w:r>
      <w:r>
        <w:t xml:space="preserve">- Generate revenue from Year 1 (infrastructure services)</w:t>
      </w:r>
      <w:r>
        <w:t xml:space="preserve"> </w:t>
      </w:r>
      <w:r>
        <w:t xml:space="preserve">- Appreciate as the network grows and utilization increases</w:t>
      </w:r>
      <w:r>
        <w:t xml:space="preserve"> </w:t>
      </w:r>
      <w:r>
        <w:t xml:space="preserve">- Qualify for the 10-year exclusion on all appreciation</w:t>
      </w:r>
      <w:r>
        <w:t xml:space="preserve"> </w:t>
      </w:r>
      <w:r>
        <w:t xml:space="preserve">- Align naturally with the 10-year hold requirement (datacenter infrastructure has 15–20 year useful life)</w:t>
      </w:r>
      <w:r>
        <w:t xml:space="preserve"> </w:t>
      </w:r>
      <w:r>
        <w:t xml:space="preserve">- Provide current income through lease/revenue sharing during the hold period</w:t>
      </w:r>
    </w:p>
    <w:bookmarkEnd w:id="120"/>
    <w:bookmarkStart w:id="121" w:name="bridging-the-digital-divide"/>
    <w:p>
      <w:pPr>
        <w:pStyle w:val="Heading3"/>
      </w:pPr>
      <w:r>
        <w:t xml:space="preserve">11.4 Bridging the Digital Divide</w:t>
      </w:r>
    </w:p>
    <w:p>
      <w:pPr>
        <w:pStyle w:val="FirstParagraph"/>
      </w:pPr>
      <w:r>
        <w:t xml:space="preserve">Many Opportunity Zone communities lack basic digital infrastructure — reliable broadband, local compute, access to AI capabilities. ANDD edge nodes directly address this by:</w:t>
      </w:r>
    </w:p>
    <w:p>
      <w:pPr>
        <w:pStyle w:val="Compact"/>
        <w:numPr>
          <w:ilvl w:val="0"/>
          <w:numId w:val="1018"/>
        </w:numPr>
      </w:pPr>
      <w:r>
        <w:rPr>
          <w:b/>
          <w:bCs/>
        </w:rPr>
        <w:t xml:space="preserve">Providing carrier-grade connectivity infrastructure</w:t>
      </w:r>
      <w:r>
        <w:t xml:space="preserve"> </w:t>
      </w:r>
      <w:r>
        <w:t xml:space="preserve">that local ISPs can interconnect with</w:t>
      </w:r>
    </w:p>
    <w:p>
      <w:pPr>
        <w:pStyle w:val="Compact"/>
        <w:numPr>
          <w:ilvl w:val="0"/>
          <w:numId w:val="1018"/>
        </w:numPr>
      </w:pPr>
      <w:r>
        <w:rPr>
          <w:b/>
          <w:bCs/>
        </w:rPr>
        <w:t xml:space="preserve">Hosting community-facing services</w:t>
      </w:r>
      <w:r>
        <w:t xml:space="preserve"> </w:t>
      </w:r>
      <w:r>
        <w:t xml:space="preserve">(municipal applications, telemedicine endpoints, educational platforms) at minimal latency</w:t>
      </w:r>
    </w:p>
    <w:p>
      <w:pPr>
        <w:pStyle w:val="Compact"/>
        <w:numPr>
          <w:ilvl w:val="0"/>
          <w:numId w:val="1018"/>
        </w:numPr>
      </w:pPr>
      <w:r>
        <w:rPr>
          <w:b/>
          <w:bCs/>
        </w:rPr>
        <w:t xml:space="preserve">Enabling workforce development</w:t>
      </w:r>
      <w:r>
        <w:t xml:space="preserve"> </w:t>
      </w:r>
      <w:r>
        <w:t xml:space="preserve">— local technicians trained to maintain ANDD facilities gain transferable skills in datacenter operations, networking, and AI infrastructure</w:t>
      </w:r>
    </w:p>
    <w:p>
      <w:pPr>
        <w:pStyle w:val="Compact"/>
        <w:numPr>
          <w:ilvl w:val="0"/>
          <w:numId w:val="1018"/>
        </w:numPr>
      </w:pPr>
      <w:r>
        <w:rPr>
          <w:b/>
          <w:bCs/>
        </w:rPr>
        <w:t xml:space="preserve">Creating an anchor tenant</w:t>
      </w:r>
      <w:r>
        <w:t xml:space="preserve"> </w:t>
      </w:r>
      <w:r>
        <w:t xml:space="preserve">for further commercial development in the OZ</w:t>
      </w:r>
    </w:p>
    <w:p>
      <w:r>
        <w:pict>
          <v:rect style="width:0;height:1.5pt" o:hralign="center" o:hrstd="t" o:hr="t"/>
        </w:pict>
      </w:r>
    </w:p>
    <w:bookmarkEnd w:id="121"/>
    <w:bookmarkEnd w:id="122"/>
    <w:bookmarkStart w:id="133" w:name="Xdf72b0bbd5534ed725d0435c774dda3d80b56bd"/>
    <w:p>
      <w:pPr>
        <w:pStyle w:val="Heading2"/>
      </w:pPr>
      <w:r>
        <w:t xml:space="preserve">13. Okopipi Integration: Network-Native Consensus for AI-Managed Infrastructure</w:t>
      </w:r>
    </w:p>
    <w:bookmarkStart w:id="123" w:name="X0bba342110692d5d1d674b42a7f40ba6df37c1d"/>
    <w:p>
      <w:pPr>
        <w:pStyle w:val="Heading3"/>
      </w:pPr>
      <w:r>
        <w:t xml:space="preserve">13.1 Why ANDD Needs a Network-Native Blockchain</w:t>
      </w:r>
    </w:p>
    <w:p>
      <w:pPr>
        <w:pStyle w:val="FirstParagraph"/>
      </w:pPr>
      <w:r>
        <w:t xml:space="preserve">Sections 5 and 10 of this whitepaper describe ANDD’s software platform and payment architecture respectively — event-driven telemetry, AI agent actuation, smart contract SLAs, micro-transactions, and multi-chain settlement. These systems currently depend on a combination of traditional databases (CockroachDB for transactional state), external blockchains (Solana, Ethereum L2 for crypto settlement), and custom consensus (BFT protocol for control plane coordination).</w:t>
      </w:r>
    </w:p>
    <w:p>
      <w:pPr>
        <w:pStyle w:val="BodyText"/>
      </w:pPr>
      <w:r>
        <w:t xml:space="preserve">This creates three architectural tensions:</w:t>
      </w:r>
    </w:p>
    <w:p>
      <w:pPr>
        <w:pStyle w:val="BodyText"/>
      </w:pPr>
      <w:r>
        <w:rPr>
          <w:b/>
          <w:bCs/>
        </w:rPr>
        <w:t xml:space="preserve">Tension 1: External blockchain dependency undermines sovereignty.</w:t>
      </w:r>
      <w:r>
        <w:t xml:space="preserve"> </w:t>
      </w:r>
      <w:r>
        <w:t xml:space="preserve">ANDD’s core thesis is infrastructure independence — yet its crypto payment rails depend on Solana’s validators, Ethereum’s gas market, and L2 sequencers that ANDD does not control. A Solana outage disrupts ANDD’s DePIN settlement. An Ethereum gas spike makes micro-transactions uneconomical. This is a sovereignty gap.</w:t>
      </w:r>
    </w:p>
    <w:p>
      <w:pPr>
        <w:pStyle w:val="BodyText"/>
      </w:pPr>
      <w:r>
        <w:rPr>
          <w:b/>
          <w:bCs/>
        </w:rPr>
        <w:t xml:space="preserve">Tension 2: Traditional blockchains assume stable networks.</w:t>
      </w:r>
      <w:r>
        <w:t xml:space="preserve"> </w:t>
      </w:r>
      <w:r>
        <w:t xml:space="preserve">Every blockchain ANDD could integrate with — Ethereum, Solana, Cosmos, Avalanche — is a Layer 7 application-layer overlay that relies on gossip protocols, centralized RPC gateways, and full-block propagation. These architectures assume symmetric connectivity and stable point-to-point links. ANDD’s mesh network operates in environments where these assumptions fail: degraded backhaul, asymmetric partitions (a rural node losing its primary fiber while retaining LEO satellite), and contested networks where adversaries may control routing infrastructure. A consensus layer that breaks under partition is incompatible with infrastructure designed for wartime-grade resilience.</w:t>
      </w:r>
    </w:p>
    <w:p>
      <w:pPr>
        <w:pStyle w:val="BodyText"/>
      </w:pPr>
      <w:r>
        <w:rPr>
          <w:b/>
          <w:bCs/>
        </w:rPr>
        <w:t xml:space="preserve">Tension 3: Application-layer consensus cannot leverage ANDD’s network fabric.</w:t>
      </w:r>
      <w:r>
        <w:t xml:space="preserve"> </w:t>
      </w:r>
      <w:r>
        <w:t xml:space="preserve">ANDD invests heavily in a sophisticated mesh network — BIER-capable routers, segment routing (SRv6), multicast-capable switches, software-defined networking. Traditional blockchains cannot use any of this. They build their own overlay networks on top, duplicating routing intelligence and wasting the very infrastructure ANDD provides.</w:t>
      </w:r>
    </w:p>
    <w:p>
      <w:pPr>
        <w:pStyle w:val="BodyText"/>
      </w:pPr>
      <w:r>
        <w:rPr>
          <w:b/>
          <w:bCs/>
        </w:rPr>
        <w:t xml:space="preserve">Okopipi resolves all three tensions</w:t>
      </w:r>
      <w:r>
        <w:t xml:space="preserve"> </w:t>
      </w:r>
      <w:r>
        <w:t xml:space="preserve">by integrating consensus directly into the network fabric at Layers 2 and 3, eliminating external blockchain dependencies, and operating natively on ANDD’s mesh topology.</w:t>
      </w:r>
    </w:p>
    <w:bookmarkEnd w:id="123"/>
    <w:bookmarkStart w:id="124" w:name="okopipi-architecture-summary"/>
    <w:p>
      <w:pPr>
        <w:pStyle w:val="Heading3"/>
      </w:pPr>
      <w:r>
        <w:t xml:space="preserve">13.2 Okopipi Architecture Summary</w:t>
      </w:r>
    </w:p>
    <w:p>
      <w:pPr>
        <w:pStyle w:val="FirstParagraph"/>
      </w:pPr>
      <w:r>
        <w:t xml:space="preserve">Okopipi (Venable, 2026) is a network-first agentic blockchain designed for environments where reliability, privacy, fairness, and wartime-grade resilience are mandatory. Its core innovation is relocating consensus from Layer 7 application overlays into the Layer 2/3 network fabric itself.</w:t>
      </w:r>
    </w:p>
    <w:p>
      <w:pPr>
        <w:pStyle w:val="BodyText"/>
      </w:pPr>
      <w:r>
        <w:rPr>
          <w:b/>
          <w:bCs/>
        </w:rPr>
        <w:t xml:space="preserve">Key architectural properties relevant to ANDD:</w:t>
      </w:r>
    </w:p>
    <w:tbl>
      <w:tblPr>
        <w:tblStyle w:val="Table"/>
        <w:tblW w:type="pct" w:w="5000"/>
        <w:jc w:val="left"/>
        <w:tblLayout w:type="fixed"/>
        <w:tblLook w:firstRow="1" w:lastRow="0" w:firstColumn="0" w:lastColumn="0" w:noHBand="0" w:noVBand="0" w:val="0020"/>
      </w:tblPr>
      <w:tblGrid>
        <w:gridCol w:w="1721"/>
        <w:gridCol w:w="2926"/>
        <w:gridCol w:w="3271"/>
      </w:tblGrid>
      <w:tr>
        <w:trPr>
          <w:tblHeader w:val="on"/>
        </w:trPr>
        <w:tc>
          <w:tcPr/>
          <w:p>
            <w:pPr>
              <w:pStyle w:val="Compact"/>
              <w:jc w:val="left"/>
            </w:pPr>
            <w:r>
              <w:t xml:space="preserve">Property</w:t>
            </w:r>
          </w:p>
        </w:tc>
        <w:tc>
          <w:tcPr/>
          <w:p>
            <w:pPr>
              <w:pStyle w:val="Compact"/>
              <w:jc w:val="left"/>
            </w:pPr>
            <w:r>
              <w:t xml:space="preserve">Okopipi Approach</w:t>
            </w:r>
          </w:p>
        </w:tc>
        <w:tc>
          <w:tcPr/>
          <w:p>
            <w:pPr>
              <w:pStyle w:val="Compact"/>
              <w:jc w:val="left"/>
            </w:pPr>
            <w:r>
              <w:t xml:space="preserve">Relevance to ANDD</w:t>
            </w:r>
          </w:p>
        </w:tc>
      </w:tr>
      <w:tr>
        <w:tc>
          <w:tcPr/>
          <w:p>
            <w:pPr>
              <w:pStyle w:val="Compact"/>
              <w:jc w:val="left"/>
            </w:pPr>
            <w:r>
              <w:t xml:space="preserve">Consensus integration</w:t>
            </w:r>
          </w:p>
        </w:tc>
        <w:tc>
          <w:tcPr/>
          <w:p>
            <w:pPr>
              <w:pStyle w:val="Compact"/>
              <w:jc w:val="left"/>
            </w:pPr>
            <w:r>
              <w:t xml:space="preserve">Layer 2/3 network fabric via BIER multicast</w:t>
            </w:r>
          </w:p>
        </w:tc>
        <w:tc>
          <w:tcPr/>
          <w:p>
            <w:pPr>
              <w:pStyle w:val="Compact"/>
              <w:jc w:val="left"/>
            </w:pPr>
            <w:r>
              <w:t xml:space="preserve">Runs natively on ANDD’s mesh routers — no overlay overhead</w:t>
            </w:r>
          </w:p>
        </w:tc>
      </w:tr>
      <w:tr>
        <w:tc>
          <w:tcPr/>
          <w:p>
            <w:pPr>
              <w:pStyle w:val="Compact"/>
              <w:jc w:val="left"/>
            </w:pPr>
            <w:r>
              <w:t xml:space="preserve">Mempool elimination</w:t>
            </w:r>
          </w:p>
        </w:tc>
        <w:tc>
          <w:tcPr/>
          <w:p>
            <w:pPr>
              <w:pStyle w:val="Compact"/>
              <w:jc w:val="left"/>
            </w:pPr>
            <w:r>
              <w:t xml:space="preserve">Encrypted end-to-end transactions → execution quorums → header-only consensus</w:t>
            </w:r>
          </w:p>
        </w:tc>
        <w:tc>
          <w:tcPr/>
          <w:p>
            <w:pPr>
              <w:pStyle w:val="Compact"/>
              <w:jc w:val="left"/>
            </w:pPr>
            <w:r>
              <w:t xml:space="preserve">Prevents MEV, censorship, and unfair ordering in ANDD’s financial operations</w:t>
            </w:r>
          </w:p>
        </w:tc>
      </w:tr>
      <w:tr>
        <w:tc>
          <w:tcPr/>
          <w:p>
            <w:pPr>
              <w:pStyle w:val="Compact"/>
              <w:jc w:val="left"/>
            </w:pPr>
            <w:r>
              <w:t xml:space="preserve">Block propagation</w:t>
            </w:r>
          </w:p>
        </w:tc>
        <w:tc>
          <w:tcPr/>
          <w:p>
            <w:pPr>
              <w:pStyle w:val="Compact"/>
              <w:jc w:val="left"/>
            </w:pPr>
            <w:r>
              <w:t xml:space="preserve">MTU-sized head announces on fast path; full blocks materialized asynchronously</w:t>
            </w:r>
          </w:p>
        </w:tc>
        <w:tc>
          <w:tcPr/>
          <w:p>
            <w:pPr>
              <w:pStyle w:val="Compact"/>
              <w:jc w:val="left"/>
            </w:pPr>
            <w:r>
              <w:t xml:space="preserve">Consensus remains lightweight even on bandwidth-constrained rural edge nodes</w:t>
            </w:r>
          </w:p>
        </w:tc>
      </w:tr>
      <w:tr>
        <w:tc>
          <w:tcPr/>
          <w:p>
            <w:pPr>
              <w:pStyle w:val="Compact"/>
              <w:jc w:val="left"/>
            </w:pPr>
            <w:r>
              <w:t xml:space="preserve">Partition resilience</w:t>
            </w:r>
          </w:p>
        </w:tc>
        <w:tc>
          <w:tcPr/>
          <w:p>
            <w:pPr>
              <w:pStyle w:val="Compact"/>
              <w:jc w:val="left"/>
            </w:pPr>
            <w:r>
              <w:t xml:space="preserve">View-aware routing; continued operation under asymmetric partitions; PQ epoch checkpoints for resynchronization</w:t>
            </w:r>
          </w:p>
        </w:tc>
        <w:tc>
          <w:tcPr/>
          <w:p>
            <w:pPr>
              <w:pStyle w:val="Compact"/>
              <w:jc w:val="left"/>
            </w:pPr>
            <w:r>
              <w:t xml:space="preserve">ANDD nodes continue transacting during backhaul outages, fiber cuts, and grid emergencies</w:t>
            </w:r>
          </w:p>
        </w:tc>
      </w:tr>
      <w:tr>
        <w:tc>
          <w:tcPr/>
          <w:p>
            <w:pPr>
              <w:pStyle w:val="Compact"/>
              <w:jc w:val="left"/>
            </w:pPr>
            <w:r>
              <w:t xml:space="preserve">Privacy-preserving execution</w:t>
            </w:r>
          </w:p>
        </w:tc>
        <w:tc>
          <w:tcPr/>
          <w:p>
            <w:pPr>
              <w:pStyle w:val="Compact"/>
              <w:jc w:val="left"/>
            </w:pPr>
            <w:r>
              <w:t xml:space="preserve">Transactions execute in isolated containers by VRF-selected quorums; only proofs enter consensus</w:t>
            </w:r>
          </w:p>
        </w:tc>
        <w:tc>
          <w:tcPr/>
          <w:p>
            <w:pPr>
              <w:pStyle w:val="Compact"/>
              <w:jc w:val="left"/>
            </w:pPr>
            <w:r>
              <w:t xml:space="preserve">Commercially sensitive usage data, billing records, and tenant operations stay private</w:t>
            </w:r>
          </w:p>
        </w:tc>
      </w:tr>
      <w:tr>
        <w:tc>
          <w:tcPr/>
          <w:p>
            <w:pPr>
              <w:pStyle w:val="Compact"/>
              <w:jc w:val="left"/>
            </w:pPr>
            <w:r>
              <w:t xml:space="preserve">Selective disclosure</w:t>
            </w:r>
          </w:p>
        </w:tc>
        <w:tc>
          <w:tcPr/>
          <w:p>
            <w:pPr>
              <w:pStyle w:val="Compact"/>
              <w:jc w:val="left"/>
            </w:pPr>
            <w:r>
              <w:t xml:space="preserve">Reflection layer exposes human-readable schemas for authorized data</w:t>
            </w:r>
          </w:p>
        </w:tc>
        <w:tc>
          <w:tcPr/>
          <w:p>
            <w:pPr>
              <w:pStyle w:val="Compact"/>
              <w:jc w:val="left"/>
            </w:pPr>
            <w:r>
              <w:t xml:space="preserve">Government customers get regulatory transparency without compromising tenant privacy</w:t>
            </w:r>
          </w:p>
        </w:tc>
      </w:tr>
      <w:tr>
        <w:tc>
          <w:tcPr/>
          <w:p>
            <w:pPr>
              <w:pStyle w:val="Compact"/>
              <w:jc w:val="left"/>
            </w:pPr>
            <w:r>
              <w:t xml:space="preserve">AI-native introspection</w:t>
            </w:r>
          </w:p>
        </w:tc>
        <w:tc>
          <w:tcPr/>
          <w:p>
            <w:pPr>
              <w:pStyle w:val="Compact"/>
              <w:jc w:val="left"/>
            </w:pPr>
            <w:r>
              <w:t xml:space="preserve">Machine-navigable schemas and contract interfaces</w:t>
            </w:r>
          </w:p>
        </w:tc>
        <w:tc>
          <w:tcPr/>
          <w:p>
            <w:pPr>
              <w:pStyle w:val="Compact"/>
              <w:jc w:val="left"/>
            </w:pPr>
            <w:r>
              <w:t xml:space="preserve">ANDD’s AI agents can directly read chain state, reason about contracts, and generate correct transactions</w:t>
            </w:r>
          </w:p>
        </w:tc>
      </w:tr>
      <w:tr>
        <w:tc>
          <w:tcPr/>
          <w:p>
            <w:pPr>
              <w:pStyle w:val="Compact"/>
              <w:jc w:val="left"/>
            </w:pPr>
            <w:r>
              <w:t xml:space="preserve">Governance</w:t>
            </w:r>
          </w:p>
        </w:tc>
        <w:tc>
          <w:tcPr/>
          <w:p>
            <w:pPr>
              <w:pStyle w:val="Compact"/>
              <w:jc w:val="left"/>
            </w:pPr>
            <w:r>
              <w:t xml:space="preserve">Proof-of-Stochastic Network (PoSN) — validator seats as operational permits, not stake-weighted votes</w:t>
            </w:r>
          </w:p>
        </w:tc>
        <w:tc>
          <w:tcPr/>
          <w:p>
            <w:pPr>
              <w:pStyle w:val="Compact"/>
              <w:jc w:val="left"/>
            </w:pPr>
            <w:r>
              <w:t xml:space="preserve">Prevents plutocratic capture; validators are infrastructure operators, not token accumulators</w:t>
            </w:r>
          </w:p>
        </w:tc>
      </w:tr>
      <w:tr>
        <w:tc>
          <w:tcPr/>
          <w:p>
            <w:pPr>
              <w:pStyle w:val="Compact"/>
              <w:jc w:val="left"/>
            </w:pPr>
            <w:r>
              <w:t xml:space="preserve">Heterogeneous nodes</w:t>
            </w:r>
          </w:p>
        </w:tc>
        <w:tc>
          <w:tcPr/>
          <w:p>
            <w:pPr>
              <w:pStyle w:val="Compact"/>
              <w:jc w:val="left"/>
            </w:pPr>
            <w:r>
              <w:t xml:space="preserve">Supports full archive nodes through IoT-scale light clients</w:t>
            </w:r>
          </w:p>
        </w:tc>
        <w:tc>
          <w:tcPr/>
          <w:p>
            <w:pPr>
              <w:pStyle w:val="Compact"/>
              <w:jc w:val="left"/>
            </w:pPr>
            <w:r>
              <w:t xml:space="preserve">ANDD edge nodes run full validators; constrained IoT devices at ANDD sites run light clients</w:t>
            </w:r>
          </w:p>
        </w:tc>
      </w:tr>
      <w:tr>
        <w:tc>
          <w:tcPr/>
          <w:p>
            <w:pPr>
              <w:pStyle w:val="Compact"/>
              <w:jc w:val="left"/>
            </w:pPr>
            <w:r>
              <w:t xml:space="preserve">Post-quantum readiness</w:t>
            </w:r>
          </w:p>
        </w:tc>
        <w:tc>
          <w:tcPr/>
          <w:p>
            <w:pPr>
              <w:pStyle w:val="Compact"/>
              <w:jc w:val="left"/>
            </w:pPr>
            <w:r>
              <w:t xml:space="preserve">PQ epoch checkpoints; modular cryptographic design</w:t>
            </w:r>
          </w:p>
        </w:tc>
        <w:tc>
          <w:tcPr/>
          <w:p>
            <w:pPr>
              <w:pStyle w:val="Compact"/>
              <w:jc w:val="left"/>
            </w:pPr>
            <w:r>
              <w:t xml:space="preserve">Future-proofs ANDD’s settlement layer against quantum computing threats</w:t>
            </w:r>
          </w:p>
        </w:tc>
      </w:tr>
    </w:tbl>
    <w:bookmarkEnd w:id="124"/>
    <w:bookmarkStart w:id="125" w:name="mapping-okopipi-to-andds-topology"/>
    <w:p>
      <w:pPr>
        <w:pStyle w:val="Heading3"/>
      </w:pPr>
      <w:r>
        <w:t xml:space="preserve">13.3 Mapping Okopipi to ANDD’s Topology</w:t>
      </w:r>
    </w:p>
    <w:p>
      <w:pPr>
        <w:pStyle w:val="FirstParagraph"/>
      </w:pPr>
      <w:r>
        <w:t xml:space="preserve">Okopipi’s dual BIER domain architecture maps directly to ANDD’s three-tier mesh:</w:t>
      </w:r>
    </w:p>
    <w:p>
      <w:pPr>
        <w:pStyle w:val="BodyText"/>
      </w:pPr>
      <w:r>
        <w:rPr>
          <w:b/>
          <w:bCs/>
        </w:rPr>
        <w:t xml:space="preserve">Consensus Domain (C-domain) → ANDD Regional Hubs.</w:t>
      </w:r>
      <w:r>
        <w:t xml:space="preserve"> </w:t>
      </w:r>
      <w:r>
        <w:t xml:space="preserve">Okopipi’s C-domain contains exactly m² consensus-capable nodes arranged in a logical grid for the f-masking quorum construction. ANDD regional hubs — with their high-bandwidth interconnections, training-class GPUs, and concentrated compute — are the natural C-nodes. A network of 9–25 regional hubs provides a C-domain of 9–25 consensus nodes, sufficient for the BLA grid quorum with strong adversarial guarantees.</w:t>
      </w:r>
    </w:p>
    <w:p>
      <w:pPr>
        <w:pStyle w:val="BodyText"/>
      </w:pPr>
      <w:r>
        <w:rPr>
          <w:b/>
          <w:bCs/>
        </w:rPr>
        <w:t xml:space="preserve">Routing Domains (R-domains) → ANDD Edge Node Clusters.</w:t>
      </w:r>
      <w:r>
        <w:t xml:space="preserve"> </w:t>
      </w:r>
      <w:r>
        <w:t xml:space="preserve">Okopipi’s R-domains provide topology-aware forwarding without participating in consensus. Each ANDD regional hub’s cluster of 5–15 edge nodes maps to an R-domain. Edge nodes serve as routing nodes (R-nodes): they forward consensus messages, maintain view-aware routing tables, and run light or partial validators — but they do not need to execute the full BLA protocol. This preserves the f-masking grid’s mathematical guarantees while enabling the network to span hundreds of geographically distributed edge locations.</w:t>
      </w:r>
    </w:p>
    <w:p>
      <w:pPr>
        <w:pStyle w:val="BodyText"/>
      </w:pPr>
      <w:r>
        <w:rPr>
          <w:b/>
          <w:bCs/>
        </w:rPr>
        <w:t xml:space="preserve">BIER Multicast → ANDD Mesh Fabric.</w:t>
      </w:r>
      <w:r>
        <w:t xml:space="preserve"> </w:t>
      </w:r>
      <w:r>
        <w:t xml:space="preserve">Okopipi’s consensus messages are MTU-sized and disseminated via BIER multicast. ANDD’s leaf-spine fabric and inter-node mesh links are BIER-capable by design (SONiC and modern switch ASICs support BIER natively). Consensus traffic flows through the same physical infrastructure as customer data — but on separate BIER subdomains — eliminating the overhead of a separate gossip overlay.</w:t>
      </w:r>
    </w:p>
    <w:tbl>
      <w:tblPr>
        <w:tblStyle w:val="Table"/>
        <w:tblW w:type="pct" w:w="5000"/>
        <w:jc w:val="left"/>
        <w:tblLayout w:type="fixed"/>
        <w:tblLook w:firstRow="1" w:lastRow="0" w:firstColumn="0" w:lastColumn="0" w:noHBand="0" w:noVBand="0" w:val="0020"/>
      </w:tblPr>
      <w:tblGrid>
        <w:gridCol w:w="1742"/>
        <w:gridCol w:w="2059"/>
        <w:gridCol w:w="2059"/>
        <w:gridCol w:w="2059"/>
      </w:tblGrid>
      <w:tr>
        <w:trPr>
          <w:tblHeader w:val="on"/>
        </w:trPr>
        <w:tc>
          <w:tcPr/>
          <w:p>
            <w:pPr>
              <w:pStyle w:val="Compact"/>
              <w:jc w:val="left"/>
            </w:pPr>
            <w:r>
              <w:t xml:space="preserve">ANDD Tier</w:t>
            </w:r>
          </w:p>
        </w:tc>
        <w:tc>
          <w:tcPr/>
          <w:p>
            <w:pPr>
              <w:pStyle w:val="Compact"/>
              <w:jc w:val="left"/>
            </w:pPr>
            <w:r>
              <w:t xml:space="preserve">Okopipi Role</w:t>
            </w:r>
          </w:p>
        </w:tc>
        <w:tc>
          <w:tcPr/>
          <w:p>
            <w:pPr>
              <w:pStyle w:val="Compact"/>
              <w:jc w:val="left"/>
            </w:pPr>
            <w:r>
              <w:t xml:space="preserve">BIER Domain</w:t>
            </w:r>
          </w:p>
        </w:tc>
        <w:tc>
          <w:tcPr/>
          <w:p>
            <w:pPr>
              <w:pStyle w:val="Compact"/>
              <w:jc w:val="left"/>
            </w:pPr>
            <w:r>
              <w:t xml:space="preserve">Capabilities</w:t>
            </w:r>
          </w:p>
        </w:tc>
      </w:tr>
      <w:tr>
        <w:tc>
          <w:tcPr/>
          <w:p>
            <w:pPr>
              <w:pStyle w:val="Compact"/>
              <w:jc w:val="left"/>
            </w:pPr>
            <w:r>
              <w:t xml:space="preserve">Regional Hub</w:t>
            </w:r>
          </w:p>
        </w:tc>
        <w:tc>
          <w:tcPr/>
          <w:p>
            <w:pPr>
              <w:pStyle w:val="Compact"/>
              <w:jc w:val="left"/>
            </w:pPr>
            <w:r>
              <w:t xml:space="preserve">C-node (consensus + execution)</w:t>
            </w:r>
          </w:p>
        </w:tc>
        <w:tc>
          <w:tcPr/>
          <w:p>
            <w:pPr>
              <w:pStyle w:val="Compact"/>
              <w:jc w:val="left"/>
            </w:pPr>
            <w:r>
              <w:t xml:space="preserve">C-domain</w:t>
            </w:r>
          </w:p>
        </w:tc>
        <w:tc>
          <w:tcPr/>
          <w:p>
            <w:pPr>
              <w:pStyle w:val="Compact"/>
              <w:jc w:val="left"/>
            </w:pPr>
            <w:r>
              <w:t xml:space="preserve">Full BLA participation, block production, execution quorum hosting, archive node</w:t>
            </w:r>
          </w:p>
        </w:tc>
      </w:tr>
      <w:tr>
        <w:tc>
          <w:tcPr/>
          <w:p>
            <w:pPr>
              <w:pStyle w:val="Compact"/>
              <w:jc w:val="left"/>
            </w:pPr>
            <w:r>
              <w:t xml:space="preserve">Edge Node (500kW)</w:t>
            </w:r>
          </w:p>
        </w:tc>
        <w:tc>
          <w:tcPr/>
          <w:p>
            <w:pPr>
              <w:pStyle w:val="Compact"/>
              <w:jc w:val="left"/>
            </w:pPr>
            <w:r>
              <w:t xml:space="preserve">R-node + partial validator</w:t>
            </w:r>
          </w:p>
        </w:tc>
        <w:tc>
          <w:tcPr/>
          <w:p>
            <w:pPr>
              <w:pStyle w:val="Compact"/>
              <w:jc w:val="left"/>
            </w:pPr>
            <w:r>
              <w:t xml:space="preserve">R-domain</w:t>
            </w:r>
          </w:p>
        </w:tc>
        <w:tc>
          <w:tcPr/>
          <w:p>
            <w:pPr>
              <w:pStyle w:val="Compact"/>
              <w:jc w:val="left"/>
            </w:pPr>
            <w:r>
              <w:t xml:space="preserve">Routing, view-aware forwarding, light validation, execution quorum for local contracts</w:t>
            </w:r>
          </w:p>
        </w:tc>
      </w:tr>
      <w:tr>
        <w:tc>
          <w:tcPr/>
          <w:p>
            <w:pPr>
              <w:pStyle w:val="Compact"/>
              <w:jc w:val="left"/>
            </w:pPr>
            <w:r>
              <w:t xml:space="preserve">Edge Node (200kW)</w:t>
            </w:r>
          </w:p>
        </w:tc>
        <w:tc>
          <w:tcPr/>
          <w:p>
            <w:pPr>
              <w:pStyle w:val="Compact"/>
              <w:jc w:val="left"/>
            </w:pPr>
            <w:r>
              <w:t xml:space="preserve">R-node + light client</w:t>
            </w:r>
          </w:p>
        </w:tc>
        <w:tc>
          <w:tcPr/>
          <w:p>
            <w:pPr>
              <w:pStyle w:val="Compact"/>
              <w:jc w:val="left"/>
            </w:pPr>
            <w:r>
              <w:t xml:space="preserve">R-domain</w:t>
            </w:r>
          </w:p>
        </w:tc>
        <w:tc>
          <w:tcPr/>
          <w:p>
            <w:pPr>
              <w:pStyle w:val="Compact"/>
              <w:jc w:val="left"/>
            </w:pPr>
            <w:r>
              <w:t xml:space="preserve">Routing, forwarding, selective data materialization, header verification</w:t>
            </w:r>
          </w:p>
        </w:tc>
      </w:tr>
      <w:tr>
        <w:tc>
          <w:tcPr/>
          <w:p>
            <w:pPr>
              <w:pStyle w:val="Compact"/>
              <w:jc w:val="left"/>
            </w:pPr>
            <w:r>
              <w:t xml:space="preserve">IoT / constrained device</w:t>
            </w:r>
          </w:p>
        </w:tc>
        <w:tc>
          <w:tcPr/>
          <w:p>
            <w:pPr>
              <w:pStyle w:val="Compact"/>
              <w:jc w:val="left"/>
            </w:pPr>
            <w:r>
              <w:t xml:space="preserve">Light client</w:t>
            </w:r>
          </w:p>
        </w:tc>
        <w:tc>
          <w:tcPr/>
          <w:p>
            <w:pPr>
              <w:pStyle w:val="Compact"/>
              <w:jc w:val="left"/>
            </w:pPr>
            <w:r>
              <w:t xml:space="preserve">—</w:t>
            </w:r>
          </w:p>
        </w:tc>
        <w:tc>
          <w:tcPr/>
          <w:p>
            <w:pPr>
              <w:pStyle w:val="Compact"/>
              <w:jc w:val="left"/>
            </w:pPr>
            <w:r>
              <w:t xml:space="preserve">Header-only verification, selective receipt fetching</w:t>
            </w:r>
          </w:p>
        </w:tc>
      </w:tr>
    </w:tbl>
    <w:bookmarkEnd w:id="125"/>
    <w:bookmarkStart w:id="131" w:name="integration-points"/>
    <w:p>
      <w:pPr>
        <w:pStyle w:val="Heading3"/>
      </w:pPr>
      <w:r>
        <w:t xml:space="preserve">13.4 Integration Points</w:t>
      </w:r>
    </w:p>
    <w:bookmarkStart w:id="126" w:name="Xfe155be5092d0a4346fb5c1024ad8402278fe72"/>
    <w:p>
      <w:pPr>
        <w:pStyle w:val="Heading4"/>
      </w:pPr>
      <w:r>
        <w:t xml:space="preserve">13.4.1 Replacing External Settlement with Native Consensus</w:t>
      </w:r>
    </w:p>
    <w:p>
      <w:pPr>
        <w:pStyle w:val="FirstParagraph"/>
      </w:pPr>
      <w:r>
        <w:t xml:space="preserve">ANDD’s payment architecture (Section 10) currently relies on external blockchains for crypto settlement:</w:t>
      </w:r>
    </w:p>
    <w:tbl>
      <w:tblPr>
        <w:tblStyle w:val="Table"/>
        <w:tblW w:type="pct" w:w="5000"/>
        <w:jc w:val="left"/>
        <w:tblLayout w:type="fixed"/>
        <w:tblLook w:firstRow="1" w:lastRow="0" w:firstColumn="0" w:lastColumn="0" w:noHBand="0" w:noVBand="0" w:val="0020"/>
      </w:tblPr>
      <w:tblGrid>
        <w:gridCol w:w="3198"/>
        <w:gridCol w:w="4721"/>
      </w:tblGrid>
      <w:tr>
        <w:trPr>
          <w:tblHeader w:val="on"/>
        </w:trPr>
        <w:tc>
          <w:tcPr/>
          <w:p>
            <w:pPr>
              <w:pStyle w:val="Compact"/>
              <w:jc w:val="left"/>
            </w:pPr>
            <w:r>
              <w:t xml:space="preserve">Current Architecture</w:t>
            </w:r>
          </w:p>
        </w:tc>
        <w:tc>
          <w:tcPr/>
          <w:p>
            <w:pPr>
              <w:pStyle w:val="Compact"/>
              <w:jc w:val="left"/>
            </w:pPr>
            <w:r>
              <w:t xml:space="preserve">Okopipi-Integrated Architecture</w:t>
            </w:r>
          </w:p>
        </w:tc>
      </w:tr>
      <w:tr>
        <w:tc>
          <w:tcPr/>
          <w:p>
            <w:pPr>
              <w:pStyle w:val="Compact"/>
              <w:jc w:val="left"/>
            </w:pPr>
            <w:r>
              <w:t xml:space="preserve">Micro-transactions settle on Solana (~$0.001/tx)</w:t>
            </w:r>
          </w:p>
        </w:tc>
        <w:tc>
          <w:tcPr/>
          <w:p>
            <w:pPr>
              <w:pStyle w:val="Compact"/>
              <w:jc w:val="left"/>
            </w:pPr>
            <w:r>
              <w:t xml:space="preserve">Settle natively on Okopipi via ANDD’s own network fabric — zero external dependency, sub-cent cost</w:t>
            </w:r>
          </w:p>
        </w:tc>
      </w:tr>
      <w:tr>
        <w:tc>
          <w:tcPr/>
          <w:p>
            <w:pPr>
              <w:pStyle w:val="Compact"/>
              <w:jc w:val="left"/>
            </w:pPr>
            <w:r>
              <w:t xml:space="preserve">Enterprise stablecoin payments on Ethereum L1/L2</w:t>
            </w:r>
          </w:p>
        </w:tc>
        <w:tc>
          <w:tcPr/>
          <w:p>
            <w:pPr>
              <w:pStyle w:val="Compact"/>
              <w:jc w:val="left"/>
            </w:pPr>
            <w:r>
              <w:t xml:space="preserve">Stablecoin contracts run on Okopipi with privacy-preserving execution — no MEV, no gas market exposure</w:t>
            </w:r>
          </w:p>
        </w:tc>
      </w:tr>
      <w:tr>
        <w:tc>
          <w:tcPr/>
          <w:p>
            <w:pPr>
              <w:pStyle w:val="Compact"/>
              <w:jc w:val="left"/>
            </w:pPr>
            <w:r>
              <w:t xml:space="preserve">Smart contract SLAs deployed on external chains</w:t>
            </w:r>
          </w:p>
        </w:tc>
        <w:tc>
          <w:tcPr/>
          <w:p>
            <w:pPr>
              <w:pStyle w:val="Compact"/>
              <w:jc w:val="left"/>
            </w:pPr>
            <w:r>
              <w:t xml:space="preserve">SLA contracts execute in Okopipi’s quorum-replicated runtime on ANDD’s own hubs — deterministic, auditable, sovereign</w:t>
            </w:r>
          </w:p>
        </w:tc>
      </w:tr>
      <w:tr>
        <w:tc>
          <w:tcPr/>
          <w:p>
            <w:pPr>
              <w:pStyle w:val="Compact"/>
              <w:jc w:val="left"/>
            </w:pPr>
            <w:r>
              <w:t xml:space="preserve">Payment channels require external chain for final settlement</w:t>
            </w:r>
          </w:p>
        </w:tc>
        <w:tc>
          <w:tcPr/>
          <w:p>
            <w:pPr>
              <w:pStyle w:val="Compact"/>
              <w:jc w:val="left"/>
            </w:pPr>
            <w:r>
              <w:t xml:space="preserve">Okopipi’s MTU-sized consensus enables direct on-chain micro-transactions without payment channel complexity</w:t>
            </w:r>
          </w:p>
        </w:tc>
      </w:tr>
      <w:tr>
        <w:tc>
          <w:tcPr/>
          <w:p>
            <w:pPr>
              <w:pStyle w:val="Compact"/>
              <w:jc w:val="left"/>
            </w:pPr>
            <w:r>
              <w:t xml:space="preserve">Multiple chains (Solana + Ethereum + L2) require bridge risk</w:t>
            </w:r>
          </w:p>
        </w:tc>
        <w:tc>
          <w:tcPr/>
          <w:p>
            <w:pPr>
              <w:pStyle w:val="Compact"/>
              <w:jc w:val="left"/>
            </w:pPr>
            <w:r>
              <w:t xml:space="preserve">Single native chain eliminates cross-chain bridge attack surface</w:t>
            </w:r>
          </w:p>
        </w:tc>
      </w:tr>
    </w:tbl>
    <w:p>
      <w:pPr>
        <w:pStyle w:val="BodyText"/>
      </w:pPr>
      <w:r>
        <w:t xml:space="preserve">The elimination of external chain dependencies means that ANDD’s financial operations — billing, SLA enforcement, DePIN token settlement, micro-transactions — continue to function even if every external blockchain goes offline. The settlement layer runs on ANDD’s own infrastructure, managed by ANDD’s own AI agents, across ANDD’s own mesh network.</w:t>
      </w:r>
    </w:p>
    <w:bookmarkEnd w:id="126"/>
    <w:bookmarkStart w:id="127" w:name="X123219f9f2146b42d5514d88ad30a25752d348a"/>
    <w:p>
      <w:pPr>
        <w:pStyle w:val="Heading4"/>
      </w:pPr>
      <w:r>
        <w:t xml:space="preserve">13.4.2 AI Agent Integration via the Reflection Layer</w:t>
      </w:r>
    </w:p>
    <w:p>
      <w:pPr>
        <w:pStyle w:val="FirstParagraph"/>
      </w:pPr>
      <w:r>
        <w:t xml:space="preserve">Okopipi’s reflection layer is the bridge between blockchain state and ANDD’s AI management system. Traditional blockchains expose raw bytecode, untyped storage layouts, and inconsistent ABI metadata — forcing AI agents to rely on centralized indexers or heuristic reverse-engineering. The reflection layer instead provides:</w:t>
      </w:r>
    </w:p>
    <w:p>
      <w:pPr>
        <w:pStyle w:val="Compact"/>
        <w:numPr>
          <w:ilvl w:val="0"/>
          <w:numId w:val="1019"/>
        </w:numPr>
      </w:pPr>
      <w:r>
        <w:rPr>
          <w:b/>
          <w:bCs/>
        </w:rPr>
        <w:t xml:space="preserve">Machine-navigable schemas</w:t>
      </w:r>
      <w:r>
        <w:t xml:space="preserve"> </w:t>
      </w:r>
      <w:r>
        <w:t xml:space="preserve">for all contract state, operations, and access policies</w:t>
      </w:r>
    </w:p>
    <w:p>
      <w:pPr>
        <w:pStyle w:val="Compact"/>
        <w:numPr>
          <w:ilvl w:val="0"/>
          <w:numId w:val="1019"/>
        </w:numPr>
      </w:pPr>
      <w:r>
        <w:rPr>
          <w:b/>
          <w:bCs/>
        </w:rPr>
        <w:t xml:space="preserve">Human-readable data structures</w:t>
      </w:r>
      <w:r>
        <w:t xml:space="preserve"> </w:t>
      </w:r>
      <w:r>
        <w:t xml:space="preserve">that AI agents can introspect directly from the chain</w:t>
      </w:r>
    </w:p>
    <w:p>
      <w:pPr>
        <w:pStyle w:val="Compact"/>
        <w:numPr>
          <w:ilvl w:val="0"/>
          <w:numId w:val="1019"/>
        </w:numPr>
      </w:pPr>
      <w:r>
        <w:rPr>
          <w:b/>
          <w:bCs/>
        </w:rPr>
        <w:t xml:space="preserve">Semantic type information</w:t>
      </w:r>
      <w:r>
        <w:t xml:space="preserve"> </w:t>
      </w:r>
      <w:r>
        <w:t xml:space="preserve">that enables AI agents to reason about contract behavior, generate correct transactions, and verify execution results</w:t>
      </w:r>
    </w:p>
    <w:p>
      <w:pPr>
        <w:pStyle w:val="FirstParagraph"/>
      </w:pPr>
      <w:r>
        <w:rPr>
          <w:b/>
          <w:bCs/>
        </w:rPr>
        <w:t xml:space="preserve">Practical implications for ANDD’s AI agents:</w:t>
      </w:r>
    </w:p>
    <w:p>
      <w:pPr>
        <w:pStyle w:val="BodyText"/>
      </w:pPr>
      <w:r>
        <w:t xml:space="preserve">The</w:t>
      </w:r>
      <w:r>
        <w:t xml:space="preserve"> </w:t>
      </w:r>
      <w:r>
        <w:rPr>
          <w:b/>
          <w:bCs/>
        </w:rPr>
        <w:t xml:space="preserve">Billing Agent</w:t>
      </w:r>
      <w:r>
        <w:t xml:space="preserve"> </w:t>
      </w:r>
      <w:r>
        <w:t xml:space="preserve">can read metering contracts, calculate charges, and issue invoices by directly querying Okopipi state through typed schemas — no external indexer, no custom subgraph, no brittle ABI parsing. When a customer disputes a charge, the agent can trace the exact on-chain metering events, execution receipts, and state transitions that produced the invoice.</w:t>
      </w:r>
    </w:p>
    <w:p>
      <w:pPr>
        <w:pStyle w:val="BodyText"/>
      </w:pPr>
      <w:r>
        <w:t xml:space="preserve">The</w:t>
      </w:r>
      <w:r>
        <w:t xml:space="preserve"> </w:t>
      </w:r>
      <w:r>
        <w:rPr>
          <w:b/>
          <w:bCs/>
        </w:rPr>
        <w:t xml:space="preserve">SLA Guardian</w:t>
      </w:r>
      <w:r>
        <w:t xml:space="preserve"> </w:t>
      </w:r>
      <w:r>
        <w:t xml:space="preserve">can monitor SLA contract state in real-time, verify that oracle-reported performance metrics match on-chain commitments, and trigger credit issuance transactions — all by reading and writing through the reflection layer’s structured interfaces. The agent doesn’t need to understand Solidity bytecode; it reads typed, versioned objects.</w:t>
      </w:r>
    </w:p>
    <w:p>
      <w:pPr>
        <w:pStyle w:val="BodyText"/>
      </w:pPr>
      <w:r>
        <w:t xml:space="preserve">The</w:t>
      </w:r>
      <w:r>
        <w:t xml:space="preserve"> </w:t>
      </w:r>
      <w:r>
        <w:rPr>
          <w:b/>
          <w:bCs/>
        </w:rPr>
        <w:t xml:space="preserve">Provisioning Agent</w:t>
      </w:r>
      <w:r>
        <w:t xml:space="preserve"> </w:t>
      </w:r>
      <w:r>
        <w:t xml:space="preserve">can execute capacity reservation contracts, manage tenant resource allocations, and enforce data residency policies by interacting with Okopipi contracts that encode these rules. The deterministic execution model means the agent can predict the exact outcome of a transaction before submitting it — dry-run mode is native to the architecture.</w:t>
      </w:r>
    </w:p>
    <w:p>
      <w:pPr>
        <w:pStyle w:val="BodyText"/>
      </w:pPr>
      <w:r>
        <w:t xml:space="preserve">The</w:t>
      </w:r>
      <w:r>
        <w:t xml:space="preserve"> </w:t>
      </w:r>
      <w:r>
        <w:rPr>
          <w:b/>
          <w:bCs/>
        </w:rPr>
        <w:t xml:space="preserve">Customer Onboarding Agent</w:t>
      </w:r>
      <w:r>
        <w:t xml:space="preserve"> </w:t>
      </w:r>
      <w:r>
        <w:t xml:space="preserve">can create tenant identities, establish billing relationships, and deploy SLA contracts as a single atomic transaction sequence — with privacy-preserving execution ensuring that one tenant’s onboarding data is never visible to other tenants’ execution quorums.</w:t>
      </w:r>
    </w:p>
    <w:bookmarkEnd w:id="127"/>
    <w:bookmarkStart w:id="128" w:name="X7b4e6264934a75571bbfb56c41936a84635bc45"/>
    <w:p>
      <w:pPr>
        <w:pStyle w:val="Heading4"/>
      </w:pPr>
      <w:r>
        <w:t xml:space="preserve">13.4.3 Wartime Resilience for Critical Infrastructure</w:t>
      </w:r>
    </w:p>
    <w:p>
      <w:pPr>
        <w:pStyle w:val="FirstParagraph"/>
      </w:pPr>
      <w:r>
        <w:t xml:space="preserve">ANDD sites host critical infrastructure: NG911 systems, SCADA for utilities, payment processing, defense workloads. These workloads need a settlement and coordination layer that functions when the network is degraded or under attack.</w:t>
      </w:r>
    </w:p>
    <w:p>
      <w:pPr>
        <w:pStyle w:val="BodyText"/>
      </w:pPr>
      <w:r>
        <w:t xml:space="preserve">Okopipi was explicitly designed for this scenario:</w:t>
      </w:r>
    </w:p>
    <w:p>
      <w:pPr>
        <w:pStyle w:val="BodyText"/>
      </w:pPr>
      <w:r>
        <w:rPr>
          <w:b/>
          <w:bCs/>
        </w:rPr>
        <w:t xml:space="preserve">Asymmetric partitions.</w:t>
      </w:r>
      <w:r>
        <w:t xml:space="preserve"> </w:t>
      </w:r>
      <w:r>
        <w:t xml:space="preserve">If a fiber cut splits ANDD’s east coast hubs from the west coast, both partitions continue processing transactions locally. Okopipi’s view-aware routing ensures consensus traffic flows efficiently within each partition. When connectivity is restored, post-quantum epoch checkpoints enable trustworthy resynchronization without replaying the full chain history.</w:t>
      </w:r>
    </w:p>
    <w:p>
      <w:pPr>
        <w:pStyle w:val="BodyText"/>
      </w:pPr>
      <w:r>
        <w:rPr>
          <w:b/>
          <w:bCs/>
        </w:rPr>
        <w:t xml:space="preserve">Degraded bandwidth.</w:t>
      </w:r>
      <w:r>
        <w:t xml:space="preserve"> </w:t>
      </w:r>
      <w:r>
        <w:t xml:space="preserve">ANDD’s rural edge nodes may operate on LEO satellite or LTE backhaul. Okopipi’s MTU-sized consensus messages (unlike Ethereum’s multi-megabyte blocks) fit within the bandwidth constraints of these links. A rural node can participate in consensus using only MTU-sized datagrams — no full-block downloads required on the critical path.</w:t>
      </w:r>
    </w:p>
    <w:p>
      <w:pPr>
        <w:pStyle w:val="BodyText"/>
      </w:pPr>
      <w:r>
        <w:rPr>
          <w:b/>
          <w:bCs/>
        </w:rPr>
        <w:t xml:space="preserve">Contested networks.</w:t>
      </w:r>
      <w:r>
        <w:t xml:space="preserve"> </w:t>
      </w:r>
      <w:r>
        <w:t xml:space="preserve">In scenarios where adversaries control some routing infrastructure (a concern for defense customers), Okopipi’s f-masking grid quorum construction ensures that the adversary cannot predict which nodes will form the quorum for a given view, cannot concentrate corruptions to eliminate quorum intersection, and cannot prevent honest nodes from maintaining the chain tip through view-aware routing.</w:t>
      </w:r>
    </w:p>
    <w:p>
      <w:pPr>
        <w:pStyle w:val="BodyText"/>
      </w:pPr>
      <w:r>
        <w:rPr>
          <w:b/>
          <w:bCs/>
        </w:rPr>
        <w:t xml:space="preserve">Extended isolation.</w:t>
      </w:r>
      <w:r>
        <w:t xml:space="preserve"> </w:t>
      </w:r>
      <w:r>
        <w:t xml:space="preserve">An ANDD edge node that loses all connectivity for hours or days can continue serving local workloads. When reconnected, it resynchronizes by verifying a compact post-quantum epoch checkpoint rather than downloading and replaying all missed blocks. This is essential for disaster scenarios where emergency services must continue operating from an isolated ANDD node.</w:t>
      </w:r>
    </w:p>
    <w:bookmarkEnd w:id="128"/>
    <w:bookmarkStart w:id="129" w:name="compliance-and-regulatory-transparency"/>
    <w:p>
      <w:pPr>
        <w:pStyle w:val="Heading4"/>
      </w:pPr>
      <w:r>
        <w:t xml:space="preserve">13.4.4 Compliance and Regulatory Transparency</w:t>
      </w:r>
    </w:p>
    <w:p>
      <w:pPr>
        <w:pStyle w:val="FirstParagraph"/>
      </w:pPr>
      <w:r>
        <w:t xml:space="preserve">ANDD serves government agencies subject to FedRAMP, CJIS, HIPAA, and ITAR requirements. These regulatory frameworks demand auditability and transparency without compromising operational security.</w:t>
      </w:r>
    </w:p>
    <w:p>
      <w:pPr>
        <w:pStyle w:val="BodyText"/>
      </w:pPr>
      <w:r>
        <w:t xml:space="preserve">Okopipi’s compliance extensions address this directly:</w:t>
      </w:r>
    </w:p>
    <w:p>
      <w:pPr>
        <w:pStyle w:val="Compact"/>
        <w:numPr>
          <w:ilvl w:val="0"/>
          <w:numId w:val="1020"/>
        </w:numPr>
      </w:pPr>
      <w:r>
        <w:rPr>
          <w:b/>
          <w:bCs/>
        </w:rPr>
        <w:t xml:space="preserve">Selective disclosure policies</w:t>
      </w:r>
      <w:r>
        <w:t xml:space="preserve"> </w:t>
      </w:r>
      <w:r>
        <w:t xml:space="preserve">allow ANDD to reveal only the specific state elements, execution receipts, or contract outputs required for a particular audit — without exposing unrelated tenant data or proprietary operational details.</w:t>
      </w:r>
    </w:p>
    <w:p>
      <w:pPr>
        <w:pStyle w:val="Compact"/>
        <w:numPr>
          <w:ilvl w:val="0"/>
          <w:numId w:val="1020"/>
        </w:numPr>
      </w:pPr>
      <w:r>
        <w:rPr>
          <w:b/>
          <w:bCs/>
        </w:rPr>
        <w:t xml:space="preserve">Human-readable schemas</w:t>
      </w:r>
      <w:r>
        <w:t xml:space="preserve"> </w:t>
      </w:r>
      <w:r>
        <w:t xml:space="preserve">enable auditors, regulators, and public-sector operators to interpret contract behavior, state transitions, and access policies without requiring access to raw bytecode or opaque storage layouts.</w:t>
      </w:r>
    </w:p>
    <w:p>
      <w:pPr>
        <w:pStyle w:val="Compact"/>
        <w:numPr>
          <w:ilvl w:val="0"/>
          <w:numId w:val="1020"/>
        </w:numPr>
      </w:pPr>
      <w:r>
        <w:rPr>
          <w:b/>
          <w:bCs/>
        </w:rPr>
        <w:t xml:space="preserve">Regulatory audit trails</w:t>
      </w:r>
      <w:r>
        <w:t xml:space="preserve"> </w:t>
      </w:r>
      <w:r>
        <w:t xml:space="preserve">are durable (stored by archive nodes on the off-fast-path), tamper-evident (post-quantum signed epoch roots), and selectively disclosable. ANDD’s 7-year audit trail retention requirement (Section 5.6) is natively supported by Okopipi’s archive node architecture.</w:t>
      </w:r>
    </w:p>
    <w:p>
      <w:pPr>
        <w:pStyle w:val="Compact"/>
        <w:numPr>
          <w:ilvl w:val="0"/>
          <w:numId w:val="1020"/>
        </w:numPr>
      </w:pPr>
      <w:r>
        <w:rPr>
          <w:b/>
          <w:bCs/>
        </w:rPr>
        <w:t xml:space="preserve">Jurisdictional receipts.</w:t>
      </w:r>
      <w:r>
        <w:t xml:space="preserve"> </w:t>
      </w:r>
      <w:r>
        <w:t xml:space="preserve">When a transaction involves multiple jurisdictions (e.g., a fintech customer with data residency requirements in multiple states), Okopipi produces separate jurisdictional receipts — enabling each jurisdiction’s regulators to verify compliance independently without accessing the other’s data.</w:t>
      </w:r>
    </w:p>
    <w:bookmarkEnd w:id="129"/>
    <w:bookmarkStart w:id="130" w:name="depin-protocol-native-infrastructure"/>
    <w:p>
      <w:pPr>
        <w:pStyle w:val="Heading4"/>
      </w:pPr>
      <w:r>
        <w:t xml:space="preserve">13.4.5 DePIN Protocol Native Infrastructure</w:t>
      </w:r>
    </w:p>
    <w:p>
      <w:pPr>
        <w:pStyle w:val="FirstParagraph"/>
      </w:pPr>
      <w:r>
        <w:t xml:space="preserve">ANDD positions itself as the physical backbone for DePIN projects (Section 11). With Okopipi integrated, ANDD can offer DePIN projects something no other infrastructure provider can: a blockchain that runs natively on the physical infrastructure it serves.</w:t>
      </w:r>
    </w:p>
    <w:p>
      <w:pPr>
        <w:pStyle w:val="BodyText"/>
      </w:pPr>
      <w:r>
        <w:rPr>
          <w:b/>
          <w:bCs/>
        </w:rPr>
        <w:t xml:space="preserve">For DePIN project operators:</w:t>
      </w:r>
      <w:r>
        <w:t xml:space="preserve"> </w:t>
      </w:r>
      <w:r>
        <w:t xml:space="preserve">- Deploy protocol contracts (token incentives, proof mechanisms, governance) directly on Okopipi running on ANDD infrastructure</w:t>
      </w:r>
      <w:r>
        <w:t xml:space="preserve"> </w:t>
      </w:r>
      <w:r>
        <w:t xml:space="preserve">- Eliminate dependency on external blockchains for settlement — no Solana outage risk, no Ethereum gas volatility</w:t>
      </w:r>
      <w:r>
        <w:t xml:space="preserve"> </w:t>
      </w:r>
      <w:r>
        <w:t xml:space="preserve">- Leverage Okopipi’s privacy-preserving execution for commercially sensitive protocol operations</w:t>
      </w:r>
      <w:r>
        <w:t xml:space="preserve"> </w:t>
      </w:r>
      <w:r>
        <w:t xml:space="preserve">- Access ANDD’s AI agent APIs for automated infrastructure provisioning, triggered directly by on-chain contract events</w:t>
      </w:r>
    </w:p>
    <w:p>
      <w:pPr>
        <w:pStyle w:val="BodyText"/>
      </w:pPr>
      <w:r>
        <w:rPr>
          <w:b/>
          <w:bCs/>
        </w:rPr>
        <w:t xml:space="preserve">For DePIN infrastructure contributors:</w:t>
      </w:r>
      <w:r>
        <w:t xml:space="preserve"> </w:t>
      </w:r>
      <w:r>
        <w:t xml:space="preserve">- Validator seats (PoSN model) are operational permits, not stake-weighted governance — aligning with ANDD’s emphasis on infrastructure operators as first-class participants</w:t>
      </w:r>
      <w:r>
        <w:t xml:space="preserve"> </w:t>
      </w:r>
      <w:r>
        <w:t xml:space="preserve">- Uptime proofs generated by ANDD’s telemetry system can feed directly into Okopipi contracts for reward calculation</w:t>
      </w:r>
      <w:r>
        <w:t xml:space="preserve"> </w:t>
      </w:r>
      <w:r>
        <w:t xml:space="preserve">- The reflection layer provides machine-readable interfaces for AI agents managing contributor hardware</w:t>
      </w:r>
    </w:p>
    <w:p>
      <w:pPr>
        <w:pStyle w:val="BodyText"/>
      </w:pPr>
      <w:r>
        <w:rPr>
          <w:b/>
          <w:bCs/>
        </w:rPr>
        <w:t xml:space="preserve">For DePIN end-users:</w:t>
      </w:r>
      <w:r>
        <w:t xml:space="preserve"> </w:t>
      </w:r>
      <w:r>
        <w:t xml:space="preserve">- Light client support enables IoT devices and constrained endpoints (sensors, meters, vehicles) to verify transaction receipts and interact with DePIN protocols using only headers — no full node required</w:t>
      </w:r>
      <w:r>
        <w:t xml:space="preserve"> </w:t>
      </w:r>
      <w:r>
        <w:t xml:space="preserve">- Selective data materialization means edge devices fetch only the receipts and state relevant to their application</w:t>
      </w:r>
    </w:p>
    <w:bookmarkEnd w:id="130"/>
    <w:bookmarkEnd w:id="131"/>
    <w:bookmarkStart w:id="132" w:name="andd-okopipi-the-full-stack"/>
    <w:p>
      <w:pPr>
        <w:pStyle w:val="Heading3"/>
      </w:pPr>
      <w:r>
        <w:t xml:space="preserve">13.5 ANDD + Okopipi: The Full Stack</w:t>
      </w:r>
    </w:p>
    <w:p>
      <w:pPr>
        <w:pStyle w:val="FirstParagraph"/>
      </w:pPr>
      <w:r>
        <w:t xml:space="preserve">The integration produces a vertically integrated, sovereign infrastructure stack:</w:t>
      </w:r>
    </w:p>
    <w:tbl>
      <w:tblPr>
        <w:tblStyle w:val="Table"/>
        <w:tblW w:type="pct" w:w="5000"/>
        <w:jc w:val="left"/>
        <w:tblLayout w:type="fixed"/>
        <w:tblLook w:firstRow="1" w:lastRow="0" w:firstColumn="0" w:lastColumn="0" w:noHBand="0" w:noVBand="0" w:val="0020"/>
      </w:tblPr>
      <w:tblGrid>
        <w:gridCol w:w="1980"/>
        <w:gridCol w:w="3111"/>
        <w:gridCol w:w="2828"/>
      </w:tblGrid>
      <w:tr>
        <w:trPr>
          <w:tblHeader w:val="on"/>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Provider</w:t>
            </w:r>
          </w:p>
        </w:tc>
      </w:tr>
      <w:tr>
        <w:tc>
          <w:tcPr/>
          <w:p>
            <w:pPr>
              <w:pStyle w:val="Compact"/>
              <w:jc w:val="left"/>
            </w:pPr>
            <w:r>
              <w:rPr>
                <w:b/>
                <w:bCs/>
              </w:rPr>
              <w:t xml:space="preserve">Application</w:t>
            </w:r>
          </w:p>
        </w:tc>
        <w:tc>
          <w:tcPr/>
          <w:p>
            <w:pPr>
              <w:pStyle w:val="Compact"/>
              <w:jc w:val="left"/>
            </w:pPr>
            <w:r>
              <w:t xml:space="preserve">Customer workloads, DePIN protocols, government services, AI inference</w:t>
            </w:r>
          </w:p>
        </w:tc>
        <w:tc>
          <w:tcPr/>
          <w:p>
            <w:pPr>
              <w:pStyle w:val="Compact"/>
              <w:jc w:val="left"/>
            </w:pPr>
            <w:r>
              <w:t xml:space="preserve">Customers / DePIN projects</w:t>
            </w:r>
          </w:p>
        </w:tc>
      </w:tr>
      <w:tr>
        <w:tc>
          <w:tcPr/>
          <w:p>
            <w:pPr>
              <w:pStyle w:val="Compact"/>
              <w:jc w:val="left"/>
            </w:pPr>
            <w:r>
              <w:rPr>
                <w:b/>
                <w:bCs/>
              </w:rPr>
              <w:t xml:space="preserve">Smart Contract Execution</w:t>
            </w:r>
          </w:p>
        </w:tc>
        <w:tc>
          <w:tcPr/>
          <w:p>
            <w:pPr>
              <w:pStyle w:val="Compact"/>
              <w:jc w:val="left"/>
            </w:pPr>
            <w:r>
              <w:t xml:space="preserve">Privacy-preserving quorum-replicated runtime, deterministic ordering, selective disclosure</w:t>
            </w:r>
          </w:p>
        </w:tc>
        <w:tc>
          <w:tcPr/>
          <w:p>
            <w:pPr>
              <w:pStyle w:val="Compact"/>
              <w:jc w:val="left"/>
            </w:pPr>
            <w:r>
              <w:t xml:space="preserve">Okopipi</w:t>
            </w:r>
          </w:p>
        </w:tc>
      </w:tr>
      <w:tr>
        <w:tc>
          <w:tcPr/>
          <w:p>
            <w:pPr>
              <w:pStyle w:val="Compact"/>
              <w:jc w:val="left"/>
            </w:pPr>
            <w:r>
              <w:rPr>
                <w:b/>
                <w:bCs/>
              </w:rPr>
              <w:t xml:space="preserve">Consensus &amp; Settlement</w:t>
            </w:r>
          </w:p>
        </w:tc>
        <w:tc>
          <w:tcPr/>
          <w:p>
            <w:pPr>
              <w:pStyle w:val="Compact"/>
              <w:jc w:val="left"/>
            </w:pPr>
            <w:r>
              <w:t xml:space="preserve">BLA on f-masking grid quorum, MTU-sized proofs, post-quantum checkpoints</w:t>
            </w:r>
          </w:p>
        </w:tc>
        <w:tc>
          <w:tcPr/>
          <w:p>
            <w:pPr>
              <w:pStyle w:val="Compact"/>
              <w:jc w:val="left"/>
            </w:pPr>
            <w:r>
              <w:t xml:space="preserve">Okopipi (running on ANDD hubs)</w:t>
            </w:r>
          </w:p>
        </w:tc>
      </w:tr>
      <w:tr>
        <w:tc>
          <w:tcPr/>
          <w:p>
            <w:pPr>
              <w:pStyle w:val="Compact"/>
              <w:jc w:val="left"/>
            </w:pPr>
            <w:r>
              <w:rPr>
                <w:b/>
                <w:bCs/>
              </w:rPr>
              <w:t xml:space="preserve">Network Fabric</w:t>
            </w:r>
          </w:p>
        </w:tc>
        <w:tc>
          <w:tcPr/>
          <w:p>
            <w:pPr>
              <w:pStyle w:val="Compact"/>
              <w:jc w:val="left"/>
            </w:pPr>
            <w:r>
              <w:t xml:space="preserve">BIER multicast, view-aware routing, SRv6 segment routing, mesh interconnection</w:t>
            </w:r>
          </w:p>
        </w:tc>
        <w:tc>
          <w:tcPr/>
          <w:p>
            <w:pPr>
              <w:pStyle w:val="Compact"/>
              <w:jc w:val="left"/>
            </w:pPr>
            <w:r>
              <w:t xml:space="preserve">ANDD mesh + Okopipi routing integration</w:t>
            </w:r>
          </w:p>
        </w:tc>
      </w:tr>
      <w:tr>
        <w:tc>
          <w:tcPr/>
          <w:p>
            <w:pPr>
              <w:pStyle w:val="Compact"/>
              <w:jc w:val="left"/>
            </w:pPr>
            <w:r>
              <w:rPr>
                <w:b/>
                <w:bCs/>
              </w:rPr>
              <w:t xml:space="preserve">AI Operations</w:t>
            </w:r>
          </w:p>
        </w:tc>
        <w:tc>
          <w:tcPr/>
          <w:p>
            <w:pPr>
              <w:pStyle w:val="Compact"/>
              <w:jc w:val="left"/>
            </w:pPr>
            <w:r>
              <w:t xml:space="preserve">Autonomous onboarding, provisioning, billing, maintenance, SLA enforcement</w:t>
            </w:r>
          </w:p>
        </w:tc>
        <w:tc>
          <w:tcPr/>
          <w:p>
            <w:pPr>
              <w:pStyle w:val="Compact"/>
              <w:jc w:val="left"/>
            </w:pPr>
            <w:r>
              <w:t xml:space="preserve">ANDD AI management layer (reading/writing Okopipi state via reflection layer)</w:t>
            </w:r>
          </w:p>
        </w:tc>
      </w:tr>
      <w:tr>
        <w:tc>
          <w:tcPr/>
          <w:p>
            <w:pPr>
              <w:pStyle w:val="Compact"/>
              <w:jc w:val="left"/>
            </w:pPr>
            <w:r>
              <w:rPr>
                <w:b/>
                <w:bCs/>
              </w:rPr>
              <w:t xml:space="preserve">Physical Infrastructure</w:t>
            </w:r>
          </w:p>
        </w:tc>
        <w:tc>
          <w:tcPr/>
          <w:p>
            <w:pPr>
              <w:pStyle w:val="Compact"/>
              <w:jc w:val="left"/>
            </w:pPr>
            <w:r>
              <w:t xml:space="preserve">Compute, storage, GPU, cooling, power, connectivity, physical security</w:t>
            </w:r>
          </w:p>
        </w:tc>
        <w:tc>
          <w:tcPr/>
          <w:p>
            <w:pPr>
              <w:pStyle w:val="Compact"/>
              <w:jc w:val="left"/>
            </w:pPr>
            <w:r>
              <w:t xml:space="preserve">ANDD edge nodes + regional hubs</w:t>
            </w:r>
          </w:p>
        </w:tc>
      </w:tr>
      <w:tr>
        <w:tc>
          <w:tcPr/>
          <w:p>
            <w:pPr>
              <w:pStyle w:val="Compact"/>
              <w:jc w:val="left"/>
            </w:pPr>
            <w:r>
              <w:rPr>
                <w:b/>
                <w:bCs/>
              </w:rPr>
              <w:t xml:space="preserve">Energy &amp; Resilience</w:t>
            </w:r>
          </w:p>
        </w:tc>
        <w:tc>
          <w:tcPr/>
          <w:p>
            <w:pPr>
              <w:pStyle w:val="Compact"/>
              <w:jc w:val="left"/>
            </w:pPr>
            <w:r>
              <w:t xml:space="preserve">Microgrids, BESS, solar, fuel cells, grid services</w:t>
            </w:r>
          </w:p>
        </w:tc>
        <w:tc>
          <w:tcPr/>
          <w:p>
            <w:pPr>
              <w:pStyle w:val="Compact"/>
              <w:jc w:val="left"/>
            </w:pPr>
            <w:r>
              <w:t xml:space="preserve">ANDD on-site generation + utility</w:t>
            </w:r>
          </w:p>
        </w:tc>
      </w:tr>
    </w:tbl>
    <w:p>
      <w:pPr>
        <w:pStyle w:val="BodyText"/>
      </w:pPr>
      <w:r>
        <w:t xml:space="preserve">No external dependency at any layer. No hyperscale cloud provider, no third-party blockchain, no centralized RPC gateway. The entire stack — from the photovoltaic panel on the roof to the smart contract executing a DePIN reward distribution — runs on ANDD infrastructure, coordinated by ANDD’s AI agents, settled on Okopipi’s network-native consensus.</w:t>
      </w:r>
    </w:p>
    <w:p>
      <w:pPr>
        <w:pStyle w:val="BodyText"/>
      </w:pPr>
      <w:r>
        <w:t xml:space="preserve">This is what sovereign, AI-managed, wartime-resilient infrastructure looks like.</w:t>
      </w:r>
    </w:p>
    <w:p>
      <w:r>
        <w:pict>
          <v:rect style="width:0;height:1.5pt" o:hralign="center" o:hrstd="t" o:hr="t"/>
        </w:pict>
      </w:r>
    </w:p>
    <w:bookmarkEnd w:id="132"/>
    <w:bookmarkEnd w:id="133"/>
    <w:bookmarkStart w:id="138" w:name="implementation-roadmap"/>
    <w:p>
      <w:pPr>
        <w:pStyle w:val="Heading2"/>
      </w:pPr>
      <w:r>
        <w:t xml:space="preserve">15. Implementation Roadmap</w:t>
      </w:r>
    </w:p>
    <w:bookmarkStart w:id="134" w:name="phase-1-foundation-months-112"/>
    <w:p>
      <w:pPr>
        <w:pStyle w:val="Heading3"/>
      </w:pPr>
      <w:r>
        <w:t xml:space="preserve">Phase 1: Foundation (Months 1–12)</w:t>
      </w:r>
    </w:p>
    <w:p>
      <w:pPr>
        <w:pStyle w:val="Compact"/>
        <w:numPr>
          <w:ilvl w:val="0"/>
          <w:numId w:val="1021"/>
        </w:numPr>
      </w:pPr>
      <w:r>
        <w:t xml:space="preserve">Finalize AI management layer architecture and begin training specialized agents</w:t>
      </w:r>
    </w:p>
    <w:p>
      <w:pPr>
        <w:pStyle w:val="Compact"/>
        <w:numPr>
          <w:ilvl w:val="0"/>
          <w:numId w:val="1021"/>
        </w:numPr>
      </w:pPr>
      <w:r>
        <w:t xml:space="preserve">Design and certify modular edge node enclosure (200kW reference design)</w:t>
      </w:r>
    </w:p>
    <w:p>
      <w:pPr>
        <w:pStyle w:val="Compact"/>
        <w:numPr>
          <w:ilvl w:val="0"/>
          <w:numId w:val="1021"/>
        </w:numPr>
      </w:pPr>
      <w:r>
        <w:t xml:space="preserve">Deploy 3–5 pilot sites in diverse geographies (urban, suburban, rural OZ locations)</w:t>
      </w:r>
    </w:p>
    <w:p>
      <w:pPr>
        <w:pStyle w:val="Compact"/>
        <w:numPr>
          <w:ilvl w:val="0"/>
          <w:numId w:val="1021"/>
        </w:numPr>
      </w:pPr>
      <w:r>
        <w:t xml:space="preserve">Establish carrier interconnection agreements with 3+ Tier 1 transit providers</w:t>
      </w:r>
    </w:p>
    <w:p>
      <w:pPr>
        <w:pStyle w:val="Compact"/>
        <w:numPr>
          <w:ilvl w:val="0"/>
          <w:numId w:val="1021"/>
        </w:numPr>
      </w:pPr>
      <w:r>
        <w:t xml:space="preserve">Complete SOC 2 Type I certification</w:t>
      </w:r>
    </w:p>
    <w:p>
      <w:pPr>
        <w:pStyle w:val="Compact"/>
        <w:numPr>
          <w:ilvl w:val="0"/>
          <w:numId w:val="1021"/>
        </w:numPr>
      </w:pPr>
      <w:r>
        <w:t xml:space="preserve">Launch beta program with initial customers across 3+ segments</w:t>
      </w:r>
    </w:p>
    <w:p>
      <w:pPr>
        <w:pStyle w:val="Compact"/>
        <w:numPr>
          <w:ilvl w:val="0"/>
          <w:numId w:val="1021"/>
        </w:numPr>
      </w:pPr>
      <w:r>
        <w:t xml:space="preserve">Form Qualified Opportunity Fund structure</w:t>
      </w:r>
    </w:p>
    <w:bookmarkEnd w:id="134"/>
    <w:bookmarkStart w:id="135" w:name="phase-2-network-formation-months-1224"/>
    <w:p>
      <w:pPr>
        <w:pStyle w:val="Heading3"/>
      </w:pPr>
      <w:r>
        <w:t xml:space="preserve">Phase 2: Network Formation (Months 12–24)</w:t>
      </w:r>
    </w:p>
    <w:p>
      <w:pPr>
        <w:pStyle w:val="Compact"/>
        <w:numPr>
          <w:ilvl w:val="0"/>
          <w:numId w:val="1022"/>
        </w:numPr>
      </w:pPr>
      <w:r>
        <w:t xml:space="preserve">Scale to 20–50 edge nodes forming regional mesh clusters</w:t>
      </w:r>
    </w:p>
    <w:p>
      <w:pPr>
        <w:pStyle w:val="Compact"/>
        <w:numPr>
          <w:ilvl w:val="0"/>
          <w:numId w:val="1022"/>
        </w:numPr>
      </w:pPr>
      <w:r>
        <w:t xml:space="preserve">Deploy first regional hubs (2–3 hubs serving pilot clusters)</w:t>
      </w:r>
    </w:p>
    <w:p>
      <w:pPr>
        <w:pStyle w:val="Compact"/>
        <w:numPr>
          <w:ilvl w:val="0"/>
          <w:numId w:val="1022"/>
        </w:numPr>
      </w:pPr>
      <w:r>
        <w:t xml:space="preserve">AI management layer handles &gt;90% of operational tasks autonomously</w:t>
      </w:r>
    </w:p>
    <w:p>
      <w:pPr>
        <w:pStyle w:val="Compact"/>
        <w:numPr>
          <w:ilvl w:val="0"/>
          <w:numId w:val="1022"/>
        </w:numPr>
      </w:pPr>
      <w:r>
        <w:t xml:space="preserve">Onboard first government customers (state/local level)</w:t>
      </w:r>
    </w:p>
    <w:p>
      <w:pPr>
        <w:pStyle w:val="Compact"/>
        <w:numPr>
          <w:ilvl w:val="0"/>
          <w:numId w:val="1022"/>
        </w:numPr>
      </w:pPr>
      <w:r>
        <w:t xml:space="preserve">Activate DePIN integration APIs — onboard 2–3 DePIN projects</w:t>
      </w:r>
    </w:p>
    <w:p>
      <w:pPr>
        <w:pStyle w:val="Compact"/>
        <w:numPr>
          <w:ilvl w:val="0"/>
          <w:numId w:val="1022"/>
        </w:numPr>
      </w:pPr>
      <w:r>
        <w:t xml:space="preserve">Launch fiat + stablecoin payment rails</w:t>
      </w:r>
    </w:p>
    <w:p>
      <w:pPr>
        <w:pStyle w:val="Compact"/>
        <w:numPr>
          <w:ilvl w:val="0"/>
          <w:numId w:val="1022"/>
        </w:numPr>
      </w:pPr>
      <w:r>
        <w:t xml:space="preserve">Complete FedRAMP authorization (Moderate baseline)</w:t>
      </w:r>
    </w:p>
    <w:p>
      <w:pPr>
        <w:pStyle w:val="Compact"/>
        <w:numPr>
          <w:ilvl w:val="0"/>
          <w:numId w:val="1022"/>
        </w:numPr>
      </w:pPr>
      <w:r>
        <w:t xml:space="preserve">Achieve operational ratio of 1 human operator per 20+ nodes</w:t>
      </w:r>
    </w:p>
    <w:bookmarkEnd w:id="135"/>
    <w:bookmarkStart w:id="136" w:name="phase-3-scale-months-2448"/>
    <w:p>
      <w:pPr>
        <w:pStyle w:val="Heading3"/>
      </w:pPr>
      <w:r>
        <w:t xml:space="preserve">Phase 3: Scale (Months 24–48)</w:t>
      </w:r>
    </w:p>
    <w:p>
      <w:pPr>
        <w:pStyle w:val="Compact"/>
        <w:numPr>
          <w:ilvl w:val="0"/>
          <w:numId w:val="1023"/>
        </w:numPr>
      </w:pPr>
      <w:r>
        <w:t xml:space="preserve">Scale to 100–300 edge nodes with 10+ regional hubs</w:t>
      </w:r>
    </w:p>
    <w:p>
      <w:pPr>
        <w:pStyle w:val="Compact"/>
        <w:numPr>
          <w:ilvl w:val="0"/>
          <w:numId w:val="1023"/>
        </w:numPr>
      </w:pPr>
      <w:r>
        <w:t xml:space="preserve">Full mesh fabric operational with automated workload routing</w:t>
      </w:r>
    </w:p>
    <w:p>
      <w:pPr>
        <w:pStyle w:val="Compact"/>
        <w:numPr>
          <w:ilvl w:val="0"/>
          <w:numId w:val="1023"/>
        </w:numPr>
      </w:pPr>
      <w:r>
        <w:t xml:space="preserve">Launch smart contract SLA system</w:t>
      </w:r>
    </w:p>
    <w:p>
      <w:pPr>
        <w:pStyle w:val="Compact"/>
        <w:numPr>
          <w:ilvl w:val="0"/>
          <w:numId w:val="1023"/>
        </w:numPr>
      </w:pPr>
      <w:r>
        <w:t xml:space="preserve">Micro-transaction payment channels operational</w:t>
      </w:r>
    </w:p>
    <w:p>
      <w:pPr>
        <w:pStyle w:val="Compact"/>
        <w:numPr>
          <w:ilvl w:val="0"/>
          <w:numId w:val="1023"/>
        </w:numPr>
      </w:pPr>
      <w:r>
        <w:t xml:space="preserve">Onboard federal government customers</w:t>
      </w:r>
    </w:p>
    <w:p>
      <w:pPr>
        <w:pStyle w:val="Compact"/>
        <w:numPr>
          <w:ilvl w:val="0"/>
          <w:numId w:val="1023"/>
        </w:numPr>
      </w:pPr>
      <w:r>
        <w:t xml:space="preserve">Integrate with defense/specialized networks (SIPRNet gateway at select sites)</w:t>
      </w:r>
    </w:p>
    <w:p>
      <w:pPr>
        <w:pStyle w:val="Compact"/>
        <w:numPr>
          <w:ilvl w:val="0"/>
          <w:numId w:val="1023"/>
        </w:numPr>
      </w:pPr>
      <w:r>
        <w:t xml:space="preserve">Expand DePIN ecosystem to 10+ active projects on ANDD infrastructure</w:t>
      </w:r>
    </w:p>
    <w:p>
      <w:pPr>
        <w:pStyle w:val="Compact"/>
        <w:numPr>
          <w:ilvl w:val="0"/>
          <w:numId w:val="1023"/>
        </w:numPr>
      </w:pPr>
      <w:r>
        <w:t xml:space="preserve">Evaluate and potentially launch network utility token</w:t>
      </w:r>
    </w:p>
    <w:bookmarkEnd w:id="136"/>
    <w:bookmarkStart w:id="137" w:name="phase-4-continental-coverage-months-4872"/>
    <w:p>
      <w:pPr>
        <w:pStyle w:val="Heading3"/>
      </w:pPr>
      <w:r>
        <w:t xml:space="preserve">Phase 4: Continental Coverage (Months 48–72)</w:t>
      </w:r>
    </w:p>
    <w:p>
      <w:pPr>
        <w:pStyle w:val="Compact"/>
        <w:numPr>
          <w:ilvl w:val="0"/>
          <w:numId w:val="1024"/>
        </w:numPr>
      </w:pPr>
      <w:r>
        <w:t xml:space="preserve">Scale to 500–1,000+ edge nodes across all major U.S. regions</w:t>
      </w:r>
    </w:p>
    <w:p>
      <w:pPr>
        <w:pStyle w:val="Compact"/>
        <w:numPr>
          <w:ilvl w:val="0"/>
          <w:numId w:val="1024"/>
        </w:numPr>
      </w:pPr>
      <w:r>
        <w:t xml:space="preserve">Full AI autonomy for standard operations (human intervention for exceptions only)</w:t>
      </w:r>
    </w:p>
    <w:p>
      <w:pPr>
        <w:pStyle w:val="Compact"/>
        <w:numPr>
          <w:ilvl w:val="0"/>
          <w:numId w:val="1024"/>
        </w:numPr>
      </w:pPr>
      <w:r>
        <w:t xml:space="preserve">International expansion planning (allied nations with similar sovereignty interests)</w:t>
      </w:r>
    </w:p>
    <w:p>
      <w:pPr>
        <w:pStyle w:val="Compact"/>
        <w:numPr>
          <w:ilvl w:val="0"/>
          <w:numId w:val="1024"/>
        </w:numPr>
      </w:pPr>
      <w:r>
        <w:t xml:space="preserve">Network becomes self-sustaining: revenue from operations funds continued expansion</w:t>
      </w:r>
    </w:p>
    <w:p>
      <w:pPr>
        <w:pStyle w:val="Compact"/>
        <w:numPr>
          <w:ilvl w:val="0"/>
          <w:numId w:val="1024"/>
        </w:numPr>
      </w:pPr>
      <w:r>
        <w:t xml:space="preserve">Virtual power plant from distributed BESS provides meaningful grid services revenue</w:t>
      </w:r>
    </w:p>
    <w:p>
      <w:pPr>
        <w:pStyle w:val="Compact"/>
        <w:numPr>
          <w:ilvl w:val="0"/>
          <w:numId w:val="1024"/>
        </w:numPr>
      </w:pPr>
      <w:r>
        <w:t xml:space="preserve">ANDD mesh becomes critical infrastructure in its own right — a distributed alternative to hyperscale dependence</w:t>
      </w:r>
    </w:p>
    <w:p>
      <w:r>
        <w:pict>
          <v:rect style="width:0;height:1.5pt" o:hralign="center" o:hrstd="t" o:hr="t"/>
        </w:pict>
      </w:r>
    </w:p>
    <w:bookmarkEnd w:id="137"/>
    <w:bookmarkEnd w:id="138"/>
    <w:bookmarkStart w:id="139" w:name="conclusion"/>
    <w:p>
      <w:pPr>
        <w:pStyle w:val="Heading2"/>
      </w:pPr>
      <w:r>
        <w:t xml:space="preserve">16. Conclusion</w:t>
      </w:r>
    </w:p>
    <w:p>
      <w:pPr>
        <w:pStyle w:val="FirstParagraph"/>
      </w:pPr>
      <w:r>
        <w:t xml:space="preserve">The concentration of compute infrastructure into a handful of hyperscale campuses was an artifact of an era when operational economics demanded scale and AI did not yet exist as an operational tool. That era is ending.</w:t>
      </w:r>
    </w:p>
    <w:p>
      <w:pPr>
        <w:pStyle w:val="BodyText"/>
      </w:pPr>
      <w:r>
        <w:t xml:space="preserve">ANDD demonstrates that AI-native operations eliminate the economic barrier to distributed deployment. When AI handles onboarding, provisioning, billing, monitoring, and maintenance, the marginal cost of adding a new edge node approaches the cost of the hardware itself. This economic unlock enables a network architecture that is superior on every dimension that matters for the next decade of infrastructure:</w:t>
      </w:r>
    </w:p>
    <w:p>
      <w:pPr>
        <w:pStyle w:val="Compact"/>
        <w:numPr>
          <w:ilvl w:val="0"/>
          <w:numId w:val="1025"/>
        </w:numPr>
      </w:pPr>
      <w:r>
        <w:rPr>
          <w:b/>
          <w:bCs/>
        </w:rPr>
        <w:t xml:space="preserve">Sovereignty:</w:t>
      </w:r>
      <w:r>
        <w:t xml:space="preserve"> </w:t>
      </w:r>
      <w:r>
        <w:t xml:space="preserve">Compute and data stay where they are generated and governed, under the jurisdiction of the communities and governments they serve.</w:t>
      </w:r>
    </w:p>
    <w:p>
      <w:pPr>
        <w:pStyle w:val="Compact"/>
        <w:numPr>
          <w:ilvl w:val="0"/>
          <w:numId w:val="1025"/>
        </w:numPr>
      </w:pPr>
      <w:r>
        <w:rPr>
          <w:b/>
          <w:bCs/>
        </w:rPr>
        <w:t xml:space="preserve">Security:</w:t>
      </w:r>
      <w:r>
        <w:t xml:space="preserve"> </w:t>
      </w:r>
      <w:r>
        <w:t xml:space="preserve">No single target can degrade the network. Mesh architecture ensures graceful degradation, not catastrophic failure.</w:t>
      </w:r>
    </w:p>
    <w:p>
      <w:pPr>
        <w:pStyle w:val="Compact"/>
        <w:numPr>
          <w:ilvl w:val="0"/>
          <w:numId w:val="1025"/>
        </w:numPr>
      </w:pPr>
      <w:r>
        <w:rPr>
          <w:b/>
          <w:bCs/>
        </w:rPr>
        <w:t xml:space="preserve">Resilience:</w:t>
      </w:r>
      <w:r>
        <w:t xml:space="preserve"> </w:t>
      </w:r>
      <w:r>
        <w:t xml:space="preserve">Distributed power (microgrids, BESS, renewables), distributed connectivity (multi-path, multi-carrier), and distributed compute mean that the network survives events that would cripple centralized alternatives.</w:t>
      </w:r>
    </w:p>
    <w:p>
      <w:pPr>
        <w:pStyle w:val="Compact"/>
        <w:numPr>
          <w:ilvl w:val="0"/>
          <w:numId w:val="1025"/>
        </w:numPr>
      </w:pPr>
      <w:r>
        <w:rPr>
          <w:b/>
          <w:bCs/>
        </w:rPr>
        <w:t xml:space="preserve">Equity:</w:t>
      </w:r>
      <w:r>
        <w:t xml:space="preserve"> </w:t>
      </w:r>
      <w:r>
        <w:t xml:space="preserve">Opportunity Zone deployment ensures that advanced compute, connectivity, and AI capabilities reach underserved communities — not just affluent coastal metros.</w:t>
      </w:r>
    </w:p>
    <w:p>
      <w:pPr>
        <w:pStyle w:val="Compact"/>
        <w:numPr>
          <w:ilvl w:val="0"/>
          <w:numId w:val="1025"/>
        </w:numPr>
      </w:pPr>
      <w:r>
        <w:rPr>
          <w:b/>
          <w:bCs/>
        </w:rPr>
        <w:t xml:space="preserve">DePIN Readiness:</w:t>
      </w:r>
      <w:r>
        <w:t xml:space="preserve"> </w:t>
      </w:r>
      <w:r>
        <w:t xml:space="preserve">Enterprise-grade physical infrastructure provides the reliable foundation that decentralized protocols need to move from crypto-native experiments to mainstream adoption.</w:t>
      </w:r>
    </w:p>
    <w:p>
      <w:pPr>
        <w:pStyle w:val="Compact"/>
        <w:numPr>
          <w:ilvl w:val="0"/>
          <w:numId w:val="1025"/>
        </w:numPr>
      </w:pPr>
      <w:r>
        <w:rPr>
          <w:b/>
          <w:bCs/>
        </w:rPr>
        <w:t xml:space="preserve">Economic Viability:</w:t>
      </w:r>
      <w:r>
        <w:t xml:space="preserve"> </w:t>
      </w:r>
      <w:r>
        <w:t xml:space="preserve">Multiple payment rails (fiat subscriptions, stablecoin settlement, micro-transactions, smart contract SLAs) serve every customer type from federal agencies to individual developers to autonomous DePIN protocols.</w:t>
      </w:r>
    </w:p>
    <w:p>
      <w:pPr>
        <w:pStyle w:val="FirstParagraph"/>
      </w:pPr>
      <w:r>
        <w:t xml:space="preserve">The question is no longer whether distributed, AI-managed datacenter infrastructure is technically feasible. The question is how quickly it can be deployed. ANDD is the answer.</w:t>
      </w:r>
    </w:p>
    <w:p>
      <w:r>
        <w:pict>
          <v:rect style="width:0;height:1.5pt" o:hralign="center" o:hrstd="t" o:hr="t"/>
        </w:pict>
      </w:r>
    </w:p>
    <w:p>
      <w:pPr>
        <w:pStyle w:val="FirstParagraph"/>
      </w:pPr>
      <w:r>
        <w:rPr>
          <w:b/>
          <w:bCs/>
        </w:rPr>
        <w:t xml:space="preserve">Contact:</w:t>
      </w:r>
      <w:r>
        <w:t xml:space="preserve"> </w:t>
      </w:r>
      <w:r>
        <w:t xml:space="preserve">contact@andd.network</w:t>
      </w:r>
      <w:r>
        <w:t xml:space="preserve"> </w:t>
      </w:r>
      <w:r>
        <w:rPr>
          <w:b/>
          <w:bCs/>
        </w:rPr>
        <w:t xml:space="preserve">Web:</w:t>
      </w:r>
      <w:r>
        <w:t xml:space="preserve"> </w:t>
      </w:r>
      <w:r>
        <w:t xml:space="preserve">andd.network</w:t>
      </w:r>
    </w:p>
    <w:p>
      <w:r>
        <w:pict>
          <v:rect style="width:0;height:1.5pt" o:hralign="center" o:hrstd="t" o:hr="t"/>
        </w:pict>
      </w:r>
    </w:p>
    <w:p>
      <w:pPr>
        <w:pStyle w:val="FirstParagraph"/>
      </w:pPr>
      <w:r>
        <w:rPr>
          <w:i/>
          <w:iCs/>
        </w:rPr>
        <w:t xml:space="preserve">This document contains forward-looking statements about technology capabilities, market conditions, and business plans. Actual results may differ. Technical specifications represent design targets based on currently available and near-term technology. Regulatory and tax information is provided for informational purposes and should not be construed as legal or tax advice.</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Native Distributed Datacenters: A Technical Architecture for Sovereign, Resilient, AI-Managed Edge Infrastructure</dc:title>
  <dc:creator/>
  <cp:keywords/>
  <dcterms:created xsi:type="dcterms:W3CDTF">2026-03-23T06:38:00Z</dcterms:created>
  <dcterms:modified xsi:type="dcterms:W3CDTF">2026-03-23T06:38:00Z</dcterms:modified>
</cp:coreProperties>
</file>

<file path=docProps/custom.xml><?xml version="1.0" encoding="utf-8"?>
<Properties xmlns="http://schemas.openxmlformats.org/officeDocument/2006/custom-properties" xmlns:vt="http://schemas.openxmlformats.org/officeDocument/2006/docPropsVTypes"/>
</file>