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C0C14"/>
            <w:tcMar>
              <w:top w:w="200" w:type="dxa"/>
              <w:left w:w="200" w:type="dxa"/>
              <w:bottom w:w="200" w:type="dxa"/>
              <w:right w:w="200" w:type="dxa"/>
            </w:tcMa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5943600" cy="3952494"/>
                  <wp:docPr id="1" name="Picture 1"/>
                  <wp:cNvGraphicFramePr>
                    <a:graphicFrameLocks noChangeAspect="1"/>
                  </wp:cNvGraphicFramePr>
                  <a:graphic>
                    <a:graphicData uri="http://schemas.openxmlformats.org/drawingml/2006/picture">
                      <pic:pic>
                        <pic:nvPicPr>
                          <pic:cNvPr id="0" name="mesh1.jpg"/>
                          <pic:cNvPicPr/>
                        </pic:nvPicPr>
                        <pic:blipFill>
                          <a:blip r:embed="rId9"/>
                          <a:stretch>
                            <a:fillRect/>
                          </a:stretch>
                        </pic:blipFill>
                        <pic:spPr>
                          <a:xfrm>
                            <a:off x="0" y="0"/>
                            <a:ext cx="5943600" cy="3952494"/>
                          </a:xfrm>
                          <a:prstGeom prst="rect"/>
                        </pic:spPr>
                      </pic:pic>
                    </a:graphicData>
                  </a:graphic>
                </wp:inline>
              </w:drawing>
            </w:r>
          </w:p>
          <w:p/>
          <w:p>
            <w:pPr>
              <w:jc w:val="center"/>
            </w:pPr>
            <w:r>
              <w:rPr>
                <w:rFonts w:ascii="Calibri" w:hAnsi="Calibri"/>
                <w:b/>
                <w:i w:val="0"/>
                <w:color w:val="FFFFFF"/>
                <w:sz w:val="96"/>
              </w:rPr>
              <w:t>ANDD</w:t>
            </w:r>
          </w:p>
          <w:p>
            <w:pPr>
              <w:jc w:val="center"/>
            </w:pPr>
            <w:r>
              <w:rPr>
                <w:rFonts w:ascii="Calibri" w:hAnsi="Calibri"/>
                <w:b w:val="0"/>
                <w:i w:val="0"/>
                <w:color w:val="8AA8C4"/>
                <w:sz w:val="32"/>
              </w:rPr>
              <w:t>AI NATIVE DISTRIBUTED DATACENTERS</w:t>
            </w:r>
          </w:p>
          <w:p>
            <w:pPr>
              <w:jc w:val="center"/>
            </w:pPr>
            <w:r>
              <w:rPr>
                <w:rFonts w:ascii="Calibri Light" w:hAnsi="Calibri Light"/>
                <w:b w:val="0"/>
                <w:i w:val="0"/>
                <w:color w:val="9A9AAA"/>
                <w:sz w:val="22"/>
              </w:rPr>
              <w:t>A Technical Architecture for Sovereign, Resilient,</w:t>
              <w:br/>
              <w:t>AI-Managed Edge Infrastructure</w:t>
            </w:r>
          </w:p>
          <w:p/>
          <w:p>
            <w:pPr>
              <w:jc w:val="center"/>
            </w:pPr>
            <w:r>
              <w:rPr>
                <w:rFonts w:ascii="Calibri Light" w:hAnsi="Calibri Light"/>
                <w:b w:val="0"/>
                <w:i w:val="0"/>
                <w:color w:val="5A5A6E"/>
                <w:sz w:val="18"/>
              </w:rPr>
              <w:t>Whitepaper v2.0  •  March 2026</w:t>
            </w:r>
          </w:p>
          <w:p>
            <w:pPr>
              <w:jc w:val="center"/>
            </w:pPr>
            <w:r>
              <w:rPr>
                <w:rFonts w:ascii="Calibri Light" w:hAnsi="Calibri Light"/>
                <w:b w:val="0"/>
                <w:i w:val="0"/>
                <w:color w:val="6B8AA6"/>
                <w:sz w:val="18"/>
              </w:rPr>
              <w:t>contact@andd.network  •  andd.network</w:t>
            </w:r>
          </w:p>
        </w:tc>
      </w:tr>
    </w:tbl>
    <w:p>
      <w:r>
        <w:br w:type="page"/>
      </w:r>
    </w:p>
    <w:p>
      <w:pPr>
        <w:keepNext/>
        <w:spacing w:before="280" w:after="80"/>
      </w:pPr>
      <w:r>
        <w:rPr>
          <w:rFonts w:ascii="Calibri" w:hAnsi="Calibri"/>
          <w:b/>
          <w:i w:val="0"/>
          <w:color w:val="1A1A2E"/>
          <w:sz w:val="28"/>
        </w:rPr>
        <w:t>Table of Contents</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tabs>
          <w:tab w:pos="504" w:val="left"/>
        </w:tabs>
        <w:spacing w:after="20"/>
      </w:pPr>
      <w:r>
        <w:rPr>
          <w:rFonts w:ascii="Calibri" w:hAnsi="Calibri"/>
          <w:b/>
          <w:i w:val="0"/>
          <w:color w:val="6B8AA6"/>
          <w:sz w:val="18"/>
        </w:rPr>
        <w:t>01</w:t>
      </w:r>
      <w:r>
        <w:rPr>
          <w:rFonts w:ascii="Calibri Light" w:hAnsi="Calibri Light"/>
          <w:b w:val="0"/>
          <w:i w:val="0"/>
          <w:color w:val="1A1A2E"/>
          <w:sz w:val="18"/>
        </w:rPr>
        <w:tab/>
        <w:t>Executive Summary</w:t>
      </w:r>
    </w:p>
    <w:p>
      <w:pPr>
        <w:tabs>
          <w:tab w:pos="504" w:val="left"/>
        </w:tabs>
        <w:spacing w:after="20"/>
      </w:pPr>
      <w:r>
        <w:rPr>
          <w:rFonts w:ascii="Calibri" w:hAnsi="Calibri"/>
          <w:b/>
          <w:i w:val="0"/>
          <w:color w:val="6B8AA6"/>
          <w:sz w:val="18"/>
        </w:rPr>
        <w:t>02</w:t>
      </w:r>
      <w:r>
        <w:rPr>
          <w:rFonts w:ascii="Calibri Light" w:hAnsi="Calibri Light"/>
          <w:b w:val="0"/>
          <w:i w:val="0"/>
          <w:color w:val="1A1A2E"/>
          <w:sz w:val="18"/>
        </w:rPr>
        <w:tab/>
        <w:t>The Case for Decentralization</w:t>
      </w:r>
    </w:p>
    <w:p>
      <w:pPr>
        <w:tabs>
          <w:tab w:pos="504" w:val="left"/>
        </w:tabs>
        <w:spacing w:after="20"/>
      </w:pPr>
      <w:r>
        <w:rPr>
          <w:rFonts w:ascii="Calibri" w:hAnsi="Calibri"/>
          <w:b/>
          <w:i w:val="0"/>
          <w:color w:val="6B8AA6"/>
          <w:sz w:val="18"/>
        </w:rPr>
        <w:t>03</w:t>
      </w:r>
      <w:r>
        <w:rPr>
          <w:rFonts w:ascii="Calibri Light" w:hAnsi="Calibri Light"/>
          <w:b w:val="0"/>
          <w:i w:val="0"/>
          <w:color w:val="1A1A2E"/>
          <w:sz w:val="18"/>
        </w:rPr>
        <w:tab/>
        <w:t>ANDD Architecture Overview</w:t>
      </w:r>
    </w:p>
    <w:p>
      <w:pPr>
        <w:tabs>
          <w:tab w:pos="504" w:val="left"/>
        </w:tabs>
        <w:spacing w:after="20"/>
      </w:pPr>
      <w:r>
        <w:rPr>
          <w:rFonts w:ascii="Calibri" w:hAnsi="Calibri"/>
          <w:b/>
          <w:i w:val="0"/>
          <w:color w:val="6B8AA6"/>
          <w:sz w:val="18"/>
        </w:rPr>
        <w:t>04</w:t>
      </w:r>
      <w:r>
        <w:rPr>
          <w:rFonts w:ascii="Calibri Light" w:hAnsi="Calibri Light"/>
          <w:b w:val="0"/>
          <w:i w:val="0"/>
          <w:color w:val="1A1A2E"/>
          <w:sz w:val="18"/>
        </w:rPr>
        <w:tab/>
        <w:t>Technical Architecture</w:t>
      </w:r>
    </w:p>
    <w:p>
      <w:pPr>
        <w:tabs>
          <w:tab w:pos="504" w:val="left"/>
        </w:tabs>
        <w:spacing w:after="20"/>
      </w:pPr>
      <w:r>
        <w:rPr>
          <w:rFonts w:ascii="Calibri" w:hAnsi="Calibri"/>
          <w:b/>
          <w:i w:val="0"/>
          <w:color w:val="6B8AA6"/>
          <w:sz w:val="18"/>
        </w:rPr>
        <w:t>05</w:t>
      </w:r>
      <w:r>
        <w:rPr>
          <w:rFonts w:ascii="Calibri Light" w:hAnsi="Calibri Light"/>
          <w:b w:val="0"/>
          <w:i w:val="0"/>
          <w:color w:val="1A1A2E"/>
          <w:sz w:val="18"/>
        </w:rPr>
        <w:tab/>
        <w:t>Bandwidth &amp; Connectivity</w:t>
      </w:r>
    </w:p>
    <w:p>
      <w:pPr>
        <w:tabs>
          <w:tab w:pos="504" w:val="left"/>
        </w:tabs>
        <w:spacing w:after="20"/>
      </w:pPr>
      <w:r>
        <w:rPr>
          <w:rFonts w:ascii="Calibri" w:hAnsi="Calibri"/>
          <w:b/>
          <w:i w:val="0"/>
          <w:color w:val="6B8AA6"/>
          <w:sz w:val="18"/>
        </w:rPr>
        <w:t>06</w:t>
      </w:r>
      <w:r>
        <w:rPr>
          <w:rFonts w:ascii="Calibri Light" w:hAnsi="Calibri Light"/>
          <w:b w:val="0"/>
          <w:i w:val="0"/>
          <w:color w:val="1A1A2E"/>
          <w:sz w:val="18"/>
        </w:rPr>
        <w:tab/>
        <w:t>Energy &amp; Mitigation Strategies</w:t>
      </w:r>
    </w:p>
    <w:p>
      <w:pPr>
        <w:tabs>
          <w:tab w:pos="504" w:val="left"/>
        </w:tabs>
        <w:spacing w:after="20"/>
      </w:pPr>
      <w:r>
        <w:rPr>
          <w:rFonts w:ascii="Calibri" w:hAnsi="Calibri"/>
          <w:b/>
          <w:i w:val="0"/>
          <w:color w:val="6B8AA6"/>
          <w:sz w:val="18"/>
        </w:rPr>
        <w:t>07</w:t>
      </w:r>
      <w:r>
        <w:rPr>
          <w:rFonts w:ascii="Calibri Light" w:hAnsi="Calibri Light"/>
          <w:b w:val="0"/>
          <w:i w:val="0"/>
          <w:color w:val="1A1A2E"/>
          <w:sz w:val="18"/>
        </w:rPr>
        <w:tab/>
        <w:t>AI-Native Operations</w:t>
      </w:r>
    </w:p>
    <w:p>
      <w:pPr>
        <w:tabs>
          <w:tab w:pos="504" w:val="left"/>
        </w:tabs>
        <w:spacing w:after="20"/>
      </w:pPr>
      <w:r>
        <w:rPr>
          <w:rFonts w:ascii="Calibri" w:hAnsi="Calibri"/>
          <w:b/>
          <w:i w:val="0"/>
          <w:color w:val="6B8AA6"/>
          <w:sz w:val="18"/>
        </w:rPr>
        <w:t>08</w:t>
      </w:r>
      <w:r>
        <w:rPr>
          <w:rFonts w:ascii="Calibri Light" w:hAnsi="Calibri Light"/>
          <w:b w:val="0"/>
          <w:i w:val="0"/>
          <w:color w:val="1A1A2E"/>
          <w:sz w:val="18"/>
        </w:rPr>
        <w:tab/>
        <w:t>Resilience Through Decentralization</w:t>
      </w:r>
    </w:p>
    <w:p>
      <w:pPr>
        <w:tabs>
          <w:tab w:pos="504" w:val="left"/>
        </w:tabs>
        <w:spacing w:after="20"/>
      </w:pPr>
      <w:r>
        <w:rPr>
          <w:rFonts w:ascii="Calibri" w:hAnsi="Calibri"/>
          <w:b/>
          <w:i w:val="0"/>
          <w:color w:val="6B8AA6"/>
          <w:sz w:val="18"/>
        </w:rPr>
        <w:t>09</w:t>
      </w:r>
      <w:r>
        <w:rPr>
          <w:rFonts w:ascii="Calibri Light" w:hAnsi="Calibri Light"/>
          <w:b w:val="0"/>
          <w:i w:val="0"/>
          <w:color w:val="1A1A2E"/>
          <w:sz w:val="18"/>
        </w:rPr>
        <w:tab/>
        <w:t>Payment Architecture</w:t>
      </w:r>
    </w:p>
    <w:p>
      <w:pPr>
        <w:tabs>
          <w:tab w:pos="504" w:val="left"/>
        </w:tabs>
        <w:spacing w:after="20"/>
      </w:pPr>
      <w:r>
        <w:rPr>
          <w:rFonts w:ascii="Calibri" w:hAnsi="Calibri"/>
          <w:b/>
          <w:i w:val="0"/>
          <w:color w:val="6B8AA6"/>
          <w:sz w:val="18"/>
        </w:rPr>
        <w:t>10</w:t>
      </w:r>
      <w:r>
        <w:rPr>
          <w:rFonts w:ascii="Calibri Light" w:hAnsi="Calibri Light"/>
          <w:b w:val="0"/>
          <w:i w:val="0"/>
          <w:color w:val="1A1A2E"/>
          <w:sz w:val="18"/>
        </w:rPr>
        <w:tab/>
        <w:t>DePIN Integration &amp; Pressure Test</w:t>
      </w:r>
    </w:p>
    <w:p>
      <w:pPr>
        <w:tabs>
          <w:tab w:pos="504" w:val="left"/>
        </w:tabs>
        <w:spacing w:after="20"/>
      </w:pPr>
      <w:r>
        <w:rPr>
          <w:rFonts w:ascii="Calibri" w:hAnsi="Calibri"/>
          <w:b/>
          <w:i w:val="0"/>
          <w:color w:val="6B8AA6"/>
          <w:sz w:val="18"/>
        </w:rPr>
        <w:t>11</w:t>
      </w:r>
      <w:r>
        <w:rPr>
          <w:rFonts w:ascii="Calibri Light" w:hAnsi="Calibri Light"/>
          <w:b w:val="0"/>
          <w:i w:val="0"/>
          <w:color w:val="1A1A2E"/>
          <w:sz w:val="18"/>
        </w:rPr>
        <w:tab/>
        <w:t>Opportunity Zone Alignment</w:t>
      </w:r>
    </w:p>
    <w:p>
      <w:pPr>
        <w:tabs>
          <w:tab w:pos="504" w:val="left"/>
        </w:tabs>
        <w:spacing w:after="20"/>
      </w:pPr>
      <w:r>
        <w:rPr>
          <w:rFonts w:ascii="Calibri" w:hAnsi="Calibri"/>
          <w:b/>
          <w:i w:val="0"/>
          <w:color w:val="6B8AA6"/>
          <w:sz w:val="18"/>
        </w:rPr>
        <w:t>12</w:t>
      </w:r>
      <w:r>
        <w:rPr>
          <w:rFonts w:ascii="Calibri Light" w:hAnsi="Calibri Light"/>
          <w:b w:val="0"/>
          <w:i w:val="0"/>
          <w:color w:val="1A1A2E"/>
          <w:sz w:val="18"/>
        </w:rPr>
        <w:tab/>
        <w:t>Implementation Roadmap</w:t>
      </w:r>
    </w:p>
    <w:p>
      <w:pPr>
        <w:tabs>
          <w:tab w:pos="504" w:val="left"/>
        </w:tabs>
        <w:spacing w:after="20"/>
      </w:pPr>
      <w:r>
        <w:rPr>
          <w:rFonts w:ascii="Calibri" w:hAnsi="Calibri"/>
          <w:b/>
          <w:i w:val="0"/>
          <w:color w:val="6B8AA6"/>
          <w:sz w:val="18"/>
        </w:rPr>
        <w:t>13</w:t>
      </w:r>
      <w:r>
        <w:rPr>
          <w:rFonts w:ascii="Calibri Light" w:hAnsi="Calibri Light"/>
          <w:b w:val="0"/>
          <w:i w:val="0"/>
          <w:color w:val="1A1A2E"/>
          <w:sz w:val="18"/>
        </w:rPr>
        <w:tab/>
        <w:t>Conclusion</w:t>
      </w:r>
    </w:p>
    <w:p>
      <w:r>
        <w:br w:type="page"/>
      </w:r>
    </w:p>
    <w:p>
      <w:pPr>
        <w:sectPr>
          <w:pgSz w:w="12240" w:h="15840"/>
          <w:pgMar w:top="720" w:right="1008" w:bottom="720" w:left="1008" w:header="720" w:footer="720" w:gutter="0"/>
          <w:cols w:space="720"/>
          <w:docGrid w:linePitch="360"/>
        </w:sectPr>
      </w:pPr>
    </w:p>
    <w:p>
      <w:pPr>
        <w:keepNext/>
        <w:spacing w:before="280" w:after="80"/>
      </w:pPr>
      <w:r>
        <w:rPr>
          <w:rFonts w:ascii="Calibri" w:hAnsi="Calibri"/>
          <w:b/>
          <w:i w:val="0"/>
          <w:color w:val="1A1A2E"/>
          <w:sz w:val="28"/>
        </w:rPr>
        <w:t>01  Executive Summary</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after="80" w:lineRule="auto" w:line="276"/>
      </w:pPr>
      <w:r>
        <w:rPr>
          <w:rFonts w:ascii="Calibri Light" w:hAnsi="Calibri Light"/>
          <w:b w:val="0"/>
          <w:i w:val="0"/>
          <w:color w:val="5A5A6E"/>
          <w:sz w:val="16"/>
        </w:rPr>
        <w:t>The global compute infrastructure serving AI, critical services, and digital economies is dangerously concentrated. Fewer than 30 hyperscale campuses process the vast majority of U.S. AI inference, financial transactions, government data, and emergency communications.</w:t>
      </w:r>
    </w:p>
    <w:p>
      <w:pPr>
        <w:spacing w:after="80" w:lineRule="auto" w:line="276"/>
      </w:pPr>
      <w:r>
        <w:rPr>
          <w:rFonts w:ascii="Calibri Light" w:hAnsi="Calibri Light"/>
          <w:b w:val="0"/>
          <w:i w:val="0"/>
          <w:color w:val="5A5A6E"/>
          <w:sz w:val="16"/>
        </w:rPr>
        <w:t>This concentration creates single points of failure for national security, economic continuity, and community resilience — and leaves underserved regions permanently behind.</w:t>
      </w:r>
    </w:p>
    <w:tbl>
      <w:tblPr>
        <w:jc w:val="left"/>
        <w:tblLook w:firstColumn="1" w:firstRow="1" w:lastColumn="0" w:lastRow="0" w:noHBand="0" w:noVBand="1" w:val="04A0"/>
        <w:tblW w:w="5000" w:type="pct"/>
        <w:tblLayout w:type="fixed"/>
      </w:tblPr>
      <w:tblGrid>
        <w:gridCol w:w="4752"/>
      </w:tblGrid>
      <w:tr>
        <w:tc>
          <w:tcPr>
            <w:tcW w:w="4752" w:type="dxa"/>
            <w:shd w:fill="F2F2F5"/>
            <w:tcMar>
              <w:top w:w="50" w:type="dxa"/>
              <w:left w:w="100" w:type="dxa"/>
              <w:bottom w:w="50" w:type="dxa"/>
              <w:right w:w="100" w:type="dxa"/>
            </w:tcMar>
            <w:tcBorders>
              <w:left w:val="single" w:sz="12" w:space="0" w:color="6B8AA6"/>
              <w:top w:val="none" w:sz="0" w:space="0" w:color="auto"/>
              <w:bottom w:val="none" w:sz="0" w:space="0" w:color="auto"/>
              <w:right w:val="none" w:sz="0" w:space="0" w:color="auto"/>
            </w:tcBorders>
          </w:tcPr>
          <w:p>
            <w:pPr>
              <w:spacing w:after="40"/>
            </w:pPr>
            <w:r>
              <w:rPr>
                <w:rFonts w:ascii="Calibri" w:hAnsi="Calibri"/>
                <w:b/>
                <w:i w:val="0"/>
                <w:color w:val="1A1A2E"/>
                <w:sz w:val="16"/>
              </w:rPr>
              <w:t>The ANDD Model</w:t>
            </w:r>
          </w:p>
          <w:p>
            <w:pPr>
              <w:spacing w:before="0" w:line="264" w:lineRule="auto"/>
            </w:pPr>
            <w:r>
              <w:rPr>
                <w:rFonts w:ascii="Calibri Light" w:hAnsi="Calibri Light"/>
                <w:b w:val="0"/>
                <w:i w:val="0"/>
                <w:color w:val="5A5A6E"/>
                <w:sz w:val="15"/>
              </w:rPr>
              <w:t>A network of hundreds to thousands of sub-2MW edge datacenters, deployed across Opportunity Zones, forming an interconnected mesh fabric entirely managed by AI. Autonomous onboarding, billing, provisioning, and maintenance — no human operators required for standard operations.</w:t>
            </w:r>
          </w:p>
        </w:tc>
      </w:tr>
    </w:tbl>
    <w:p/>
    <w:tbl>
      <w:tblPr>
        <w:jc w:val="center"/>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40" w:type="dxa"/>
              <w:left w:w="20" w:type="dxa"/>
              <w:bottom w:w="8"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w:hAnsi="Calibri"/>
                <w:b/>
                <w:i w:val="0"/>
                <w:color w:val="FFFFFF"/>
                <w:sz w:val="28"/>
              </w:rPr>
              <w:t>&lt;2MW</w:t>
            </w:r>
          </w:p>
        </w:tc>
        <w:tc>
          <w:tcPr>
            <w:tcW w:w="1188" w:type="dxa"/>
            <w:shd w:fill="1A1A2E"/>
            <w:tcMar>
              <w:top w:w="40" w:type="dxa"/>
              <w:left w:w="20" w:type="dxa"/>
              <w:bottom w:w="8"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w:hAnsi="Calibri"/>
                <w:b/>
                <w:i w:val="0"/>
                <w:color w:val="FFFFFF"/>
                <w:sz w:val="28"/>
              </w:rPr>
              <w:t>100s+</w:t>
            </w:r>
          </w:p>
        </w:tc>
        <w:tc>
          <w:tcPr>
            <w:tcW w:w="1188" w:type="dxa"/>
            <w:shd w:fill="1A1A2E"/>
            <w:tcMar>
              <w:top w:w="40" w:type="dxa"/>
              <w:left w:w="20" w:type="dxa"/>
              <w:bottom w:w="8"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w:hAnsi="Calibri"/>
                <w:b/>
                <w:i w:val="0"/>
                <w:color w:val="FFFFFF"/>
                <w:sz w:val="28"/>
              </w:rPr>
              <w:t>4</w:t>
            </w:r>
          </w:p>
        </w:tc>
        <w:tc>
          <w:tcPr>
            <w:tcW w:w="1188" w:type="dxa"/>
            <w:shd w:fill="1A1A2E"/>
            <w:tcMar>
              <w:top w:w="40" w:type="dxa"/>
              <w:left w:w="20" w:type="dxa"/>
              <w:bottom w:w="8"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w:hAnsi="Calibri"/>
                <w:b/>
                <w:i w:val="0"/>
                <w:color w:val="FFFFFF"/>
                <w:sz w:val="28"/>
              </w:rPr>
              <w:t>99.99%</w:t>
            </w:r>
          </w:p>
        </w:tc>
      </w:tr>
      <w:tr>
        <w:tc>
          <w:tcPr>
            <w:tcW w:w="1188" w:type="dxa"/>
            <w:shd w:fill="1A1A2E"/>
            <w:tcMar>
              <w:top w:w="8" w:type="dxa"/>
              <w:left w:w="20" w:type="dxa"/>
              <w:bottom w:w="40"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Light" w:hAnsi="Calibri Light"/>
                <w:b w:val="0"/>
                <w:i w:val="0"/>
                <w:color w:val="9A9AAA"/>
                <w:sz w:val="13"/>
              </w:rPr>
              <w:t>Per Site</w:t>
            </w:r>
          </w:p>
        </w:tc>
        <w:tc>
          <w:tcPr>
            <w:tcW w:w="1188" w:type="dxa"/>
            <w:shd w:fill="1A1A2E"/>
            <w:tcMar>
              <w:top w:w="8" w:type="dxa"/>
              <w:left w:w="20" w:type="dxa"/>
              <w:bottom w:w="40"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Light" w:hAnsi="Calibri Light"/>
                <w:b w:val="0"/>
                <w:i w:val="0"/>
                <w:color w:val="9A9AAA"/>
                <w:sz w:val="13"/>
              </w:rPr>
              <w:t>Locations</w:t>
            </w:r>
          </w:p>
        </w:tc>
        <w:tc>
          <w:tcPr>
            <w:tcW w:w="1188" w:type="dxa"/>
            <w:shd w:fill="1A1A2E"/>
            <w:tcMar>
              <w:top w:w="8" w:type="dxa"/>
              <w:left w:w="20" w:type="dxa"/>
              <w:bottom w:w="40"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Light" w:hAnsi="Calibri Light"/>
                <w:b w:val="0"/>
                <w:i w:val="0"/>
                <w:color w:val="9A9AAA"/>
                <w:sz w:val="13"/>
              </w:rPr>
              <w:t>HW Domains</w:t>
            </w:r>
          </w:p>
        </w:tc>
        <w:tc>
          <w:tcPr>
            <w:tcW w:w="1188" w:type="dxa"/>
            <w:shd w:fill="1A1A2E"/>
            <w:tcMar>
              <w:top w:w="8" w:type="dxa"/>
              <w:left w:w="20" w:type="dxa"/>
              <w:bottom w:w="40" w:type="dxa"/>
              <w:right w:w="20" w:type="dxa"/>
            </w:tcMar>
            <w:tcBorders>
              <w:top w:val="none" w:sz="0" w:space="0" w:color="auto"/>
              <w:left w:val="none" w:sz="0" w:space="0" w:color="auto"/>
              <w:bottom w:val="none" w:sz="0" w:space="0" w:color="auto"/>
              <w:right w:val="none" w:sz="0" w:space="0" w:color="auto"/>
            </w:tcBorders>
          </w:tcPr>
          <w:p>
            <w:pPr>
              <w:spacing w:before="0" w:after="0"/>
              <w:jc w:val="center"/>
            </w:pPr>
            <w:r>
              <w:rPr>
                <w:rFonts w:ascii="Calibri Light" w:hAnsi="Calibri Light"/>
                <w:b w:val="0"/>
                <w:i w:val="0"/>
                <w:color w:val="9A9AAA"/>
                <w:sz w:val="13"/>
              </w:rPr>
              <w:t>SLA Target</w:t>
            </w:r>
          </w:p>
        </w:tc>
      </w:tr>
    </w:tbl>
    <w:p/>
    <w:p>
      <w:pPr>
        <w:spacing w:before="120" w:after="20"/>
        <w:jc w:val="center"/>
      </w:pPr>
      <w:r>
        <w:drawing>
          <wp:inline xmlns:a="http://schemas.openxmlformats.org/drawingml/2006/main" xmlns:pic="http://schemas.openxmlformats.org/drawingml/2006/picture">
            <wp:extent cx="2651760" cy="1487195"/>
            <wp:docPr id="2" name="Picture 2"/>
            <wp:cNvGraphicFramePr>
              <a:graphicFrameLocks noChangeAspect="1"/>
            </wp:cNvGraphicFramePr>
            <a:graphic>
              <a:graphicData uri="http://schemas.openxmlformats.org/drawingml/2006/picture">
                <pic:pic>
                  <pic:nvPicPr>
                    <pic:cNvPr id="0" name="mesh2.jpg"/>
                    <pic:cNvPicPr/>
                  </pic:nvPicPr>
                  <pic:blipFill>
                    <a:blip r:embed="rId10"/>
                    <a:stretch>
                      <a:fillRect/>
                    </a:stretch>
                  </pic:blipFill>
                  <pic:spPr>
                    <a:xfrm>
                      <a:off x="0" y="0"/>
                      <a:ext cx="2651760" cy="1487195"/>
                    </a:xfrm>
                    <a:prstGeom prst="rect"/>
                  </pic:spPr>
                </pic:pic>
              </a:graphicData>
            </a:graphic>
          </wp:inline>
        </w:drawing>
      </w:r>
    </w:p>
    <w:p>
      <w:pPr>
        <w:spacing w:after="100"/>
        <w:jc w:val="center"/>
      </w:pPr>
      <w:r>
        <w:rPr>
          <w:rFonts w:ascii="Calibri Light" w:hAnsi="Calibri Light"/>
          <w:b w:val="0"/>
          <w:i/>
          <w:color w:val="9A9AAA"/>
          <w:sz w:val="13"/>
        </w:rPr>
        <w:t>Enterprise-grade edge infrastructure</w:t>
      </w:r>
    </w:p>
    <w:p>
      <w:pPr>
        <w:spacing w:after="80" w:lineRule="auto" w:line="276"/>
      </w:pPr>
      <w:r>
        <w:rPr>
          <w:rFonts w:ascii="Calibri Light" w:hAnsi="Calibri Light"/>
          <w:b w:val="0"/>
          <w:i w:val="0"/>
          <w:color w:val="5A5A6E"/>
          <w:sz w:val="16"/>
        </w:rPr>
        <w:t>This whitepaper details the four hardware domains, bandwidth and energy profiles, AI-native operations model, payment architecture spanning fiat to crypto micro-transactions, and a rigorous pressure test against existing DePIN projects.</w:t>
      </w:r>
    </w:p>
    <w:p>
      <w:pPr>
        <w:keepNext/>
        <w:spacing w:before="280" w:after="80"/>
      </w:pPr>
      <w:r>
        <w:rPr>
          <w:rFonts w:ascii="Calibri" w:hAnsi="Calibri"/>
          <w:b/>
          <w:i w:val="0"/>
          <w:color w:val="1A1A2E"/>
          <w:sz w:val="28"/>
        </w:rPr>
        <w:t>02  The Case for Decentralization</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keepNext/>
        <w:spacing w:before="200" w:after="60"/>
      </w:pPr>
      <w:r>
        <w:rPr>
          <w:rFonts w:ascii="Calibri" w:hAnsi="Calibri"/>
          <w:b/>
          <w:i w:val="0"/>
          <w:color w:val="2A2A3C"/>
          <w:sz w:val="20"/>
        </w:rPr>
        <w:t>The Concentration Problem</w:t>
      </w:r>
    </w:p>
    <w:p>
      <w:pPr>
        <w:spacing w:after="80" w:lineRule="auto" w:line="276"/>
      </w:pPr>
      <w:r>
        <w:rPr>
          <w:rFonts w:ascii="Calibri Light" w:hAnsi="Calibri Light"/>
          <w:b w:val="0"/>
          <w:i w:val="0"/>
          <w:color w:val="5A5A6E"/>
          <w:sz w:val="16"/>
        </w:rPr>
        <w:t>Northern Virginia hosts over 70% of East Coast internet traffic. The top five metro markets account for the majority of U.S. datacenter capacity. This creates compounding vulnerabilities:</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National Security. </w:t>
      </w:r>
      <w:r>
        <w:rPr>
          <w:rFonts w:ascii="Calibri Light" w:hAnsi="Calibri Light"/>
          <w:b w:val="0"/>
          <w:i w:val="0"/>
          <w:color w:val="5A5A6E"/>
          <w:sz w:val="14"/>
        </w:rPr>
        <w:t>A coordinated attack on fewer than a dozen campuses could degrade federal agencies, financial markets, and defense communications simultaneously.</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Latency Inequality. </w:t>
      </w:r>
      <w:r>
        <w:rPr>
          <w:rFonts w:ascii="Calibri Light" w:hAnsi="Calibri Light"/>
          <w:b w:val="0"/>
          <w:i w:val="0"/>
          <w:color w:val="5A5A6E"/>
          <w:sz w:val="14"/>
        </w:rPr>
        <w:t>Communities &gt;50ms from hyperscale regions cannot access real-time AI, telemedicine, or autonomous vehicle coordination.</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Sovereignty Erosion. </w:t>
      </w:r>
      <w:r>
        <w:rPr>
          <w:rFonts w:ascii="Calibri Light" w:hAnsi="Calibri Light"/>
          <w:b w:val="0"/>
          <w:i w:val="0"/>
          <w:color w:val="5A5A6E"/>
          <w:sz w:val="14"/>
        </w:rPr>
        <w:t>Government data depends on three to four hyperscale vendors' operational decisions and pricing.</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Grid Strain. </w:t>
      </w:r>
      <w:r>
        <w:rPr>
          <w:rFonts w:ascii="Calibri Light" w:hAnsi="Calibri Light"/>
          <w:b w:val="0"/>
          <w:i w:val="0"/>
          <w:color w:val="5A5A6E"/>
          <w:sz w:val="14"/>
        </w:rPr>
        <w:t>A single 300MW campus demands the output of a small power plant, straining regional grids.</w:t>
      </w:r>
    </w:p>
    <w:p>
      <w:pPr>
        <w:spacing w:before="120" w:after="20"/>
        <w:jc w:val="center"/>
      </w:pPr>
      <w:r>
        <w:drawing>
          <wp:inline xmlns:a="http://schemas.openxmlformats.org/drawingml/2006/main" xmlns:pic="http://schemas.openxmlformats.org/drawingml/2006/picture">
            <wp:extent cx="2651760" cy="1770050"/>
            <wp:docPr id="3" name="Picture 3"/>
            <wp:cNvGraphicFramePr>
              <a:graphicFrameLocks noChangeAspect="1"/>
            </wp:cNvGraphicFramePr>
            <a:graphic>
              <a:graphicData uri="http://schemas.openxmlformats.org/drawingml/2006/picture">
                <pic:pic>
                  <pic:nvPicPr>
                    <pic:cNvPr id="0" name="mesh12.jpg"/>
                    <pic:cNvPicPr/>
                  </pic:nvPicPr>
                  <pic:blipFill>
                    <a:blip r:embed="rId11"/>
                    <a:stretch>
                      <a:fillRect/>
                    </a:stretch>
                  </pic:blipFill>
                  <pic:spPr>
                    <a:xfrm>
                      <a:off x="0" y="0"/>
                      <a:ext cx="2651760" cy="1770050"/>
                    </a:xfrm>
                    <a:prstGeom prst="rect"/>
                  </pic:spPr>
                </pic:pic>
              </a:graphicData>
            </a:graphic>
          </wp:inline>
        </w:drawing>
      </w:r>
    </w:p>
    <w:p>
      <w:pPr>
        <w:spacing w:after="100"/>
        <w:jc w:val="center"/>
      </w:pPr>
      <w:r>
        <w:rPr>
          <w:rFonts w:ascii="Calibri Light" w:hAnsi="Calibri Light"/>
          <w:b w:val="0"/>
          <w:i/>
          <w:color w:val="9A9AAA"/>
          <w:sz w:val="13"/>
        </w:rPr>
        <w:t>Concentrated infrastructure leaves most communities behind</w:t>
      </w:r>
    </w:p>
    <w:p>
      <w:pPr>
        <w:keepNext/>
        <w:spacing w:before="200" w:after="60"/>
      </w:pPr>
      <w:r>
        <w:rPr>
          <w:rFonts w:ascii="Calibri" w:hAnsi="Calibri"/>
          <w:b/>
          <w:i w:val="0"/>
          <w:color w:val="2A2A3C"/>
          <w:sz w:val="20"/>
        </w:rPr>
        <w:t>Why Now</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AI Inference at the Edge. </w:t>
      </w:r>
      <w:r>
        <w:rPr>
          <w:rFonts w:ascii="Calibri Light" w:hAnsi="Calibri Light"/>
          <w:b w:val="0"/>
          <w:i w:val="0"/>
          <w:color w:val="5A5A6E"/>
          <w:sz w:val="14"/>
        </w:rPr>
        <w:t>60–70% of all AI compute is inference — latency-sensitive, geographically distributed, ideal for edge.</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DePIN Needs Upgrading. </w:t>
      </w:r>
      <w:r>
        <w:rPr>
          <w:rFonts w:ascii="Calibri Light" w:hAnsi="Calibri Light"/>
          <w:b w:val="0"/>
          <w:i w:val="0"/>
          <w:color w:val="5A5A6E"/>
          <w:sz w:val="14"/>
        </w:rPr>
        <w:t>Consumer hardware hits reliability ceilings. Enterprise customers need 99.99% uptime and compliance.</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Federal Policy Tailwind. </w:t>
      </w:r>
      <w:r>
        <w:rPr>
          <w:rFonts w:ascii="Calibri Light" w:hAnsi="Calibri Light"/>
          <w:b w:val="0"/>
          <w:i w:val="0"/>
          <w:color w:val="5A5A6E"/>
          <w:sz w:val="14"/>
        </w:rPr>
        <w:t>Opportunity Zones (8,764 tracts), bipartisan AI infrastructure support, rural broadband funding.</w:t>
      </w:r>
    </w:p>
    <w:p>
      <w:pPr>
        <w:keepNext/>
        <w:spacing w:before="200" w:after="60"/>
      </w:pPr>
      <w:r>
        <w:rPr>
          <w:rFonts w:ascii="Calibri" w:hAnsi="Calibri"/>
          <w:b/>
          <w:i w:val="0"/>
          <w:color w:val="2A2A3C"/>
          <w:sz w:val="20"/>
        </w:rPr>
        <w:t>The AI-Native Unlock</w:t>
      </w:r>
    </w:p>
    <w:p>
      <w:pPr>
        <w:spacing w:after="80" w:lineRule="auto" w:line="276"/>
      </w:pPr>
      <w:r>
        <w:rPr>
          <w:rFonts w:ascii="Calibri Light" w:hAnsi="Calibri Light"/>
          <w:b w:val="0"/>
          <w:i w:val="0"/>
          <w:color w:val="5A5A6E"/>
          <w:sz w:val="16"/>
        </w:rPr>
        <w:t>Previous distributed datacenter attempts failed on economics — sub-2MW sites can’t justify full operations teams. ANDD inverts this: AI handles onboarding, provisioning, billing, monitoring, and maintenance. The marginal cost of a new site approaches hardware cost alone.</w:t>
      </w:r>
    </w:p>
    <w:p>
      <w:pPr>
        <w:keepNext/>
        <w:spacing w:before="280" w:after="80"/>
      </w:pPr>
      <w:r>
        <w:rPr>
          <w:rFonts w:ascii="Calibri" w:hAnsi="Calibri"/>
          <w:b/>
          <w:i w:val="0"/>
          <w:color w:val="1A1A2E"/>
          <w:sz w:val="28"/>
        </w:rPr>
        <w:t>03  Architecture Overview</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before="120" w:after="20"/>
        <w:jc w:val="center"/>
      </w:pPr>
      <w:r>
        <w:drawing>
          <wp:inline xmlns:a="http://schemas.openxmlformats.org/drawingml/2006/main" xmlns:pic="http://schemas.openxmlformats.org/drawingml/2006/picture">
            <wp:extent cx="2651760" cy="1988820"/>
            <wp:docPr id="4" name="Picture 4"/>
            <wp:cNvGraphicFramePr>
              <a:graphicFrameLocks noChangeAspect="1"/>
            </wp:cNvGraphicFramePr>
            <a:graphic>
              <a:graphicData uri="http://schemas.openxmlformats.org/drawingml/2006/picture">
                <pic:pic>
                  <pic:nvPicPr>
                    <pic:cNvPr id="0" name="mesh16.jpg"/>
                    <pic:cNvPicPr/>
                  </pic:nvPicPr>
                  <pic:blipFill>
                    <a:blip r:embed="rId12"/>
                    <a:stretch>
                      <a:fillRect/>
                    </a:stretch>
                  </pic:blipFill>
                  <pic:spPr>
                    <a:xfrm>
                      <a:off x="0" y="0"/>
                      <a:ext cx="2651760" cy="1988820"/>
                    </a:xfrm>
                    <a:prstGeom prst="rect"/>
                  </pic:spPr>
                </pic:pic>
              </a:graphicData>
            </a:graphic>
          </wp:inline>
        </w:drawing>
      </w:r>
    </w:p>
    <w:p>
      <w:pPr>
        <w:spacing w:after="100"/>
        <w:jc w:val="center"/>
      </w:pPr>
      <w:r>
        <w:rPr>
          <w:rFonts w:ascii="Calibri Light" w:hAnsi="Calibri Light"/>
          <w:b w:val="0"/>
          <w:i/>
          <w:color w:val="9A9AAA"/>
          <w:sz w:val="13"/>
        </w:rPr>
        <w:t>Interconnected mesh fabric — no single point of failure</w:t>
      </w:r>
    </w:p>
    <w:p>
      <w:pPr>
        <w:keepNext/>
        <w:spacing w:before="200" w:after="60"/>
      </w:pPr>
      <w:r>
        <w:rPr>
          <w:rFonts w:ascii="Calibri" w:hAnsi="Calibri"/>
          <w:b/>
          <w:i w:val="0"/>
          <w:color w:val="2A2A3C"/>
          <w:sz w:val="20"/>
        </w:rPr>
        <w:t>Three-Tier Mesh Fabric</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Component</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Power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Role</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AI Control Plane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Distributed</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Global routing, billing, capacity planning</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Regional Hubs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1–2MW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Aggregation, peering, training GPUs</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Nodes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200kW–500kW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Local compute, inference, storage</w:t>
            </w:r>
          </w:p>
        </w:tc>
      </w:tr>
    </w:tbl>
    <w:p/>
    <w:p>
      <w:pPr>
        <w:keepNext/>
        <w:spacing w:before="200" w:after="60"/>
      </w:pPr>
      <w:r>
        <w:rPr>
          <w:rFonts w:ascii="Calibri" w:hAnsi="Calibri"/>
          <w:b/>
          <w:i w:val="0"/>
          <w:color w:val="2A2A3C"/>
          <w:sz w:val="20"/>
        </w:rPr>
        <w:t>Connectivity Per Node</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Link Type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Medium</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Bandwidth</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Primary uplink</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Fiber / microwave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 Gbps</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Redundant uplink</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Diverse fiber / 5G / LEO sat</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1–10 Gbps</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Mesh peering</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Direct node-to-node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 Gbps</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2nd hub path</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Via mesh or direct</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Variable</w:t>
            </w:r>
          </w:p>
        </w:tc>
      </w:tr>
    </w:tbl>
    <w:p/>
    <w:p>
      <w:pPr>
        <w:keepNext/>
        <w:spacing w:before="200" w:after="60"/>
      </w:pPr>
      <w:r>
        <w:rPr>
          <w:rFonts w:ascii="Calibri" w:hAnsi="Calibri"/>
          <w:b/>
          <w:i w:val="0"/>
          <w:color w:val="2A2A3C"/>
          <w:sz w:val="20"/>
        </w:rPr>
        <w:t>Site Layout</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System</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Components</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Spec</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IT</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Compute (x4–8) + AI (x2–4) + Storage (x2–4)</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Configurable mix</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Network</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Leaf-spine + edge router</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100/400GbE + BGP</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Power</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Utility + ATS + UPS + solar/BESS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Microgrid capable</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Cooling</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DLC + immersion + air economizer</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PUE 1.15–1.25</w:t>
            </w:r>
          </w:p>
        </w:tc>
      </w:tr>
    </w:tbl>
    <w:p>
      <w:pPr>
        <w:keepNext/>
        <w:spacing w:before="280" w:after="80"/>
      </w:pPr>
      <w:r>
        <w:rPr>
          <w:rFonts w:ascii="Calibri" w:hAnsi="Calibri"/>
          <w:b/>
          <w:i w:val="0"/>
          <w:color w:val="1A1A2E"/>
          <w:sz w:val="28"/>
        </w:rPr>
        <w:t>04  Technical Architecture</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keepNext/>
        <w:spacing w:before="200" w:after="60"/>
      </w:pPr>
      <w:r>
        <w:rPr>
          <w:rFonts w:ascii="Calibri" w:hAnsi="Calibri"/>
          <w:b/>
          <w:i w:val="0"/>
          <w:color w:val="2A2A3C"/>
          <w:sz w:val="20"/>
        </w:rPr>
        <w:t>AI Accelerators</w:t>
      </w:r>
    </w:p>
    <w:p>
      <w:pPr>
        <w:spacing w:before="120" w:after="20"/>
        <w:jc w:val="center"/>
      </w:pPr>
      <w:r>
        <w:drawing>
          <wp:inline xmlns:a="http://schemas.openxmlformats.org/drawingml/2006/main" xmlns:pic="http://schemas.openxmlformats.org/drawingml/2006/picture">
            <wp:extent cx="2651760" cy="1766735"/>
            <wp:docPr id="5" name="Picture 5"/>
            <wp:cNvGraphicFramePr>
              <a:graphicFrameLocks noChangeAspect="1"/>
            </wp:cNvGraphicFramePr>
            <a:graphic>
              <a:graphicData uri="http://schemas.openxmlformats.org/drawingml/2006/picture">
                <pic:pic>
                  <pic:nvPicPr>
                    <pic:cNvPr id="0" name="mesh5.jpg"/>
                    <pic:cNvPicPr/>
                  </pic:nvPicPr>
                  <pic:blipFill>
                    <a:blip r:embed="rId13"/>
                    <a:stretch>
                      <a:fillRect/>
                    </a:stretch>
                  </pic:blipFill>
                  <pic:spPr>
                    <a:xfrm>
                      <a:off x="0" y="0"/>
                      <a:ext cx="2651760" cy="1766735"/>
                    </a:xfrm>
                    <a:prstGeom prst="rect"/>
                  </pic:spPr>
                </pic:pic>
              </a:graphicData>
            </a:graphic>
          </wp:inline>
        </w:drawing>
      </w:r>
    </w:p>
    <w:p>
      <w:pPr>
        <w:spacing w:after="100"/>
        <w:jc w:val="center"/>
      </w:pPr>
      <w:r>
        <w:rPr>
          <w:rFonts w:ascii="Calibri Light" w:hAnsi="Calibri Light"/>
          <w:b w:val="0"/>
          <w:i/>
          <w:color w:val="9A9AAA"/>
          <w:sz w:val="13"/>
        </w:rPr>
        <w:t>Purpose-built silicon for edge inference</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Accelerator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TDP</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Memory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NVIDIA L4</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72W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24GB</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(efficient)</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NVIDIA L40S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300W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48GB</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(inference)</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AMD MI300X</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750W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192GB HBM3</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 Hub</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AMD MI325X</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750W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256GB HBM3e</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 Hub</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Intel Gaudi 3</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~600W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128GB HBM2e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(cost)</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NVIDIA H100</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700W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80GB HBM3</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(train)</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NVIDIA H200</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700W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141GB HBM3e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(large)</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NVIDIA B200</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1,000W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192GB HBM3e</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(train)</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GB200 NVL2</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2,700W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384GB HBM3e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(liquid)</w:t>
            </w:r>
          </w:p>
        </w:tc>
      </w:tr>
    </w:tbl>
    <w:p/>
    <w:p>
      <w:pPr>
        <w:keepNext/>
        <w:spacing w:before="200" w:after="60"/>
      </w:pPr>
      <w:r>
        <w:rPr>
          <w:rFonts w:ascii="Calibri" w:hAnsi="Calibri"/>
          <w:b/>
          <w:i w:val="0"/>
          <w:color w:val="2A2A3C"/>
          <w:sz w:val="20"/>
        </w:rPr>
        <w:t>Edge AI Feasibility</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Workload</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Hardware</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Power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Latency</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LLM 7–13B</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1x L40S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300W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20–100ms/tok</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LLM 70B</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2–4x H100</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700W–1.4kW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50–200ms/tok</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Image/video</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1x L4</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72W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5–20ms</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Speech</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1x L4</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72W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&lt;100ms</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RAG pipeline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1–2x H100</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100–500ms</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Fraud detection</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1x L40S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300W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&lt;50ms</w:t>
            </w:r>
          </w:p>
        </w:tc>
      </w:tr>
    </w:tbl>
    <w:p/>
    <w:p>
      <w:pPr>
        <w:keepNext/>
        <w:spacing w:before="200" w:after="60"/>
      </w:pPr>
      <w:r>
        <w:rPr>
          <w:rFonts w:ascii="Calibri" w:hAnsi="Calibri"/>
          <w:b/>
          <w:i w:val="0"/>
          <w:color w:val="2A2A3C"/>
          <w:sz w:val="20"/>
        </w:rPr>
        <w:t>Software Stack</w:t>
      </w:r>
    </w:p>
    <w:tbl>
      <w:tblPr>
        <w:jc w:val="left"/>
        <w:tblLook w:firstColumn="1" w:firstRow="1" w:lastColumn="0" w:lastRow="0" w:noHBand="0" w:noVBand="1" w:val="04A0"/>
        <w:tblW w:w="5000" w:type="pct"/>
        <w:tblLayout w:type="fixed"/>
      </w:tblPr>
      <w:tblGrid>
        <w:gridCol w:w="2376"/>
        <w:gridCol w:w="2376"/>
      </w:tblGrid>
      <w:tr>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Layer</w:t>
            </w:r>
          </w:p>
        </w:tc>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Components</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AI Management</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Onboarding, Provisioning, Billing, SLA agents</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Orchestration</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K3s/RKE2, Istio mesh, AI scheduler</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Infrastructure</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SDN (OVS/VPP), Ceph/MinIO, AI-controlled DCIM</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Hardware</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BMC/Redfish, GPU drivers, SONiC/Cumulus</w:t>
            </w:r>
          </w:p>
        </w:tc>
      </w:tr>
    </w:tbl>
    <w:p/>
    <w:p>
      <w:pPr>
        <w:keepNext/>
        <w:spacing w:before="200" w:after="60"/>
      </w:pPr>
      <w:r>
        <w:rPr>
          <w:rFonts w:ascii="Calibri" w:hAnsi="Calibri"/>
          <w:b/>
          <w:i w:val="0"/>
          <w:color w:val="2A2A3C"/>
          <w:sz w:val="20"/>
        </w:rPr>
        <w:t>Security</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Zero-trust: </w:t>
      </w:r>
      <w:r>
        <w:rPr>
          <w:rFonts w:ascii="Calibri Light" w:hAnsi="Calibri Light"/>
          <w:b w:val="0"/>
          <w:i w:val="0"/>
          <w:color w:val="5A5A6E"/>
          <w:sz w:val="14"/>
        </w:rPr>
        <w:t>mTLS on all workload-to-workload communication</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Hardware root of trust: </w:t>
      </w:r>
      <w:r>
        <w:rPr>
          <w:rFonts w:ascii="Calibri Light" w:hAnsi="Calibri Light"/>
          <w:b w:val="0"/>
          <w:i w:val="0"/>
          <w:color w:val="5A5A6E"/>
          <w:sz w:val="14"/>
        </w:rPr>
        <w:t>TPM 2.0, measured boot, remote attestation</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Tenant isolation: </w:t>
      </w:r>
      <w:r>
        <w:rPr>
          <w:rFonts w:ascii="Calibri Light" w:hAnsi="Calibri Light"/>
          <w:b w:val="0"/>
          <w:i w:val="0"/>
          <w:color w:val="5A5A6E"/>
          <w:sz w:val="14"/>
        </w:rPr>
        <w:t>SR-IOV, SEV-SNP/TDX confidential compute</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Physical: </w:t>
      </w:r>
      <w:r>
        <w:rPr>
          <w:rFonts w:ascii="Calibri Light" w:hAnsi="Calibri Light"/>
          <w:b w:val="0"/>
          <w:i w:val="0"/>
          <w:color w:val="5A5A6E"/>
          <w:sz w:val="14"/>
        </w:rPr>
        <w:t>Biometric access, AI surveillance, SCIF options</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Compliance: </w:t>
      </w:r>
      <w:r>
        <w:rPr>
          <w:rFonts w:ascii="Calibri Light" w:hAnsi="Calibri Light"/>
          <w:b w:val="0"/>
          <w:i w:val="0"/>
          <w:color w:val="5A5A6E"/>
          <w:sz w:val="14"/>
        </w:rPr>
        <w:t>FedRAMP, SOC 2, HIPAA, CJIS, ITAR</w:t>
      </w:r>
    </w:p>
    <w:p>
      <w:pPr>
        <w:keepNext/>
        <w:spacing w:before="280" w:after="80"/>
      </w:pPr>
      <w:r>
        <w:rPr>
          <w:rFonts w:ascii="Calibri" w:hAnsi="Calibri"/>
          <w:b/>
          <w:i w:val="0"/>
          <w:color w:val="1A1A2E"/>
          <w:sz w:val="28"/>
        </w:rPr>
        <w:t>05  Bandwidth &amp; Connectivity</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tbl>
      <w:tblPr>
        <w:jc w:val="left"/>
        <w:tblLook w:firstColumn="1" w:firstRow="1" w:lastColumn="0" w:lastRow="0" w:noHBand="0" w:noVBand="1" w:val="04A0"/>
        <w:tblW w:w="5000" w:type="pct"/>
        <w:tblLayout w:type="fixed"/>
      </w:tblPr>
      <w:tblGrid>
        <w:gridCol w:w="950"/>
        <w:gridCol w:w="950"/>
        <w:gridCol w:w="950"/>
        <w:gridCol w:w="950"/>
        <w:gridCol w:w="950"/>
      </w:tblGrid>
      <w:tr>
        <w:tc>
          <w:tcPr>
            <w:tcW w:w="950"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c>
          <w:tcPr>
            <w:tcW w:w="950"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Primary</w:t>
            </w:r>
          </w:p>
        </w:tc>
        <w:tc>
          <w:tcPr>
            <w:tcW w:w="950"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Redundant</w:t>
            </w:r>
          </w:p>
        </w:tc>
        <w:tc>
          <w:tcPr>
            <w:tcW w:w="950"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Mesh</w:t>
            </w:r>
          </w:p>
        </w:tc>
        <w:tc>
          <w:tcPr>
            <w:tcW w:w="950"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Total</w:t>
            </w:r>
          </w:p>
        </w:tc>
      </w:tr>
      <w:tr>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200kW</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20–30G</w:t>
            </w:r>
          </w:p>
        </w:tc>
      </w:tr>
      <w:tr>
        <w:tc>
          <w:tcPr>
            <w:tcW w:w="950"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500kW</w:t>
            </w:r>
          </w:p>
        </w:tc>
        <w:tc>
          <w:tcPr>
            <w:tcW w:w="950"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40G</w:t>
            </w:r>
          </w:p>
        </w:tc>
        <w:tc>
          <w:tcPr>
            <w:tcW w:w="950"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10G</w:t>
            </w:r>
          </w:p>
        </w:tc>
        <w:tc>
          <w:tcPr>
            <w:tcW w:w="950"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25G</w:t>
            </w:r>
          </w:p>
        </w:tc>
        <w:tc>
          <w:tcPr>
            <w:tcW w:w="950"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50–75G</w:t>
            </w:r>
          </w:p>
        </w:tc>
      </w:tr>
      <w:tr>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1–2MW</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100G</w:t>
            </w:r>
          </w:p>
        </w:tc>
        <w:tc>
          <w:tcPr>
            <w:tcW w:w="950"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200–300G</w:t>
            </w:r>
          </w:p>
        </w:tc>
      </w:tr>
    </w:tbl>
    <w:p/>
    <w:p>
      <w:pPr>
        <w:spacing w:before="120" w:after="20"/>
        <w:jc w:val="center"/>
      </w:pPr>
      <w:r>
        <w:drawing>
          <wp:inline xmlns:a="http://schemas.openxmlformats.org/drawingml/2006/main" xmlns:pic="http://schemas.openxmlformats.org/drawingml/2006/picture">
            <wp:extent cx="2651760" cy="1766735"/>
            <wp:docPr id="6" name="Picture 6"/>
            <wp:cNvGraphicFramePr>
              <a:graphicFrameLocks noChangeAspect="1"/>
            </wp:cNvGraphicFramePr>
            <a:graphic>
              <a:graphicData uri="http://schemas.openxmlformats.org/drawingml/2006/picture">
                <pic:pic>
                  <pic:nvPicPr>
                    <pic:cNvPr id="0" name="mesh10.jpg"/>
                    <pic:cNvPicPr/>
                  </pic:nvPicPr>
                  <pic:blipFill>
                    <a:blip r:embed="rId14"/>
                    <a:stretch>
                      <a:fillRect/>
                    </a:stretch>
                  </pic:blipFill>
                  <pic:spPr>
                    <a:xfrm>
                      <a:off x="0" y="0"/>
                      <a:ext cx="2651760" cy="1766735"/>
                    </a:xfrm>
                    <a:prstGeom prst="rect"/>
                  </pic:spPr>
                </pic:pic>
              </a:graphicData>
            </a:graphic>
          </wp:inline>
        </w:drawing>
      </w:r>
    </w:p>
    <w:p>
      <w:pPr>
        <w:spacing w:after="100"/>
        <w:jc w:val="center"/>
      </w:pPr>
      <w:r>
        <w:rPr>
          <w:rFonts w:ascii="Calibri Light" w:hAnsi="Calibri Light"/>
          <w:b w:val="0"/>
          <w:i/>
          <w:color w:val="9A9AAA"/>
          <w:sz w:val="13"/>
        </w:rPr>
        <w:t>Redundant, multi-path connectivity</w:t>
      </w:r>
    </w:p>
    <w:p>
      <w:pPr>
        <w:keepNext/>
        <w:spacing w:before="160" w:after="40"/>
      </w:pPr>
      <w:r>
        <w:rPr>
          <w:rFonts w:ascii="Calibri" w:hAnsi="Calibri"/>
          <w:b/>
          <w:i w:val="0"/>
          <w:color w:val="6B8AA6"/>
          <w:sz w:val="17"/>
        </w:rPr>
        <w:t>Backhaul by Geography</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Type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Primary</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Backup</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Urban</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Multi-carrier fiber 10–40G</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5G/LTE 1–5G</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Suburban</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Fiber 10–40G</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Diverse fiber 10G</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Rural</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Licensed wireless / LEO sat 1–10G</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5G/LTE</w:t>
            </w:r>
          </w:p>
        </w:tc>
      </w:tr>
    </w:tbl>
    <w:p/>
    <w:p>
      <w:pPr>
        <w:keepNext/>
        <w:spacing w:before="160" w:after="40"/>
      </w:pPr>
      <w:r>
        <w:rPr>
          <w:rFonts w:ascii="Calibri" w:hAnsi="Calibri"/>
          <w:b/>
          <w:i w:val="0"/>
          <w:color w:val="6B8AA6"/>
          <w:sz w:val="17"/>
        </w:rPr>
        <w:t>Protocol Stack</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Underlay: </w:t>
      </w:r>
      <w:r>
        <w:rPr>
          <w:rFonts w:ascii="Calibri Light" w:hAnsi="Calibri Light"/>
          <w:b w:val="0"/>
          <w:i w:val="0"/>
          <w:color w:val="5A5A6E"/>
          <w:sz w:val="14"/>
        </w:rPr>
        <w:t>eBPF + SRv6 segment routing</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Overlay: </w:t>
      </w:r>
      <w:r>
        <w:rPr>
          <w:rFonts w:ascii="Calibri Light" w:hAnsi="Calibri Light"/>
          <w:b w:val="0"/>
          <w:i w:val="0"/>
          <w:color w:val="5A5A6E"/>
          <w:sz w:val="14"/>
        </w:rPr>
        <w:t>WireGuard/MACsec + VXLAN/GENEVE</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Peering: </w:t>
      </w:r>
      <w:r>
        <w:rPr>
          <w:rFonts w:ascii="Calibri Light" w:hAnsi="Calibri Light"/>
          <w:b w:val="0"/>
          <w:i w:val="0"/>
          <w:color w:val="5A5A6E"/>
          <w:sz w:val="14"/>
        </w:rPr>
        <w:t>Automated BGP with RPKI</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DNS: </w:t>
      </w:r>
      <w:r>
        <w:rPr>
          <w:rFonts w:ascii="Calibri Light" w:hAnsi="Calibri Light"/>
          <w:b w:val="0"/>
          <w:i w:val="0"/>
          <w:color w:val="5A5A6E"/>
          <w:sz w:val="14"/>
        </w:rPr>
        <w:t>Anycast across all nodes</w:t>
      </w:r>
    </w:p>
    <w:p>
      <w:pPr>
        <w:spacing w:after="40" w:lineRule="auto" w:line="264"/>
        <w:ind w:left="144"/>
      </w:pPr>
      <w:r>
        <w:rPr>
          <w:rFonts w:ascii="Calibri" w:hAnsi="Calibri"/>
          <w:b w:val="0"/>
          <w:i w:val="0"/>
          <w:color w:val="6B8AA6"/>
          <w:sz w:val="14"/>
        </w:rPr>
        <w:t xml:space="preserve">• </w:t>
      </w:r>
      <w:r>
        <w:rPr>
          <w:rFonts w:ascii="Calibri" w:hAnsi="Calibri"/>
          <w:b/>
          <w:i w:val="0"/>
          <w:color w:val="1A1A2E"/>
          <w:sz w:val="14"/>
        </w:rPr>
        <w:t xml:space="preserve">GSLB: </w:t>
      </w:r>
      <w:r>
        <w:rPr>
          <w:rFonts w:ascii="Calibri Light" w:hAnsi="Calibri Light"/>
          <w:b w:val="0"/>
          <w:i w:val="0"/>
          <w:color w:val="5A5A6E"/>
          <w:sz w:val="14"/>
        </w:rPr>
        <w:t>AI-driven, latency/cost/carbon aware</w:t>
      </w:r>
    </w:p>
    <w:p>
      <w:pPr>
        <w:keepNext/>
        <w:spacing w:before="280" w:after="80"/>
      </w:pPr>
      <w:r>
        <w:rPr>
          <w:rFonts w:ascii="Calibri" w:hAnsi="Calibri"/>
          <w:b/>
          <w:i w:val="0"/>
          <w:color w:val="1A1A2E"/>
          <w:sz w:val="28"/>
        </w:rPr>
        <w:t>06  Energy &amp; Mitigation</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tbl>
      <w:tblPr>
        <w:jc w:val="left"/>
        <w:tblLook w:firstColumn="1" w:firstRow="1" w:lastColumn="0" w:lastRow="0" w:noHBand="0" w:noVBand="1" w:val="04A0"/>
        <w:tblW w:w="5000" w:type="pct"/>
        <w:tblLayout w:type="fixed"/>
      </w:tblPr>
      <w:tblGrid>
        <w:gridCol w:w="792"/>
        <w:gridCol w:w="792"/>
        <w:gridCol w:w="792"/>
        <w:gridCol w:w="792"/>
        <w:gridCol w:w="792"/>
        <w:gridCol w:w="792"/>
      </w:tblGrid>
      <w:tr>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IT</w:t>
            </w:r>
          </w:p>
        </w:tc>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Cooling</w:t>
            </w:r>
          </w:p>
        </w:tc>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Infra</w:t>
            </w:r>
          </w:p>
        </w:tc>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Total</w:t>
            </w:r>
          </w:p>
        </w:tc>
        <w:tc>
          <w:tcPr>
            <w:tcW w:w="792"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PUE</w:t>
            </w:r>
          </w:p>
        </w:tc>
      </w:tr>
      <w:tr>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200kW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25kW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25kW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1.15–1.25</w:t>
            </w:r>
          </w:p>
        </w:tc>
      </w:tr>
      <w:tr>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500kW</w:t>
            </w:r>
          </w:p>
        </w:tc>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380kW</w:t>
            </w:r>
          </w:p>
        </w:tc>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65kW</w:t>
            </w:r>
          </w:p>
        </w:tc>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55kW</w:t>
            </w:r>
          </w:p>
        </w:tc>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500kW</w:t>
            </w:r>
          </w:p>
        </w:tc>
        <w:tc>
          <w:tcPr>
            <w:tcW w:w="792"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1.15–1.25</w:t>
            </w:r>
          </w:p>
        </w:tc>
      </w:tr>
      <w:tr>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Hub 2MW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1,500kW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280kW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220kW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2MW</w:t>
            </w:r>
          </w:p>
        </w:tc>
        <w:tc>
          <w:tcPr>
            <w:tcW w:w="792"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1.15–1.25</w:t>
            </w:r>
          </w:p>
        </w:tc>
      </w:tr>
    </w:tbl>
    <w:p/>
    <w:p>
      <w:pPr>
        <w:keepNext/>
        <w:spacing w:before="200" w:after="60"/>
      </w:pPr>
      <w:r>
        <w:rPr>
          <w:rFonts w:ascii="Calibri" w:hAnsi="Calibri"/>
          <w:b/>
          <w:i w:val="0"/>
          <w:color w:val="2A2A3C"/>
          <w:sz w:val="20"/>
        </w:rPr>
        <w:t>Cooling Comparison</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Technology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Cooling kW</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IT Capacity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PUE</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Air (DX)</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150–200kW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300–350kW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1.40–1.80</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Rear-door HX</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75–125kW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375–425kW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1.20–1.40</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Direct liquid</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40–75kW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425–460kW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1.10–1.20</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Immersion (1φ)</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15–30kW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470–485kW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1.02–1.06</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Immersion (2φ)</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10–20kW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480–490kW</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1.01–1.04</w:t>
            </w:r>
          </w:p>
        </w:tc>
      </w:tr>
    </w:tbl>
    <w:p/>
    <w:tbl>
      <w:tblPr>
        <w:jc w:val="left"/>
        <w:tblLook w:firstColumn="1" w:firstRow="1" w:lastColumn="0" w:lastRow="0" w:noHBand="0" w:noVBand="1" w:val="04A0"/>
        <w:tblW w:w="5000" w:type="pct"/>
        <w:tblLayout w:type="fixed"/>
      </w:tblPr>
      <w:tblGrid>
        <w:gridCol w:w="4752"/>
      </w:tblGrid>
      <w:tr>
        <w:tc>
          <w:tcPr>
            <w:tcW w:w="4752" w:type="dxa"/>
            <w:shd w:fill="F2F2F5"/>
            <w:tcMar>
              <w:top w:w="50" w:type="dxa"/>
              <w:left w:w="100" w:type="dxa"/>
              <w:bottom w:w="50" w:type="dxa"/>
              <w:right w:w="100" w:type="dxa"/>
            </w:tcMar>
            <w:tcBorders>
              <w:left w:val="single" w:sz="12" w:space="0" w:color="6B8AA6"/>
              <w:top w:val="none" w:sz="0" w:space="0" w:color="auto"/>
              <w:bottom w:val="none" w:sz="0" w:space="0" w:color="auto"/>
              <w:right w:val="none" w:sz="0" w:space="0" w:color="auto"/>
            </w:tcBorders>
          </w:tcPr>
          <w:p>
            <w:pPr>
              <w:spacing w:after="40"/>
            </w:pPr>
            <w:r>
              <w:rPr>
                <w:rFonts w:ascii="Calibri" w:hAnsi="Calibri"/>
                <w:b/>
                <w:i w:val="0"/>
                <w:color w:val="1A1A2E"/>
                <w:sz w:val="16"/>
              </w:rPr>
              <w:t>30% More Compute, Same Power</w:t>
            </w:r>
          </w:p>
          <w:p>
            <w:pPr>
              <w:spacing w:before="0" w:line="264" w:lineRule="auto"/>
            </w:pPr>
            <w:r>
              <w:rPr>
                <w:rFonts w:ascii="Calibri Light" w:hAnsi="Calibri Light"/>
                <w:b w:val="0"/>
                <w:i w:val="0"/>
                <w:color w:val="5A5A6E"/>
                <w:sz w:val="15"/>
              </w:rPr>
              <w:t>Moving from air cooling to immersion saves ~300kW per MW — increasing usable compute by 30% within the same power envelope.</w:t>
            </w:r>
          </w:p>
        </w:tc>
      </w:tr>
    </w:tbl>
    <w:p>
      <w:pPr>
        <w:keepNext/>
        <w:spacing w:before="200" w:after="60"/>
      </w:pPr>
      <w:r>
        <w:rPr>
          <w:rFonts w:ascii="Calibri" w:hAnsi="Calibri"/>
          <w:b/>
          <w:i w:val="0"/>
          <w:color w:val="2A2A3C"/>
          <w:sz w:val="20"/>
        </w:rPr>
        <w:t>Renewable Economics</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Component</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Spec</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Cost</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Value</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Solar</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100kW carport</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~$150K</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175 MWh/yr</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BESS (LFP)</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500kWh/250kW</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~$200K</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2hr backup + cycling</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IRA ITC</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30–50%</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–$105K–$175K</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Capital reduction</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Grid services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Freq. reg + DR</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$50–200K/yr/MW</w:t>
            </w:r>
          </w:p>
        </w:tc>
      </w:tr>
    </w:tbl>
    <w:p/>
    <w:p>
      <w:pPr>
        <w:spacing w:after="60" w:lineRule="auto" w:line="276"/>
      </w:pPr>
      <w:r>
        <w:rPr>
          <w:rFonts w:ascii="Calibri" w:hAnsi="Calibri"/>
          <w:b/>
          <w:i w:val="0"/>
          <w:color w:val="1A1A2E"/>
          <w:sz w:val="16"/>
        </w:rPr>
        <w:t>Effective payback: 2–4 years after incentives.</w:t>
      </w:r>
    </w:p>
    <w:p>
      <w:pPr>
        <w:keepNext/>
        <w:spacing w:before="200" w:after="60"/>
      </w:pPr>
      <w:r>
        <w:rPr>
          <w:rFonts w:ascii="Calibri" w:hAnsi="Calibri"/>
          <w:b/>
          <w:i w:val="0"/>
          <w:color w:val="2A2A3C"/>
          <w:sz w:val="20"/>
        </w:rPr>
        <w:t>Federal Funding</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Program</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Amount</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Use</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DOE GRIP</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$10.5B</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Microgrids, DER</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DOE LPO</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$400B+</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Clean energy lending</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ARPA-E COOLERCHIPS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$42M</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DC cooling R&amp;D</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IRA ITC</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30–50%</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Solar, BESS, fuel cells</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NTIA BEAD</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$42.45B</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Broadband + edge</w:t>
            </w:r>
          </w:p>
        </w:tc>
      </w:tr>
    </w:tbl>
    <w:p>
      <w:pPr>
        <w:keepNext/>
        <w:spacing w:before="280" w:after="80"/>
      </w:pPr>
      <w:r>
        <w:rPr>
          <w:rFonts w:ascii="Calibri" w:hAnsi="Calibri"/>
          <w:b/>
          <w:i w:val="0"/>
          <w:color w:val="1A1A2E"/>
          <w:sz w:val="28"/>
        </w:rPr>
        <w:t>07  AI-Native Operations</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before="120" w:after="20"/>
        <w:jc w:val="center"/>
      </w:pPr>
      <w:r>
        <w:drawing>
          <wp:inline xmlns:a="http://schemas.openxmlformats.org/drawingml/2006/main" xmlns:pic="http://schemas.openxmlformats.org/drawingml/2006/picture">
            <wp:extent cx="2651760" cy="3314700"/>
            <wp:docPr id="7" name="Picture 7"/>
            <wp:cNvGraphicFramePr>
              <a:graphicFrameLocks noChangeAspect="1"/>
            </wp:cNvGraphicFramePr>
            <a:graphic>
              <a:graphicData uri="http://schemas.openxmlformats.org/drawingml/2006/picture">
                <pic:pic>
                  <pic:nvPicPr>
                    <pic:cNvPr id="0" name="mesh9.jpg"/>
                    <pic:cNvPicPr/>
                  </pic:nvPicPr>
                  <pic:blipFill>
                    <a:blip r:embed="rId15"/>
                    <a:stretch>
                      <a:fillRect/>
                    </a:stretch>
                  </pic:blipFill>
                  <pic:spPr>
                    <a:xfrm>
                      <a:off x="0" y="0"/>
                      <a:ext cx="2651760" cy="3314700"/>
                    </a:xfrm>
                    <a:prstGeom prst="rect"/>
                  </pic:spPr>
                </pic:pic>
              </a:graphicData>
            </a:graphic>
          </wp:inline>
        </w:drawing>
      </w:r>
    </w:p>
    <w:p>
      <w:pPr>
        <w:spacing w:after="100"/>
        <w:jc w:val="center"/>
      </w:pPr>
      <w:r>
        <w:rPr>
          <w:rFonts w:ascii="Calibri Light" w:hAnsi="Calibri Light"/>
          <w:b w:val="0"/>
          <w:i/>
          <w:color w:val="9A9AAA"/>
          <w:sz w:val="13"/>
        </w:rPr>
        <w:t>AI agents manage the entire datacenter lifecycle</w:t>
      </w:r>
    </w:p>
    <w:p>
      <w:pPr>
        <w:spacing w:after="80" w:lineRule="auto" w:line="276"/>
      </w:pPr>
      <w:r>
        <w:rPr>
          <w:rFonts w:ascii="Calibri Light" w:hAnsi="Calibri Light"/>
          <w:b w:val="0"/>
          <w:i w:val="0"/>
          <w:color w:val="5A5A6E"/>
          <w:sz w:val="16"/>
        </w:rPr>
        <w:t>Traditional operations require full-time staff per site, establishing a ~5MW minimum viable size. ANDD eliminates this with autonomous AI agents:</w:t>
      </w:r>
    </w:p>
    <w:tbl>
      <w:tblPr>
        <w:jc w:val="left"/>
        <w:tblLook w:firstColumn="1" w:firstRow="1" w:lastColumn="0" w:lastRow="0" w:noHBand="0" w:noVBand="1" w:val="04A0"/>
        <w:tblW w:w="5000" w:type="pct"/>
        <w:tblLayout w:type="fixed"/>
      </w:tblPr>
      <w:tblGrid>
        <w:gridCol w:w="2376"/>
        <w:gridCol w:w="2376"/>
      </w:tblGrid>
      <w:tr>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Agent</w:t>
            </w:r>
          </w:p>
        </w:tc>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Function</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Orchestration</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Coordinates sub-agents, escalates exceptions</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Onboarding</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Lead qualification, proposals, KYC, provisioning</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Provisioning</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Workload mapping, node placement, auto-scaling</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Billing</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Sub-second metering, invoicing, fiat+crypto reconciliation</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Maintenance</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Sensor telemetry, digital twins, preventive scheduling</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SLA Guardian</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Threshold monitoring, auto-remediation, credit issuance</w:t>
            </w:r>
          </w:p>
        </w:tc>
      </w:tr>
    </w:tbl>
    <w:p/>
    <w:tbl>
      <w:tblPr>
        <w:jc w:val="left"/>
        <w:tblLook w:firstColumn="1" w:firstRow="1" w:lastColumn="0" w:lastRow="0" w:noHBand="0" w:noVBand="1" w:val="04A0"/>
        <w:tblW w:w="5000" w:type="pct"/>
        <w:tblLayout w:type="fixed"/>
      </w:tblPr>
      <w:tblGrid>
        <w:gridCol w:w="4752"/>
      </w:tblGrid>
      <w:tr>
        <w:tc>
          <w:tcPr>
            <w:tcW w:w="4752" w:type="dxa"/>
            <w:shd w:fill="F2F2F5"/>
            <w:tcMar>
              <w:top w:w="50" w:type="dxa"/>
              <w:left w:w="100" w:type="dxa"/>
              <w:bottom w:w="50" w:type="dxa"/>
              <w:right w:w="100" w:type="dxa"/>
            </w:tcMar>
            <w:tcBorders>
              <w:left w:val="single" w:sz="12" w:space="0" w:color="6B8AA6"/>
              <w:top w:val="none" w:sz="0" w:space="0" w:color="auto"/>
              <w:bottom w:val="none" w:sz="0" w:space="0" w:color="auto"/>
              <w:right w:val="none" w:sz="0" w:space="0" w:color="auto"/>
            </w:tcBorders>
          </w:tcPr>
          <w:p>
            <w:pPr>
              <w:spacing w:after="40"/>
            </w:pPr>
            <w:r>
              <w:rPr>
                <w:rFonts w:ascii="Calibri" w:hAnsi="Calibri"/>
                <w:b/>
                <w:i w:val="0"/>
                <w:color w:val="1A1A2E"/>
                <w:sz w:val="16"/>
              </w:rPr>
              <w:t>1 Human per 20–50 Nodes</w:t>
            </w:r>
          </w:p>
          <w:p>
            <w:pPr>
              <w:spacing w:before="0" w:line="264" w:lineRule="auto"/>
            </w:pPr>
            <w:r>
              <w:rPr>
                <w:rFonts w:ascii="Calibri Light" w:hAnsi="Calibri Light"/>
                <w:b w:val="0"/>
                <w:i w:val="0"/>
                <w:color w:val="5A5A6E"/>
                <w:sz w:val="15"/>
              </w:rPr>
              <w:t>A 10–25x improvement over traditional staffing. Humans handle exceptions, strategy, physical maintenance, and compliance oversight.</w:t>
            </w:r>
          </w:p>
        </w:tc>
      </w:tr>
    </w:tbl>
    <w:p>
      <w:pPr>
        <w:keepNext/>
        <w:spacing w:before="160" w:after="40"/>
      </w:pPr>
      <w:r>
        <w:rPr>
          <w:rFonts w:ascii="Calibri" w:hAnsi="Calibri"/>
          <w:b/>
          <w:i w:val="0"/>
          <w:color w:val="6B8AA6"/>
          <w:sz w:val="17"/>
        </w:rPr>
        <w:t>Self-Hosting Architecture</w:t>
      </w:r>
    </w:p>
    <w:p>
      <w:pPr>
        <w:spacing w:after="40" w:lineRule="auto" w:line="264"/>
        <w:ind w:left="144"/>
      </w:pPr>
      <w:r>
        <w:rPr>
          <w:rFonts w:ascii="Calibri" w:hAnsi="Calibri"/>
          <w:b w:val="0"/>
          <w:i w:val="0"/>
          <w:color w:val="6B8AA6"/>
          <w:sz w:val="14"/>
        </w:rPr>
        <w:t xml:space="preserve">• </w:t>
      </w:r>
      <w:r>
        <w:rPr>
          <w:rFonts w:ascii="Calibri Light" w:hAnsi="Calibri Light"/>
          <w:b w:val="0"/>
          <w:i w:val="0"/>
          <w:color w:val="5A5A6E"/>
          <w:sz w:val="14"/>
        </w:rPr>
        <w:t>Foundation LLM runs on ANDD’s own GPUs — no external API dependency</w:t>
      </w:r>
    </w:p>
    <w:p>
      <w:pPr>
        <w:spacing w:after="40" w:lineRule="auto" w:line="264"/>
        <w:ind w:left="144"/>
      </w:pPr>
      <w:r>
        <w:rPr>
          <w:rFonts w:ascii="Calibri" w:hAnsi="Calibri"/>
          <w:b w:val="0"/>
          <w:i w:val="0"/>
          <w:color w:val="6B8AA6"/>
          <w:sz w:val="14"/>
        </w:rPr>
        <w:t xml:space="preserve">• </w:t>
      </w:r>
      <w:r>
        <w:rPr>
          <w:rFonts w:ascii="Calibri Light" w:hAnsi="Calibri Light"/>
          <w:b w:val="0"/>
          <w:i w:val="0"/>
          <w:color w:val="5A5A6E"/>
          <w:sz w:val="14"/>
        </w:rPr>
        <w:t>Specialized models for maintenance, networking, billing</w:t>
      </w:r>
    </w:p>
    <w:p>
      <w:pPr>
        <w:spacing w:after="40" w:lineRule="auto" w:line="264"/>
        <w:ind w:left="144"/>
      </w:pPr>
      <w:r>
        <w:rPr>
          <w:rFonts w:ascii="Calibri" w:hAnsi="Calibri"/>
          <w:b w:val="0"/>
          <w:i w:val="0"/>
          <w:color w:val="6B8AA6"/>
          <w:sz w:val="14"/>
        </w:rPr>
        <w:t xml:space="preserve">• </w:t>
      </w:r>
      <w:r>
        <w:rPr>
          <w:rFonts w:ascii="Calibri Light" w:hAnsi="Calibri Light"/>
          <w:b w:val="0"/>
          <w:i w:val="0"/>
          <w:color w:val="5A5A6E"/>
          <w:sz w:val="14"/>
        </w:rPr>
        <w:t>Staged rollout: shadow → canary → full, with auto-rollback</w:t>
      </w:r>
    </w:p>
    <w:p>
      <w:pPr>
        <w:spacing w:after="40" w:lineRule="auto" w:line="264"/>
        <w:ind w:left="144"/>
      </w:pPr>
      <w:r>
        <w:rPr>
          <w:rFonts w:ascii="Calibri" w:hAnsi="Calibri"/>
          <w:b w:val="0"/>
          <w:i w:val="0"/>
          <w:color w:val="6B8AA6"/>
          <w:sz w:val="14"/>
        </w:rPr>
        <w:t xml:space="preserve">• </w:t>
      </w:r>
      <w:r>
        <w:rPr>
          <w:rFonts w:ascii="Calibri Light" w:hAnsi="Calibri Light"/>
          <w:b w:val="0"/>
          <w:i w:val="0"/>
          <w:color w:val="5A5A6E"/>
          <w:sz w:val="14"/>
        </w:rPr>
        <w:t>Full reasoning chain logging for auditability</w:t>
      </w:r>
    </w:p>
    <w:p>
      <w:pPr>
        <w:keepNext/>
        <w:spacing w:before="280" w:after="80"/>
      </w:pPr>
      <w:r>
        <w:rPr>
          <w:rFonts w:ascii="Calibri" w:hAnsi="Calibri"/>
          <w:b/>
          <w:i w:val="0"/>
          <w:color w:val="1A1A2E"/>
          <w:sz w:val="28"/>
        </w:rPr>
        <w:t>08  Resilience Through Decentralization</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before="120" w:after="20"/>
        <w:jc w:val="center"/>
      </w:pPr>
      <w:r>
        <w:drawing>
          <wp:inline xmlns:a="http://schemas.openxmlformats.org/drawingml/2006/main" xmlns:pic="http://schemas.openxmlformats.org/drawingml/2006/picture">
            <wp:extent cx="2651760" cy="1770050"/>
            <wp:docPr id="8" name="Picture 8"/>
            <wp:cNvGraphicFramePr>
              <a:graphicFrameLocks noChangeAspect="1"/>
            </wp:cNvGraphicFramePr>
            <a:graphic>
              <a:graphicData uri="http://schemas.openxmlformats.org/drawingml/2006/picture">
                <pic:pic>
                  <pic:nvPicPr>
                    <pic:cNvPr id="0" name="mesh6.jpg"/>
                    <pic:cNvPicPr/>
                  </pic:nvPicPr>
                  <pic:blipFill>
                    <a:blip r:embed="rId16"/>
                    <a:stretch>
                      <a:fillRect/>
                    </a:stretch>
                  </pic:blipFill>
                  <pic:spPr>
                    <a:xfrm>
                      <a:off x="0" y="0"/>
                      <a:ext cx="2651760" cy="1770050"/>
                    </a:xfrm>
                    <a:prstGeom prst="rect"/>
                  </pic:spPr>
                </pic:pic>
              </a:graphicData>
            </a:graphic>
          </wp:inline>
        </w:drawing>
      </w:r>
    </w:p>
    <w:p>
      <w:pPr>
        <w:spacing w:after="100"/>
        <w:jc w:val="center"/>
      </w:pPr>
      <w:r>
        <w:rPr>
          <w:rFonts w:ascii="Calibri Light" w:hAnsi="Calibri Light"/>
          <w:b w:val="0"/>
          <w:i/>
          <w:color w:val="9A9AAA"/>
          <w:sz w:val="13"/>
        </w:rPr>
        <w:t>Distributed architecture eliminates single points of failure</w:t>
      </w:r>
    </w:p>
    <w:p>
      <w:pPr>
        <w:keepNext/>
        <w:spacing w:before="160" w:after="40"/>
      </w:pPr>
      <w:r>
        <w:rPr>
          <w:rFonts w:ascii="Calibri" w:hAnsi="Calibri"/>
          <w:b/>
          <w:i w:val="0"/>
          <w:color w:val="6B8AA6"/>
          <w:sz w:val="17"/>
        </w:rPr>
        <w:t>Payments</w:t>
      </w:r>
    </w:p>
    <w:p>
      <w:pPr>
        <w:spacing w:after="80" w:lineRule="auto" w:line="276"/>
      </w:pPr>
      <w:r>
        <w:rPr>
          <w:rFonts w:ascii="Calibri Light" w:hAnsi="Calibri Light"/>
          <w:b w:val="0"/>
          <w:i w:val="0"/>
          <w:color w:val="5A5A6E"/>
          <w:sz w:val="16"/>
        </w:rPr>
        <w:t>Distributed card authorization, ACH, FedNow gateways across hundreds of nodes. Local store-and-forward during backbone disruptions. Crypto rails as backup settlement layer.</w:t>
      </w:r>
    </w:p>
    <w:p>
      <w:pPr>
        <w:keepNext/>
        <w:spacing w:before="160" w:after="40"/>
      </w:pPr>
      <w:r>
        <w:rPr>
          <w:rFonts w:ascii="Calibri" w:hAnsi="Calibri"/>
          <w:b/>
          <w:i w:val="0"/>
          <w:color w:val="6B8AA6"/>
          <w:sz w:val="17"/>
        </w:rPr>
        <w:t>Energy Grid</w:t>
      </w:r>
    </w:p>
    <w:p>
      <w:pPr>
        <w:spacing w:after="80" w:lineRule="auto" w:line="276"/>
      </w:pPr>
      <w:r>
        <w:rPr>
          <w:rFonts w:ascii="Calibri Light" w:hAnsi="Calibri Light"/>
          <w:b w:val="0"/>
          <w:i w:val="0"/>
          <w:color w:val="5A5A6E"/>
          <w:sz w:val="16"/>
        </w:rPr>
        <w:t>Distributed SCADA/EMS hosting. Edge compute for DER control loops (&lt;10ms). Virtual power plant from distributed BESS. Microgrid islanding during emergencies.</w:t>
      </w:r>
    </w:p>
    <w:p>
      <w:pPr>
        <w:keepNext/>
        <w:spacing w:before="160" w:after="40"/>
      </w:pPr>
      <w:r>
        <w:rPr>
          <w:rFonts w:ascii="Calibri" w:hAnsi="Calibri"/>
          <w:b/>
          <w:i w:val="0"/>
          <w:color w:val="6B8AA6"/>
          <w:sz w:val="17"/>
        </w:rPr>
        <w:t>Emergency Services</w:t>
      </w:r>
    </w:p>
    <w:p>
      <w:pPr>
        <w:spacing w:after="80" w:lineRule="auto" w:line="276"/>
      </w:pPr>
      <w:r>
        <w:rPr>
          <w:rFonts w:ascii="Calibri Light" w:hAnsi="Calibri Light"/>
          <w:b w:val="0"/>
          <w:i w:val="0"/>
          <w:color w:val="5A5A6E"/>
          <w:sz w:val="16"/>
        </w:rPr>
        <w:t>Local NG911 hosting. FirstNet edge compute. Emergency operations center computing. LEO satellite backhaul when terrestrial networks fail.</w:t>
      </w:r>
    </w:p>
    <w:p>
      <w:pPr>
        <w:keepNext/>
        <w:spacing w:before="160" w:after="40"/>
      </w:pPr>
      <w:r>
        <w:rPr>
          <w:rFonts w:ascii="Calibri" w:hAnsi="Calibri"/>
          <w:b/>
          <w:i w:val="0"/>
          <w:color w:val="6B8AA6"/>
          <w:sz w:val="17"/>
        </w:rPr>
        <w:t>Utilities &amp; Water</w:t>
      </w:r>
    </w:p>
    <w:p>
      <w:pPr>
        <w:spacing w:after="80" w:lineRule="auto" w:line="276"/>
      </w:pPr>
      <w:r>
        <w:rPr>
          <w:rFonts w:ascii="Calibri Light" w:hAnsi="Calibri Light"/>
          <w:b w:val="0"/>
          <w:i w:val="0"/>
          <w:color w:val="5A5A6E"/>
          <w:sz w:val="16"/>
        </w:rPr>
        <w:t>Local SCADA for water/wastewater/gas. Semi-air-gapped operation. AI anomaly detection for contamination and cyber intrusion.</w:t>
      </w:r>
    </w:p>
    <w:p>
      <w:pPr>
        <w:keepNext/>
        <w:spacing w:before="200" w:after="60"/>
      </w:pPr>
      <w:r>
        <w:rPr>
          <w:rFonts w:ascii="Calibri" w:hAnsi="Calibri"/>
          <w:b/>
          <w:i w:val="0"/>
          <w:color w:val="2A2A3C"/>
          <w:sz w:val="20"/>
        </w:rPr>
        <w:t>Quantified Advantage</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Architecture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Per-Unit Uptime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System Availability</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Single hyperscale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99.99%</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99.99% (67 min/yr down)</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ANDD mesh (100 nodes)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99.95% per node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99.9999%+ (graceful degradation)</w:t>
            </w:r>
          </w:p>
        </w:tc>
      </w:tr>
    </w:tbl>
    <w:p>
      <w:pPr>
        <w:keepNext/>
        <w:spacing w:before="280" w:after="80"/>
      </w:pPr>
      <w:r>
        <w:rPr>
          <w:rFonts w:ascii="Calibri" w:hAnsi="Calibri"/>
          <w:b/>
          <w:i w:val="0"/>
          <w:color w:val="1A1A2E"/>
          <w:sz w:val="28"/>
        </w:rPr>
        <w:t>09  Payment Architecture</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keepNext/>
        <w:spacing w:before="200" w:after="60"/>
      </w:pPr>
      <w:r>
        <w:rPr>
          <w:rFonts w:ascii="Calibri" w:hAnsi="Calibri"/>
          <w:b/>
          <w:i w:val="0"/>
          <w:color w:val="2A2A3C"/>
          <w:sz w:val="20"/>
        </w:rPr>
        <w:t>Fiat Tiers</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Model</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Methods</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Use Case</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Starter</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Monthly</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Card, ACH</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Startups</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Professional</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Monthly/Annual</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ACH, wire</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Mid-market</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Enterprise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Annual</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Wire, PO</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Large enterprise</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Government</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Multi-year</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Treasury/PO</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Federal/state/local</w:t>
            </w:r>
          </w:p>
        </w:tc>
      </w:tr>
    </w:tbl>
    <w:p/>
    <w:p>
      <w:pPr>
        <w:keepNext/>
        <w:spacing w:before="200" w:after="60"/>
      </w:pPr>
      <w:r>
        <w:rPr>
          <w:rFonts w:ascii="Calibri" w:hAnsi="Calibri"/>
          <w:b/>
          <w:i w:val="0"/>
          <w:color w:val="2A2A3C"/>
          <w:sz w:val="20"/>
        </w:rPr>
        <w:t>Crypto &amp; Micro-Transactions</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Rail</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Use Case</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Finality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Cost/Tx</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Ethereum L1</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Enterprise contracts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 min</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$1–$20</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Solana</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High-frequency</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Sub-second</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~$0.001</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L2 (Arbitrum/Base)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Medium-frequency</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Minutes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$0.01–0.10</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Payment channels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Micro-transactions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Instant</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Near-zero</w:t>
            </w:r>
          </w:p>
        </w:tc>
      </w:tr>
    </w:tbl>
    <w:p/>
    <w:p>
      <w:pPr>
        <w:keepNext/>
        <w:spacing w:before="200" w:after="60"/>
      </w:pPr>
      <w:r>
        <w:rPr>
          <w:rFonts w:ascii="Calibri" w:hAnsi="Calibri"/>
          <w:b/>
          <w:i w:val="0"/>
          <w:color w:val="2A2A3C"/>
          <w:sz w:val="20"/>
        </w:rPr>
        <w:t>Smart Contract SLAs</w:t>
      </w:r>
    </w:p>
    <w:p>
      <w:pPr>
        <w:spacing w:after="80" w:lineRule="auto" w:line="276"/>
      </w:pPr>
      <w:r>
        <w:rPr>
          <w:rFonts w:ascii="Calibri Light" w:hAnsi="Calibri Light"/>
          <w:b w:val="0"/>
          <w:i w:val="0"/>
          <w:color w:val="5A5A6E"/>
          <w:sz w:val="16"/>
        </w:rPr>
        <w:t>Programmable SLAs encode uptime targets, latency floors, and measurement periods. Oracle-fed performance data triggers automatic stablecoin credit issuance on breach — no human claims process.</w:t>
      </w:r>
    </w:p>
    <w:p>
      <w:pPr>
        <w:keepNext/>
        <w:spacing w:before="200" w:after="60"/>
      </w:pPr>
      <w:r>
        <w:rPr>
          <w:rFonts w:ascii="Calibri" w:hAnsi="Calibri"/>
          <w:b/>
          <w:i w:val="0"/>
          <w:color w:val="2A2A3C"/>
          <w:sz w:val="20"/>
        </w:rPr>
        <w:t>Hybrid Orchestration</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Customer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Primary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Secondary</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Micro-Tx</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Enterprise</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Wire/ACH</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Card</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N/A</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Government</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PO/Treasury</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ACH</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N/A</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Startup</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Card</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USDC</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Per-API</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DePIN</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Stablecoin</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Payment channel</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Per-request</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Web3</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USDC/token</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Payment channel</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Per-request</w:t>
            </w:r>
          </w:p>
        </w:tc>
      </w:tr>
    </w:tbl>
    <w:p>
      <w:pPr>
        <w:keepNext/>
        <w:spacing w:before="280" w:after="80"/>
      </w:pPr>
      <w:r>
        <w:rPr>
          <w:rFonts w:ascii="Calibri" w:hAnsi="Calibri"/>
          <w:b/>
          <w:i w:val="0"/>
          <w:color w:val="1A1A2E"/>
          <w:sz w:val="28"/>
        </w:rPr>
        <w:t>10  DePIN Pressure Test</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before="120" w:after="20"/>
        <w:jc w:val="center"/>
      </w:pPr>
      <w:r>
        <w:drawing>
          <wp:inline xmlns:a="http://schemas.openxmlformats.org/drawingml/2006/main" xmlns:pic="http://schemas.openxmlformats.org/drawingml/2006/picture">
            <wp:extent cx="2651760" cy="1491615"/>
            <wp:docPr id="9" name="Picture 9"/>
            <wp:cNvGraphicFramePr>
              <a:graphicFrameLocks noChangeAspect="1"/>
            </wp:cNvGraphicFramePr>
            <a:graphic>
              <a:graphicData uri="http://schemas.openxmlformats.org/drawingml/2006/picture">
                <pic:pic>
                  <pic:nvPicPr>
                    <pic:cNvPr id="0" name="mesh4.jpg"/>
                    <pic:cNvPicPr/>
                  </pic:nvPicPr>
                  <pic:blipFill>
                    <a:blip r:embed="rId17"/>
                    <a:stretch>
                      <a:fillRect/>
                    </a:stretch>
                  </pic:blipFill>
                  <pic:spPr>
                    <a:xfrm>
                      <a:off x="0" y="0"/>
                      <a:ext cx="2651760" cy="1491615"/>
                    </a:xfrm>
                    <a:prstGeom prst="rect"/>
                  </pic:spPr>
                </pic:pic>
              </a:graphicData>
            </a:graphic>
          </wp:inline>
        </w:drawing>
      </w:r>
    </w:p>
    <w:p>
      <w:pPr>
        <w:spacing w:after="100"/>
        <w:jc w:val="center"/>
      </w:pPr>
      <w:r>
        <w:rPr>
          <w:rFonts w:ascii="Calibri Light" w:hAnsi="Calibri Light"/>
          <w:b w:val="0"/>
          <w:i/>
          <w:color w:val="9A9AAA"/>
          <w:sz w:val="13"/>
        </w:rPr>
        <w:t>Enterprise-grade backbone for decentralized protocols</w:t>
      </w:r>
    </w:p>
    <w:p>
      <w:pPr>
        <w:keepNext/>
        <w:spacing w:before="200" w:after="60"/>
      </w:pPr>
      <w:r>
        <w:rPr>
          <w:rFonts w:ascii="Calibri" w:hAnsi="Calibri"/>
          <w:b/>
          <w:i w:val="0"/>
          <w:color w:val="2A2A3C"/>
          <w:sz w:val="20"/>
        </w:rPr>
        <w:t>Lessons from DePIN Projects</w:t>
      </w:r>
    </w:p>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Project</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Success</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Failure</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ANDD Fix</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Helium</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900K+ hotspots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No SLA, wrong locations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AI-driven demand placement</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Filecoin</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22+ EiB capacity</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Empty capacity, slow retrieval</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Utilization-based incentives</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Render</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Real 3D rendering demand</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Consumer GPUs can’t do AI</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Datacenter-grade GPUs</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Akash</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70–85% cheaper</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No SLA enforcement</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Smart contract SLAs</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io.net</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GPU clustering for ML</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Heterogeneous, high latency</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Homogeneous co-located HW</w:t>
            </w:r>
          </w:p>
        </w:tc>
      </w:tr>
    </w:tbl>
    <w:p/>
    <w:p>
      <w:pPr>
        <w:keepNext/>
        <w:spacing w:before="200" w:after="60"/>
      </w:pPr>
      <w:r>
        <w:rPr>
          <w:rFonts w:ascii="Calibri" w:hAnsi="Calibri"/>
          <w:b/>
          <w:i w:val="0"/>
          <w:color w:val="2A2A3C"/>
          <w:sz w:val="20"/>
        </w:rPr>
        <w:t>The Enterprise-Grade Gap</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Dimension</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Consumer DePIN</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ANDD</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Uptime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90–98%</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99.99% SLA-backed</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Redundancy</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None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N+1 power/cooling/network</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Security</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None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Biometric, surveillance</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Compliance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None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FedRAMP, SOC 2, HIPAA</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Power</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Residential</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UPS + BESS + fuel cell</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Cooling</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Consumer fans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DLC + immersion</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Connectivity</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Broadband</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Multi-provider, SLA</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Sovereignty</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Unknown</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Per-tenant geo-restrictions</w:t>
            </w:r>
          </w:p>
        </w:tc>
      </w:tr>
    </w:tbl>
    <w:p/>
    <w:tbl>
      <w:tblPr>
        <w:jc w:val="left"/>
        <w:tblLook w:firstColumn="1" w:firstRow="1" w:lastColumn="0" w:lastRow="0" w:noHBand="0" w:noVBand="1" w:val="04A0"/>
        <w:tblW w:w="5000" w:type="pct"/>
        <w:tblLayout w:type="fixed"/>
      </w:tblPr>
      <w:tblGrid>
        <w:gridCol w:w="4752"/>
      </w:tblGrid>
      <w:tr>
        <w:tc>
          <w:tcPr>
            <w:tcW w:w="4752" w:type="dxa"/>
            <w:shd w:fill="F2F2F5"/>
            <w:tcMar>
              <w:top w:w="50" w:type="dxa"/>
              <w:left w:w="100" w:type="dxa"/>
              <w:bottom w:w="50" w:type="dxa"/>
              <w:right w:w="100" w:type="dxa"/>
            </w:tcMar>
            <w:tcBorders>
              <w:left w:val="single" w:sz="12" w:space="0" w:color="6B8AA6"/>
              <w:top w:val="none" w:sz="0" w:space="0" w:color="auto"/>
              <w:bottom w:val="none" w:sz="0" w:space="0" w:color="auto"/>
              <w:right w:val="none" w:sz="0" w:space="0" w:color="auto"/>
            </w:tcBorders>
          </w:tcPr>
          <w:p>
            <w:pPr>
              <w:spacing w:after="40"/>
            </w:pPr>
            <w:r>
              <w:rPr>
                <w:rFonts w:ascii="Calibri" w:hAnsi="Calibri"/>
                <w:b/>
                <w:i w:val="0"/>
                <w:color w:val="1A1A2E"/>
                <w:sz w:val="16"/>
              </w:rPr>
              <w:t>ANDD Completes DePIN</w:t>
            </w:r>
          </w:p>
          <w:p>
            <w:pPr>
              <w:spacing w:before="0" w:line="264" w:lineRule="auto"/>
            </w:pPr>
            <w:r>
              <w:rPr>
                <w:rFonts w:ascii="Calibri Light" w:hAnsi="Calibri Light"/>
                <w:b w:val="0"/>
                <w:i w:val="0"/>
                <w:color w:val="5A5A6E"/>
                <w:sz w:val="15"/>
              </w:rPr>
              <w:t>The tokenomics and demand aggregation work. The physical infrastructure needs upgrading to enterprise grade. ANDD provides that backbone.</w:t>
            </w:r>
          </w:p>
        </w:tc>
      </w:tr>
    </w:tbl>
    <w:p>
      <w:pPr>
        <w:keepNext/>
        <w:spacing w:before="200" w:after="60"/>
      </w:pPr>
      <w:r>
        <w:rPr>
          <w:rFonts w:ascii="Calibri" w:hAnsi="Calibri"/>
          <w:b/>
          <w:i w:val="0"/>
          <w:color w:val="2A2A3C"/>
          <w:sz w:val="20"/>
        </w:rPr>
        <w:t>What Can Be Built on ANDD</w:t>
      </w:r>
    </w:p>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Category</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Examples</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Why Edge Required</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Smart City / IoT</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Traffic, sensors, digital twins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&lt;10ms control loops</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Autonomous Vehicles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V2X, HD maps, inference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Safety-critical latency</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Health AI</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Diagnostics, monitoring</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HIPAA + low latency</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Edge AI / MLOps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Model serving, RAG, agents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GPU at the edge</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DePIN Protocols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Compute, storage, wireless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Enterprise backbone</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Fintech</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Payments, fraud detection</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Compliance + &lt;50ms</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Content Delivery</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Video, gaming, AR/VR</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Bandwidth offload</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Defense</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Classified, SIGINT, C2</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Sovereign infrastructure</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Emergency Services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NG911, FirstNet, alerts</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Functions during disasters</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AgTech</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Precision ag, drones</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Rural edge compute</w:t>
            </w:r>
          </w:p>
        </w:tc>
      </w:tr>
    </w:tbl>
    <w:p>
      <w:pPr>
        <w:keepNext/>
        <w:spacing w:before="280" w:after="80"/>
      </w:pPr>
      <w:r>
        <w:rPr>
          <w:rFonts w:ascii="Calibri" w:hAnsi="Calibri"/>
          <w:b/>
          <w:i w:val="0"/>
          <w:color w:val="1A1A2E"/>
          <w:sz w:val="28"/>
        </w:rPr>
        <w:t>11  Opportunity Zone Alignment</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tbl>
      <w:tblPr>
        <w:jc w:val="left"/>
        <w:tblLook w:firstColumn="1" w:firstRow="1" w:lastColumn="0" w:lastRow="0" w:noHBand="0" w:noVBand="1" w:val="04A0"/>
        <w:tblW w:w="5000" w:type="pct"/>
        <w:tblLayout w:type="fixed"/>
      </w:tblPr>
      <w:tblGrid>
        <w:gridCol w:w="1188"/>
        <w:gridCol w:w="1188"/>
        <w:gridCol w:w="1188"/>
        <w:gridCol w:w="1188"/>
      </w:tblGrid>
      <w:tr>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Tier</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Incentive</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Requirement</w:t>
            </w:r>
          </w:p>
        </w:tc>
        <w:tc>
          <w:tcPr>
            <w:tcW w:w="1188"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Benefit</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Capital gains deferral</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Invest in QOF</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Defer tax; rolling 5-yr window</w:t>
            </w:r>
          </w:p>
        </w:tc>
      </w:tr>
      <w:tr>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Basis step-up</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Hold 5+ years</w:t>
            </w:r>
          </w:p>
        </w:tc>
        <w:tc>
          <w:tcPr>
            <w:tcW w:w="1188"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 (30% rural)</w:t>
            </w:r>
          </w:p>
        </w:tc>
      </w:tr>
      <w:tr>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3</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10-year exclusion</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Hold 10+ years</w:t>
            </w:r>
          </w:p>
        </w:tc>
        <w:tc>
          <w:tcPr>
            <w:tcW w:w="1188"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Zero tax on appreciation</w:t>
            </w:r>
          </w:p>
        </w:tc>
      </w:tr>
    </w:tbl>
    <w:p/>
    <w:p>
      <w:pPr>
        <w:keepNext/>
        <w:spacing w:before="200" w:after="60"/>
      </w:pPr>
      <w:r>
        <w:rPr>
          <w:rFonts w:ascii="Calibri" w:hAnsi="Calibri"/>
          <w:b/>
          <w:i w:val="0"/>
          <w:color w:val="2A2A3C"/>
          <w:sz w:val="20"/>
        </w:rPr>
        <w:t>Community Impact (200kW Node)</w:t>
      </w:r>
    </w:p>
    <w:tbl>
      <w:tblPr>
        <w:jc w:val="left"/>
        <w:tblLook w:firstColumn="1" w:firstRow="1" w:lastColumn="0" w:lastRow="0" w:noHBand="0" w:noVBand="1" w:val="04A0"/>
        <w:tblW w:w="5000" w:type="pct"/>
        <w:tblLayout w:type="fixed"/>
      </w:tblPr>
      <w:tblGrid>
        <w:gridCol w:w="2376"/>
        <w:gridCol w:w="2376"/>
      </w:tblGrid>
      <w:tr>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Impact</w:t>
            </w:r>
          </w:p>
        </w:tc>
        <w:tc>
          <w:tcPr>
            <w:tcW w:w="2376"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Estimate</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Construction jobs</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15–30 (6–12 month build)</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Permanent jobs</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1–3 technicians</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Property tax</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$50K–$150K/yr</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Utility revenue</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$150K–$300K/yr</w:t>
            </w:r>
          </w:p>
        </w:tc>
      </w:tr>
      <w:tr>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Multiplier</w:t>
            </w:r>
          </w:p>
        </w:tc>
        <w:tc>
          <w:tcPr>
            <w:tcW w:w="2376"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1.5–2.0x direct spending</w:t>
            </w:r>
          </w:p>
        </w:tc>
      </w:tr>
      <w:tr>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Digital benefit</w:t>
            </w:r>
          </w:p>
        </w:tc>
        <w:tc>
          <w:tcPr>
            <w:tcW w:w="2376"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Gigabit + AI + edge compute</w:t>
            </w:r>
          </w:p>
        </w:tc>
      </w:tr>
    </w:tbl>
    <w:p>
      <w:pPr>
        <w:keepNext/>
        <w:spacing w:before="280" w:after="80"/>
      </w:pPr>
      <w:r>
        <w:rPr>
          <w:rFonts w:ascii="Calibri" w:hAnsi="Calibri"/>
          <w:b/>
          <w:i w:val="0"/>
          <w:color w:val="1A1A2E"/>
          <w:sz w:val="28"/>
        </w:rPr>
        <w:t>12  Implementation Roadmap</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tbl>
      <w:tblPr>
        <w:jc w:val="left"/>
        <w:tblLook w:firstColumn="1" w:firstRow="1" w:lastColumn="0" w:lastRow="0" w:noHBand="0" w:noVBand="1" w:val="04A0"/>
        <w:tblW w:w="5000" w:type="pct"/>
        <w:tblLayout w:type="fixed"/>
      </w:tblPr>
      <w:tblGrid>
        <w:gridCol w:w="1584"/>
        <w:gridCol w:w="1584"/>
        <w:gridCol w:w="1584"/>
      </w:tblGrid>
      <w:tr>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Phase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Timeline</w:t>
            </w:r>
          </w:p>
        </w:tc>
        <w:tc>
          <w:tcPr>
            <w:tcW w:w="1584" w:type="dxa"/>
            <w:shd w:fill="1A1A2E"/>
            <w:tcMar>
              <w:top w:w="25" w:type="dxa"/>
              <w:left w:w="40" w:type="dxa"/>
              <w:bottom w:w="25" w:type="dxa"/>
              <w:right w:w="40" w:type="dxa"/>
            </w:tcMar>
            <w:tcBorders>
              <w:top w:val="none" w:sz="0" w:space="0" w:color="auto"/>
              <w:left w:val="none" w:sz="0" w:space="0" w:color="auto"/>
              <w:bottom w:val="single" w:sz="2" w:space="0" w:color="6B8AA6"/>
              <w:right w:val="none" w:sz="0" w:space="0" w:color="auto"/>
            </w:tcBorders>
          </w:tcPr>
          <w:p>
            <w:pPr>
              <w:spacing w:before="0" w:after="0" w:line="240" w:lineRule="auto"/>
              <w:jc w:val="left"/>
            </w:pPr>
            <w:r/>
            <w:r>
              <w:rPr>
                <w:rFonts w:ascii="Calibri" w:hAnsi="Calibri"/>
                <w:b/>
                <w:i w:val="0"/>
                <w:color w:val="FFFFFF"/>
                <w:sz w:val="13"/>
              </w:rPr>
              <w:t>Milestones</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Foundation</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 1–12</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AI layer, 200kW design, 3–5 pilots, SOC 2, QOF</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Formation</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 12–24</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20–50 nodes, hubs, &gt;90% autonomous, FedRAMP</w:t>
            </w:r>
          </w:p>
        </w:tc>
      </w:tr>
      <w:tr>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Scale</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 24–48</w:t>
            </w:r>
          </w:p>
        </w:tc>
        <w:tc>
          <w:tcPr>
            <w:tcW w:w="1584" w:type="dxa"/>
            <w:shd w:fill="F2F2F5"/>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100–300 nodes, smart SLAs, federal customers</w:t>
            </w:r>
          </w:p>
        </w:tc>
      </w:tr>
      <w:tr>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Continental</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Mo 48–72</w:t>
            </w:r>
          </w:p>
        </w:tc>
        <w:tc>
          <w:tcPr>
            <w:tcW w:w="1584" w:type="dxa"/>
            <w:shd w:fill="FFFFFF"/>
            <w:tcMar>
              <w:top w:w="18" w:type="dxa"/>
              <w:left w:w="40" w:type="dxa"/>
              <w:bottom w:w="18" w:type="dxa"/>
              <w:right w:w="40" w:type="dxa"/>
            </w:tcMar>
            <w:tcBorders>
              <w:top w:val="none" w:sz="0" w:space="0" w:color="auto"/>
              <w:left w:val="none" w:sz="0" w:space="0" w:color="auto"/>
              <w:bottom w:val="single" w:sz="1" w:space="0" w:color="E8E8EE"/>
              <w:right w:val="none" w:sz="0" w:space="0" w:color="auto"/>
            </w:tcBorders>
          </w:tcPr>
          <w:p>
            <w:pPr>
              <w:spacing w:before="0" w:after="0" w:line="240" w:lineRule="auto"/>
              <w:jc w:val="left"/>
            </w:pPr>
            <w:r/>
            <w:r>
              <w:rPr>
                <w:rFonts w:ascii="Calibri Light" w:hAnsi="Calibri Light"/>
                <w:b w:val="0"/>
                <w:i w:val="0"/>
                <w:color w:val="5A5A6E"/>
                <w:sz w:val="13"/>
              </w:rPr>
              <w:t>500–1000+ nodes, full autonomy, VPP</w:t>
            </w:r>
          </w:p>
        </w:tc>
      </w:tr>
    </w:tbl>
    <w:p>
      <w:pPr>
        <w:keepNext/>
        <w:spacing w:before="280" w:after="80"/>
      </w:pPr>
      <w:r>
        <w:rPr>
          <w:rFonts w:ascii="Calibri" w:hAnsi="Calibri"/>
          <w:b/>
          <w:i w:val="0"/>
          <w:color w:val="1A1A2E"/>
          <w:sz w:val="28"/>
        </w:rPr>
        <w:t>13  Conclusion</w:t>
      </w:r>
    </w:p>
    <w:tbl>
      <w:tblPr>
        <w:jc w:val="left"/>
        <w:tblLook w:firstColumn="1" w:firstRow="1" w:lastColumn="0" w:lastRow="0" w:noHBand="0" w:noVBand="1" w:val="04A0"/>
        <w:tblW w:w="5000" w:type="pct"/>
        <w:tblLayout w:type="fixed"/>
      </w:tblPr>
      <w:tblGrid>
        <w:gridCol w:w="4752"/>
      </w:tblGrid>
      <w:tr>
        <w:trPr>
          <w:trHeight w:val="20" w:hRule="exact"/>
        </w:trPr>
        <w:tc>
          <w:tcPr>
            <w:tcW w:w="4752" w:type="dxa"/>
            <w:shd w:fill="6B8AA6"/>
            <w:tcBorders>
              <w:top w:val="none" w:sz="0" w:space="0" w:color="auto"/>
              <w:left w:val="none" w:sz="0" w:space="0" w:color="auto"/>
              <w:bottom w:val="none" w:sz="0" w:space="0" w:color="auto"/>
              <w:right w:val="none" w:sz="0" w:space="0" w:color="auto"/>
            </w:tcBorders>
          </w:tcPr>
          <w:p>
            <w:r/>
          </w:p>
        </w:tc>
      </w:tr>
    </w:tbl>
    <w:p>
      <w:pPr>
        <w:spacing w:after="80" w:lineRule="auto" w:line="276"/>
      </w:pPr>
      <w:r>
        <w:rPr>
          <w:rFonts w:ascii="Calibri Light" w:hAnsi="Calibri Light"/>
          <w:b w:val="0"/>
          <w:i w:val="0"/>
          <w:color w:val="5A5A6E"/>
          <w:sz w:val="16"/>
        </w:rPr>
        <w:t>The concentration of compute into hyperscale campuses was an artifact of an era when operational economics demanded scale and AI didn’t exist as an operational tool. That era is ending.</w:t>
      </w:r>
    </w:p>
    <w:p>
      <w:pPr>
        <w:spacing w:after="80" w:lineRule="auto" w:line="276"/>
      </w:pPr>
      <w:r>
        <w:rPr>
          <w:rFonts w:ascii="Calibri Light" w:hAnsi="Calibri Light"/>
          <w:b w:val="0"/>
          <w:i w:val="0"/>
          <w:color w:val="5A5A6E"/>
          <w:sz w:val="16"/>
        </w:rPr>
        <w:t>ANDD demonstrates that AI-native operations eliminate the economic barrier to distributed deployment. The marginal cost of a new edge node approaches hardware cost alone.</w:t>
      </w:r>
    </w:p>
    <w:tbl>
      <w:tblPr>
        <w:jc w:val="left"/>
        <w:tblLook w:firstColumn="1" w:firstRow="1" w:lastColumn="0" w:lastRow="0" w:noHBand="0" w:noVBand="1" w:val="04A0"/>
        <w:tblW w:w="5000" w:type="pct"/>
        <w:tblLayout w:type="fixed"/>
      </w:tblPr>
      <w:tblGrid>
        <w:gridCol w:w="4752"/>
      </w:tblGrid>
      <w:tr>
        <w:tc>
          <w:tcPr>
            <w:tcW w:w="4752" w:type="dxa"/>
            <w:shd w:fill="F2F2F5"/>
            <w:tcMar>
              <w:top w:w="50" w:type="dxa"/>
              <w:left w:w="100" w:type="dxa"/>
              <w:bottom w:w="50" w:type="dxa"/>
              <w:right w:w="100" w:type="dxa"/>
            </w:tcMar>
            <w:tcBorders>
              <w:left w:val="single" w:sz="12" w:space="0" w:color="6B8AA6"/>
              <w:top w:val="none" w:sz="0" w:space="0" w:color="auto"/>
              <w:bottom w:val="none" w:sz="0" w:space="0" w:color="auto"/>
              <w:right w:val="none" w:sz="0" w:space="0" w:color="auto"/>
            </w:tcBorders>
          </w:tcPr>
          <w:p>
            <w:pPr>
              <w:spacing w:after="40"/>
            </w:pPr>
            <w:r>
              <w:rPr>
                <w:rFonts w:ascii="Calibri" w:hAnsi="Calibri"/>
                <w:b/>
                <w:i w:val="0"/>
                <w:color w:val="1A1A2E"/>
                <w:sz w:val="16"/>
              </w:rPr>
              <w:t>ANDD delivers:</w:t>
            </w:r>
          </w:p>
          <w:p>
            <w:pPr>
              <w:spacing w:before="0" w:line="264" w:lineRule="auto"/>
            </w:pPr>
            <w:r>
              <w:rPr>
                <w:rFonts w:ascii="Calibri Light" w:hAnsi="Calibri Light"/>
                <w:b w:val="0"/>
                <w:i w:val="0"/>
                <w:color w:val="5A5A6E"/>
                <w:sz w:val="15"/>
              </w:rPr>
              <w:t>• Sovereignty — compute stays where it’s governed</w:t>
              <w:br/>
              <w:t>• Security — no single target degrades the network</w:t>
              <w:br/>
              <w:t>• Resilience — survives what cripples centralized</w:t>
              <w:br/>
              <w:t>• Equity — capabilities reach underserved communities</w:t>
              <w:br/>
              <w:t>• DePIN — enterprise backbone for decentralized protocols</w:t>
              <w:br/>
              <w:t>• Viability — fiat to crypto, subscriptions to micro-tx</w:t>
            </w:r>
          </w:p>
        </w:tc>
      </w:tr>
    </w:tbl>
    <w:p/>
    <w:p>
      <w:pPr>
        <w:jc w:val="center"/>
      </w:pPr>
      <w:r>
        <w:rPr>
          <w:rFonts w:ascii="Calibri" w:hAnsi="Calibri"/>
          <w:b/>
          <w:i w:val="0"/>
          <w:color w:val="1A1A2E"/>
          <w:sz w:val="22"/>
        </w:rPr>
        <w:t>The question is how quickly it can be deployed.</w:t>
        <w:br/>
        <w:t>ANDD is the answer.</w:t>
      </w:r>
    </w:p>
    <w:p>
      <w:pPr>
        <w:sectPr>
          <w:type w:val="nextColumn"/>
          <w:pgSz w:w="12240" w:h="15840"/>
          <w:pgMar w:top="864" w:right="1008" w:bottom="864" w:left="1008" w:header="720" w:footer="720" w:gutter="0"/>
          <w:docGrid w:linePitch="360"/>
          <w:cols w:num="2" w:space="360" w:equalWidth="1"/>
        </w:sectPr>
      </w:pPr>
    </w:p>
    <w:tbl>
      <w:tblPr>
        <w:tblW w:type="auto" w:w="0"/>
        <w:jc w:val="center"/>
        <w:tblLook w:firstColumn="1" w:firstRow="1" w:lastColumn="0" w:lastRow="0" w:noHBand="0" w:noVBand="1" w:val="04A0"/>
      </w:tblPr>
      <w:tblGrid>
        <w:gridCol w:w="10224"/>
      </w:tblGrid>
      <w:tr>
        <w:trPr>
          <w:trHeight w:val="20" w:hRule="exact"/>
        </w:trPr>
        <w:tc>
          <w:tcPr>
            <w:tcW w:type="dxa" w:w="10224"/>
            <w:shd w:fill="6B8AA6"/>
            <w:tcBorders>
              <w:top w:val="none" w:sz="0" w:space="0" w:color="auto"/>
              <w:left w:val="none" w:sz="0" w:space="0" w:color="auto"/>
              <w:bottom w:val="none" w:sz="0" w:space="0" w:color="auto"/>
              <w:right w:val="none" w:sz="0" w:space="0" w:color="auto"/>
            </w:tcBorders>
          </w:tcPr>
          <w:p>
            <w:r/>
          </w:p>
        </w:tc>
      </w:tr>
    </w:tbl>
    <w:p/>
    <w:p>
      <w:pPr>
        <w:jc w:val="center"/>
      </w:pPr>
      <w:r>
        <w:rPr>
          <w:rFonts w:ascii="Calibri Light" w:hAnsi="Calibri Light"/>
          <w:b w:val="0"/>
          <w:i w:val="0"/>
          <w:color w:val="6B8AA6"/>
          <w:sz w:val="20"/>
        </w:rPr>
        <w:t>contact@andd.network  •  andd.network</w:t>
      </w:r>
    </w:p>
    <w:p>
      <w:pPr>
        <w:jc w:val="center"/>
      </w:pPr>
      <w:r>
        <w:rPr>
          <w:rFonts w:ascii="Calibri Light" w:hAnsi="Calibri Light"/>
          <w:b w:val="0"/>
          <w:i/>
          <w:color w:val="9A9AAA"/>
          <w:sz w:val="14"/>
        </w:rPr>
        <w:t>This document contains forward-looking statements. Technical specifications represent design targets. Tax information is for informational purposes only.</w:t>
      </w:r>
    </w:p>
    <w:sectPr w:rsidR="00FC693F" w:rsidRPr="0006063C" w:rsidSect="00034616">
      <w:type w:val="nextColumn"/>
      <w:pgSz w:w="12240" w:h="15840"/>
      <w:pgMar w:top="864" w:right="1008" w:bottom="864" w:left="1008" w:header="720" w:footer="720" w:gutter="0"/>
      <w:docGrid w:linePitch="36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Light" w:hAnsi="Calibri Light"/>
      <w:color w:val="5A5A6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