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Fever, cough, abnd sputum (83). Hence the clinicians must be on te look-out for the possible occurrence of atypical clinical manifestations to avoid the possibili of missed diagnosis. The early transmission ability of SARS-Co-V- was found to be similar to or slightly higher than that of SARS-CoV, reflecting that it could be controlled despite moderate to high transmissibility (84).</w:t>
        <w:br/>
        <w:t>Increasing reports of SARS-CoV-2 in sewage and wastewater warrants the need for further investigation due to the possibility of fecal-oral transmission. SARS-CoV-2  present in environmental compartments such as soil and water will finally end u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sutdied using wastewater-based epidemiology. Recently, reverse transcription-quantitative PCR (RT-qPCR) was used to enumerate the copies of SARS-Co-V-2 RNA concentrated from wastewater collected from a wastewater treatment plant(327). The calculated viral RNAcopy numbers determine the number of infected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