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Prongs, face mask, high flow nasal cannula (HFNC) or non-invaisve vebntilation is indicated. Mechanical ventilation and even extra corporeal membrane oxygen support may be needed. Renal  replacement therapy may be needed in some. Antibiotics and antifungals are required if coinfections are suspected or proven. The role of corticostroids is unproven; while current international consensus and WHO advocate against their use, Chinese guidelines do recommend short term therapy with low-to-moderate dose corticosteroids in COVID-19 ARDS[24,25]. Detailed guidedlines for critical care management for COVID-19 have been published by the WHO[26]. There is, as of now, no approved treatment for COVID-19. Antiviral drugs such as ribavirin, lopinavir-ritonavir have ben used based on the experience with SARS and MERS. In a historical</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