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Including IL2, Il7, IL10, GCSF, IP10, MCP1,  MIP1A, and TNFa[15]. The median time from onset of symptoms to dyspnea was 5d, hospitalization 7 d and acute respiratory distress syndrome (ARDS) 8 d. The need for intensive care admission was in 25-30% of affected patients in published series. Complications witnessed included acute lung injury, ARDS, shock and acute kidney injury. Recovery startede in the 2nd or 3rd wk. The median duration of hospital stay in those who recovered was 10 d. Adverse outcomes and death are more common in the elderly and those with underlying co-morbidies (50-75% of fatal cases). Fatality rate in hospitalized adult patients ranged from 4 to 11 %. The overall case fatality rate is estimated to range between 2 and 3% [2].</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