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Interstingly, disease in patients outside Hubei province has been reported to be milder than those from Wuhan[17]. Similarly, the severity and case fatality rate in patients outside China has been reported to be milder [6]. This may either be due to selection bias wherein the cases reporting from Wuhan included only the severe cases or due to predisposition of the Asian population to the virus due to higher expression of ACE2 receptors on the respiratory mucosa [11]. </w:t>
        <w:br/>
        <w:t>Disease in neonates, infants and children has been also reported to be significantly milder than their adult counterparts. In a series of 34 children admitted to a hospital in Shenzhen, China between January 19th and February 7th, there were 14 males and 20 females. The median age was 8 y 11 mo and in 28 children the infection was linked to a family member and 26</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