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Cases continued to increase exponentially and modelling studies reported an epidemic doubling time of 1.8 d[10]. In fact on the 12th  of February, China changed its definition of confirmed cases to include patients with negative/pending molecular tests but with clinical, radiologic and epidemiologic features of COVID-19 leading to an increase in  cases by 15,000 in a single day[6]. As of 05/03/2020 96,000 cases worldwide (80,000 in China) and 87 other countries and 1 international conveyance (696, in the cruise ship Diamond Princess parked off the coast of Japan) have been reported[2]. It is important to note that whilde the number of new cases had reduced in China lately, they have increases exponentially in other countries including South Korea, Italy and Iran. Of those infected, 20% are in critical</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