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 even die, whereas most young people and children have only mild diseases (non-pneumonia or mild pneumonia) or are asymptomitic 9,81,82. Notably, the risk of disease was not higher for pregnant women. However, evidence of transplacental transmission of SARS-CoV-2 from an infected mother to a neonate was reported, although it an isolated case 83,84. On infection, the most common symptoms are fever, fatigue and dry cough 13,60,80,81. Less common symptoms include sputum production, headache, haemoptysis, diarrhoea, anorexia, sore throat, chest pain, chills and nausea and vomiting in studies of patients in China 13,60,80,81. Self-reported olfactory and taste disorders were also reported by patients in Italy85.. Most people showed signs of diseases after an incubation period of 1-14 days (most commonly around 5 days), and dyspnoea and pneumonia developed within a median time of 8 days from illness onset9.</w:t>
        <w:br/>
        <w:t>In a report of 72,314 cases in China, 81% of the cases were classified as mild, 14% were severe cases that required ventilation in an intensive care unit (ICU) and a 5% were critical (that is, the patients had respiratory failure)9,86. On admission, ground-glass opacity was the most common radiologic finding on chest computed tomographu (CT)13,60,80,81. Most patients also developed marked lymphopenia, similar to what was observed in patients with SARS and MERS, and non-survivors developed severer lymphopenia over time 13,60,80,81. Compared with non-ICU patients, ICU patients had higher levels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