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Considerable protection in mice against a MERSCoV lethal challenge. Such antibodies may play a crucial role in enhancing protective humoral responses against the emerging CoVs by aiming appropriate epitopes and functions of the S protein. The cross-neutralization ability of SARS-CoV RBD-specific neutralizing Mabs considerably relies on the resemblance between their RBDs; therefore, SARS-CoV RBD-specific antibodies could cross-neutralized SL CoVs, i.e., bat-SL-CoV strain WIV1 (RBD with eight amino acid differences from SARS-CoV) but not bat-SL-CoV strain SHC014(24 amino acid differences)(200)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