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Risk regions. It is derived from a live attenuated strain of Mycobacterium bovis. At present, three new clinical trials have been registered to evaluate the protective role of BCG vaccination against SARS-CoV-2 (363). Recently, a cohort study was conducted to evaluate the impact of childhood BCG vaccination in COVID-19 PCR positivity rates. Howeverm childhood BCG vaccination was found to be associated with a rate of COVID-19-positive test results similar to that of the nonvaccinated group (364). Further studies are required to analyze whether BCG vaccination in childhood can induce protective effects against COVID-19 in adulthood. Population genetic studies conducted on 103 genomes identified that the SARS-CoV-2 virus has evolved into tow major types, L and S. Amond the tow types, L type is expected to be the most prevalent (~70%), followed by the S type (~30%)(366). This finding has a significant impact on our race to develop and ideal vaccine, since the vaccine candidate has to target both strains to be considered effective. At present, the genetic differences between the L and  S types are very small and may not affect the immune response. However, we can epect further genetic variations in the coming days that could lead to the emergence of new straisn (367)</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