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glass opacities and sub segmental consolidation. It is also abnormal in asymptomjatic patients/patients with no clinical evidence of lower respiratory tract involvement. In fact, abnormal CT scans have been used to diagnose COVID-19 in suspect cases with negative molecular diagnosis; many of these patients had positive molecular tests on repeat testing[22].</w:t>
        <w:br/>
        <w:br/>
        <w:t>Differential Diagnosis [21]</w:t>
        <w:br/>
        <w:t>The differential diagnosis includes all types of respiratory viral infections [influenza, parainfluenza, respiratory syncytial virus (RSV), adenovirus, human metapneumovirus, non COVID-19 coronavirus], atypical organisms (mycoplasma, Chlamydia) and bacterial infections. It is not possible to differentiate COVID-19 from these infections clinically or through routine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