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Penerimaan dan Keberlanjutan Perikatan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Pertimbangan Penerimaan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Pertanyaan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Jawaban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Keterangan / Bukti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Apakah integritas pemilik dan manajemen dapat diterima?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Berapa jumlah pemegang saham dan siapa pengendalinya?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Apakah ada utang bank atau perjanjian dengan kovenan keuangan?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Apakah ada rencana IPO dalam dua sampai tiga tahun?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Apakah ada perubahan lingkungan bisnis yang signifikan?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Apakah ada indikasi masalah kelangsungan usaha?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Apakah ada pembiayaan dari pihak luar yang memakai laporan auditan?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Apakah tim memiliki kompetensi industri dan sumber daya yang cukup?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Apakah sudah berkomunikasi dengan auditor pendahulu (untuk klien baru)?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Apakah imbalan jasa wajar dan tidak mengancam independensi?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B. Kesimpulan</w:t>
      </w:r>
    </w:p>
    <w:p>
      <w:r>
        <w:rPr>
          <w:i w:val="0"/>
        </w:rPr>
        <w:t>Perikatan diterima / dilanjutkan / ditolak, dengan alasan: ...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