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Independensi dan Etika Tim Perikatan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Pernyataan Independensi per Anggota 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Nama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Kepentingan Keuangan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Hubungan Keluarga / Pekerjaan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Jasa Non-Audit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Pernyataan Independen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Partner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Senior Manager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Manager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Senior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Staf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B. Ancaman dan Pengamanan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Ancaman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Pengamanan</w:t>
            </w:r>
          </w:p>
        </w:tc>
      </w:tr>
      <w:tr>
        <w:tc>
          <w:tcPr>
            <w:tcW w:type="dxa" w:w="3324"/>
          </w:tcPr>
          <w:p>
            <w:r>
              <w:t>Kepentingan pribadi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Telaah pribadi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Advokasi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Kedekatan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Intimidasi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C. Rotasi</w:t>
      </w:r>
    </w:p>
    <w:p>
      <w:r>
        <w:rPr>
          <w:i w:val="0"/>
        </w:rPr>
        <w:t>Tahun ke berapa partner dan KAP mengaudit klien ini: ...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