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Walkthrough SCOT (Pendekatan Substantif)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i/>
        </w:rPr>
        <w:t>Risk Based Audit untuk entitas Non-Complex: identifikasi SCOT (Significant Class of Transactions) dari akun signifikan, lalu walkthrough (WT) tiap SCOT untuk memahami alur, risiko salah saji, dan kontrol yang relevan tanpa menguji efektivitasnya. Pendekatan audit: substantif penuh.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SCOT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Alur Singkat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Kontrol yang Diamati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Risiko yang Muncul</w:t>
            </w:r>
          </w:p>
        </w:tc>
      </w:tr>
      <w:tr>
        <w:tc>
          <w:tcPr>
            <w:tcW w:type="dxa" w:w="2493"/>
          </w:tcPr>
          <w:p>
            <w:r>
              <w:t>Pendapatan &amp; penerimaan kas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Pembelian &amp; pengeluaran kas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Penggajian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Aset tetap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B-6N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