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Strategi dan Rencana Audit Menyeluruh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b/>
          <w:color w:val="00ABD6"/>
          <w:sz w:val="22"/>
        </w:rPr>
        <w:t>A. Ruang Lingkup dan Kerangka Pelaporan</w:t>
      </w:r>
    </w:p>
    <w:p>
      <w:r>
        <w:rPr>
          <w:i w:val="0"/>
        </w:rPr>
        <w:t>...</w:t>
      </w:r>
    </w:p>
    <w:p>
      <w:r>
        <w:rPr>
          <w:b/>
          <w:color w:val="00ABD6"/>
          <w:sz w:val="22"/>
        </w:rPr>
        <w:t>B. Jadwal dan Tim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3324"/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Penanggung Jawab</w:t>
            </w:r>
          </w:p>
        </w:tc>
      </w:tr>
      <w:tr>
        <w:tc>
          <w:tcPr>
            <w:tcW w:type="dxa" w:w="3324"/>
          </w:tcPr>
          <w:p>
            <w:r>
              <w:t>Planning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Interim / ToC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Fieldwork final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Reviu dan LAI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C. Materialitas</w:t>
      </w:r>
    </w:p>
    <w:p>
      <w:r>
        <w:rPr>
          <w:i w:val="0"/>
        </w:rPr>
        <w:t>Mengacu B-7: OM ..., PM ..., CT ...</w:t>
      </w:r>
    </w:p>
    <w:p>
      <w:r>
        <w:rPr>
          <w:b/>
          <w:color w:val="00ABD6"/>
          <w:sz w:val="22"/>
        </w:rPr>
        <w:t>D. Risiko Signifikan dan Respons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Risiko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Asersi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Respons</w:t>
            </w:r>
          </w:p>
        </w:tc>
      </w:tr>
      <w:tr>
        <w:tc>
          <w:tcPr>
            <w:tcW w:type="dxa" w:w="3324"/>
          </w:tcPr>
          <w:p>
            <w:r>
              <w:t>Pengabaian pengendalian oleh manajemen</w:t>
            </w:r>
          </w:p>
        </w:tc>
        <w:tc>
          <w:tcPr>
            <w:tcW w:type="dxa" w:w="3324"/>
          </w:tcPr>
          <w:p>
            <w:r>
              <w:t>Semua</w:t>
            </w:r>
          </w:p>
        </w:tc>
        <w:tc>
          <w:tcPr>
            <w:tcW w:type="dxa" w:w="3324"/>
          </w:tcPr>
          <w:p>
            <w:r>
              <w:t>Pengujian jurnal (X-2)</w:t>
            </w:r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E. Pendekatan per Akun</w:t>
      </w:r>
    </w:p>
    <w:p>
      <w:r>
        <w:rPr>
          <w:i w:val="0"/>
        </w:rPr>
        <w:t>Mengacu B-8 (CRA): akun yang mengandalkan kontrol dan akun dengan substantif penuh.</w:t>
      </w:r>
    </w:p>
    <w:p>
      <w:r>
        <w:rPr>
          <w:b/>
          <w:color w:val="00ABD6"/>
          <w:sz w:val="22"/>
        </w:rPr>
        <w:t>F. Penggunaan Pakar dan Auditor Lain</w:t>
      </w:r>
    </w:p>
    <w:p>
      <w:r>
        <w:rPr>
          <w:i w:val="0"/>
        </w:rPr>
        <w:t>Lihat B-9A bila ada.</w:t>
      </w:r>
    </w:p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B-9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