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Peristiwa setelah Periode Pelaporan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Prosedur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Baca notulen RUPS, direksi, dan komisaris setelah tanggal neraca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Reviu laporan keuangan interim terbaru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Tanya manajemen tentang litigasi dan komitmen baru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Reviu penerimaan dan pembayaran signifikan setelah tanggal neraca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Kesimpulan</w:t>
      </w:r>
    </w:p>
    <w:p>
      <w:r>
        <w:rPr>
          <w:i w:val="0"/>
        </w:rPr>
        <w:t>Peristiwa yang memerlukan penyesuaian / pengungkapan: ...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Z-1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