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Profil Entitas, Industri, dan Kompleksitas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Klien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Periode</w:t>
            </w:r>
          </w:p>
        </w:tc>
        <w:tc>
          <w:tcPr>
            <w:tcW w:type="dxa" w:w="2493"/>
          </w:tcPr>
          <w:p>
            <w:r>
              <w:t>31 Desember 2025</w:t>
            </w:r>
          </w:p>
        </w:tc>
      </w:tr>
      <w:tr>
        <w:tc>
          <w:tcPr>
            <w:tcW w:type="dxa" w:w="2493"/>
          </w:tcPr>
          <w:p>
            <w:r>
              <w:t>Disusun Oleh / Tanggal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Direview Oleh / Tanggal</w:t>
            </w:r>
          </w:p>
        </w:tc>
        <w:tc>
          <w:tcPr>
            <w:tcW w:type="dxa" w:w="2493"/>
          </w:tcPr>
          <w:p/>
        </w:tc>
      </w:tr>
    </w:tbl>
    <w:p/>
    <w:p>
      <w:r>
        <w:rPr>
          <w:b/>
          <w:color w:val="00ABD6"/>
          <w:sz w:val="22"/>
        </w:rPr>
        <w:t>A. Profil Industri: Yayasan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No</w:t>
            </w:r>
          </w:p>
        </w:tc>
        <w:tc>
          <w:tcPr>
            <w:tcW w:type="dxa" w:w="3324"/>
          </w:tcPr>
          <w:p>
            <w:r>
              <w:rPr>
                <w:b/>
              </w:rPr>
              <w:t>Aspek</w:t>
            </w:r>
          </w:p>
        </w:tc>
        <w:tc>
          <w:tcPr>
            <w:tcW w:type="dxa" w:w="3324"/>
          </w:tcPr>
          <w:p>
            <w:r>
              <w:rPr>
                <w:b/>
              </w:rPr>
              <w:t>Uraian (Sesuaikan dengan Klien)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Model Bisnis</w:t>
            </w:r>
          </w:p>
        </w:tc>
        <w:tc>
          <w:tcPr>
            <w:tcW w:type="dxa" w:w="3324"/>
          </w:tcPr>
          <w:p>
            <w:r>
              <w:t>Layanan pendidikan. Sumber dana dari SPP, uang pangkal, sumbangan, dan hibah.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Sistem Informasi Manajemen</w:t>
            </w:r>
          </w:p>
        </w:tc>
        <w:tc>
          <w:tcPr>
            <w:tcW w:type="dxa" w:w="3324"/>
          </w:tcPr>
          <w:p>
            <w:r>
              <w:t>Jumlah siswa, tunggakan SPP, realisasi anggaran program.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Sistem Informasi Akuntansi</w:t>
            </w:r>
          </w:p>
        </w:tc>
        <w:tc>
          <w:tcPr>
            <w:tcW w:type="dxa" w:w="3324"/>
          </w:tcPr>
          <w:p>
            <w:r>
              <w:t>Aplikasi keuangan sekolah dengan penerimaan melalui virtual account.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Pedoman Akuntansi</w:t>
            </w:r>
          </w:p>
        </w:tc>
        <w:tc>
          <w:tcPr>
            <w:tcW w:type="dxa" w:w="3324"/>
          </w:tcPr>
          <w:p>
            <w:r>
              <w:t>ISAK 335 Penyajian Laporan Keuangan Entitas Berorientasi Nonlaba: aset neto tanpa dan dengan pembatasan; PSAK 216 untuk gedung dan peralatan.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Perlakuan Perpajakan</w:t>
            </w:r>
          </w:p>
        </w:tc>
        <w:tc>
          <w:tcPr>
            <w:tcW w:type="dxa" w:w="3324"/>
          </w:tcPr>
          <w:p>
            <w:r>
              <w:t>Sisa lebih dapat dikecualikan dari objek pajak bila ditanamkan kembali sesuai ketentuan; PPh 21 guru dan karyawan.</w:t>
            </w:r>
          </w:p>
        </w:tc>
      </w:tr>
      <w:tr>
        <w:tc>
          <w:tcPr>
            <w:tcW w:type="dxa" w:w="3324"/>
          </w:tcPr>
          <w:p>
            <w:r>
              <w:t>6</w:t>
            </w:r>
          </w:p>
        </w:tc>
        <w:tc>
          <w:tcPr>
            <w:tcW w:type="dxa" w:w="3324"/>
          </w:tcPr>
          <w:p>
            <w:r>
              <w:t>Pedoman Audit</w:t>
            </w:r>
          </w:p>
        </w:tc>
        <w:tc>
          <w:tcPr>
            <w:tcW w:type="dxa" w:w="3324"/>
          </w:tcPr>
          <w:p>
            <w:r>
              <w:t>Uji kelengkapan penerimaan SPP dan sumbangan, klasifikasi pembatasan aset neto, pisah batas uang pangkal.</w:t>
            </w:r>
          </w:p>
        </w:tc>
      </w:tr>
    </w:tbl>
    <w:p/>
    <w:p>
      <w:r>
        <w:rPr>
          <w:b/>
          <w:color w:val="00ABD6"/>
          <w:sz w:val="22"/>
        </w:rPr>
        <w:t>B. Akun Khas dan SCOT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Indeks</w:t>
            </w:r>
          </w:p>
        </w:tc>
        <w:tc>
          <w:tcPr>
            <w:tcW w:type="dxa" w:w="3324"/>
          </w:tcPr>
          <w:p>
            <w:r>
              <w:rPr>
                <w:b/>
              </w:rPr>
              <w:t>Akun</w:t>
            </w:r>
          </w:p>
        </w:tc>
        <w:tc>
          <w:tcPr>
            <w:tcW w:type="dxa" w:w="3324"/>
          </w:tcPr>
          <w:p>
            <w:r>
              <w:rPr>
                <w:b/>
              </w:rPr>
              <w:t>SCOT</w:t>
            </w:r>
          </w:p>
        </w:tc>
      </w:tr>
      <w:tr>
        <w:tc>
          <w:tcPr>
            <w:tcW w:type="dxa" w:w="3324"/>
          </w:tcPr>
          <w:p>
            <w:r>
              <w:t>C</w:t>
            </w:r>
          </w:p>
        </w:tc>
        <w:tc>
          <w:tcPr>
            <w:tcW w:type="dxa" w:w="3324"/>
          </w:tcPr>
          <w:p>
            <w:r>
              <w:t>Kas dan Bank</w:t>
            </w:r>
          </w:p>
        </w:tc>
        <w:tc>
          <w:tcPr>
            <w:tcW w:type="dxa" w:w="3324"/>
          </w:tcPr>
          <w:p>
            <w:r>
              <w:t>Penerimaan SPP &amp; Sumbangan</w:t>
            </w:r>
          </w:p>
        </w:tc>
      </w:tr>
      <w:tr>
        <w:tc>
          <w:tcPr>
            <w:tcW w:type="dxa" w:w="3324"/>
          </w:tcPr>
          <w:p>
            <w:r>
              <w:t>E</w:t>
            </w:r>
          </w:p>
        </w:tc>
        <w:tc>
          <w:tcPr>
            <w:tcW w:type="dxa" w:w="3324"/>
          </w:tcPr>
          <w:p>
            <w:r>
              <w:t>Piutang SPP</w:t>
            </w:r>
          </w:p>
        </w:tc>
        <w:tc>
          <w:tcPr>
            <w:tcW w:type="dxa" w:w="3324"/>
          </w:tcPr>
          <w:p>
            <w:r>
              <w:t>Penerimaan SPP &amp; Sumbangan</w:t>
            </w:r>
          </w:p>
        </w:tc>
      </w:tr>
      <w:tr>
        <w:tc>
          <w:tcPr>
            <w:tcW w:type="dxa" w:w="3324"/>
          </w:tcPr>
          <w:p>
            <w:r>
              <w:t>K</w:t>
            </w:r>
          </w:p>
        </w:tc>
        <w:tc>
          <w:tcPr>
            <w:tcW w:type="dxa" w:w="3324"/>
          </w:tcPr>
          <w:p>
            <w:r>
              <w:t>Aset Tetap (Gedung &amp; Peralatan)</w:t>
            </w:r>
          </w:p>
        </w:tc>
        <w:tc>
          <w:tcPr>
            <w:tcW w:type="dxa" w:w="3324"/>
          </w:tcPr>
          <w:p>
            <w:r>
              <w:t>-</w:t>
            </w:r>
          </w:p>
        </w:tc>
      </w:tr>
      <w:tr>
        <w:tc>
          <w:tcPr>
            <w:tcW w:type="dxa" w:w="3324"/>
          </w:tcPr>
          <w:p>
            <w:r>
              <w:t>O</w:t>
            </w:r>
          </w:p>
        </w:tc>
        <w:tc>
          <w:tcPr>
            <w:tcW w:type="dxa" w:w="3324"/>
          </w:tcPr>
          <w:p>
            <w:r>
              <w:t>Utang Pajak (PPh 21)</w:t>
            </w:r>
          </w:p>
        </w:tc>
        <w:tc>
          <w:tcPr>
            <w:tcW w:type="dxa" w:w="3324"/>
          </w:tcPr>
          <w:p>
            <w:r>
              <w:t>-</w:t>
            </w:r>
          </w:p>
        </w:tc>
      </w:tr>
      <w:tr>
        <w:tc>
          <w:tcPr>
            <w:tcW w:type="dxa" w:w="3324"/>
          </w:tcPr>
          <w:p>
            <w:r>
              <w:t>P</w:t>
            </w:r>
          </w:p>
        </w:tc>
        <w:tc>
          <w:tcPr>
            <w:tcW w:type="dxa" w:w="3324"/>
          </w:tcPr>
          <w:p>
            <w:r>
              <w:t>Pendapatan Diterima Dimuka (SPP &amp; Uang Pangkal)</w:t>
            </w:r>
          </w:p>
        </w:tc>
        <w:tc>
          <w:tcPr>
            <w:tcW w:type="dxa" w:w="3324"/>
          </w:tcPr>
          <w:p>
            <w:r>
              <w:t>Penerimaan SPP &amp; Sumbangan</w:t>
            </w:r>
          </w:p>
        </w:tc>
      </w:tr>
      <w:tr>
        <w:tc>
          <w:tcPr>
            <w:tcW w:type="dxa" w:w="3324"/>
          </w:tcPr>
          <w:p>
            <w:r>
              <w:t>T</w:t>
            </w:r>
          </w:p>
        </w:tc>
        <w:tc>
          <w:tcPr>
            <w:tcW w:type="dxa" w:w="3324"/>
          </w:tcPr>
          <w:p>
            <w:r>
              <w:t>Aset Neto</w:t>
            </w:r>
          </w:p>
        </w:tc>
        <w:tc>
          <w:tcPr>
            <w:tcW w:type="dxa" w:w="3324"/>
          </w:tcPr>
          <w:p>
            <w:r>
              <w:t>-</w:t>
            </w:r>
          </w:p>
        </w:tc>
      </w:tr>
      <w:tr>
        <w:tc>
          <w:tcPr>
            <w:tcW w:type="dxa" w:w="3324"/>
          </w:tcPr>
          <w:p>
            <w:r>
              <w:t>UA</w:t>
            </w:r>
          </w:p>
        </w:tc>
        <w:tc>
          <w:tcPr>
            <w:tcW w:type="dxa" w:w="3324"/>
          </w:tcPr>
          <w:p>
            <w:r>
              <w:t>Pendapatan SPP, Uang Pangkal &amp; Sumbangan</w:t>
            </w:r>
          </w:p>
        </w:tc>
        <w:tc>
          <w:tcPr>
            <w:tcW w:type="dxa" w:w="3324"/>
          </w:tcPr>
          <w:p>
            <w:r>
              <w:t>Penerimaan SPP &amp; Sumbangan</w:t>
            </w:r>
          </w:p>
        </w:tc>
      </w:tr>
      <w:tr>
        <w:tc>
          <w:tcPr>
            <w:tcW w:type="dxa" w:w="3324"/>
          </w:tcPr>
          <w:p>
            <w:r>
              <w:t>VD</w:t>
            </w:r>
          </w:p>
        </w:tc>
        <w:tc>
          <w:tcPr>
            <w:tcW w:type="dxa" w:w="3324"/>
          </w:tcPr>
          <w:p>
            <w:r>
              <w:t>Beban Program &amp; Umum</w:t>
            </w:r>
          </w:p>
        </w:tc>
        <w:tc>
          <w:tcPr>
            <w:tcW w:type="dxa" w:w="3324"/>
          </w:tcPr>
          <w:p>
            <w:r>
              <w:t>Pengeluaran Program</w:t>
            </w:r>
          </w:p>
        </w:tc>
      </w:tr>
    </w:tbl>
    <w:p/>
    <w:p>
      <w:r>
        <w:rPr>
          <w:b/>
          <w:color w:val="00ABD6"/>
          <w:sz w:val="22"/>
        </w:rPr>
        <w:t>C. Penilaian Kompleksitas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No</w:t>
            </w:r>
          </w:p>
        </w:tc>
        <w:tc>
          <w:tcPr>
            <w:tcW w:type="dxa" w:w="2493"/>
          </w:tcPr>
          <w:p>
            <w:r>
              <w:rPr>
                <w:b/>
              </w:rPr>
              <w:t>Indikator</w:t>
            </w:r>
          </w:p>
        </w:tc>
        <w:tc>
          <w:tcPr>
            <w:tcW w:type="dxa" w:w="2493"/>
          </w:tcPr>
          <w:p>
            <w:r>
              <w:rPr>
                <w:b/>
              </w:rPr>
              <w:t>Ya / Tidak</w:t>
            </w:r>
          </w:p>
        </w:tc>
        <w:tc>
          <w:tcPr>
            <w:tcW w:type="dxa" w:w="2493"/>
          </w:tcPr>
          <w:p>
            <w:r>
              <w:rPr>
                <w:b/>
              </w:rPr>
              <w:t>Keterangan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Lebih dari satu lokasi operasi atau ada anak usaha/komponen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Sistem informasi terintegrasi dengan kontrol otomatis yang ingin diandalkan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Estimasi akuntansi signifikan dengan ketidakpastian tinggi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Transaksi kompleks: instrumen keuangan, kontrak jangka panjang, atau pihak berelasi signifikan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Laporan dipakai bank, investor, atau regulator untuk keputusan besar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Struktur organisasi berlapis dengan pemisahan tugas formal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/>
    <w:p>
      <w:r>
        <w:rPr>
          <w:i w:val="0"/>
        </w:rPr>
        <w:t>Kesimpulan: dua indikator atau lebih berarti Complex (ITGC, walkthrough, ToC). Kurang dari dua berarti Non-Complex Entity (pendekatan substantif).</w:t>
      </w:r>
    </w:p>
    <w:p>
      <w:r>
        <w:rPr>
          <w:b/>
          <w:color w:val="00ABD6"/>
          <w:sz w:val="22"/>
        </w:rPr>
        <w:t>Persetujuan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Tahap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Peran</w:t>
            </w:r>
          </w:p>
        </w:tc>
        <w:tc>
          <w:tcPr>
            <w:tcW w:type="dxa" w:w="2493"/>
          </w:tcPr>
          <w:p>
            <w:r>
              <w:rPr>
                <w:b/>
              </w:rPr>
              <w:t>Nama</w:t>
            </w:r>
          </w:p>
        </w:tc>
        <w:tc>
          <w:tcPr>
            <w:tcW w:type="dxa" w:w="2493"/>
          </w:tcPr>
          <w:p>
            <w:r>
              <w:rPr>
                <w:b/>
              </w:rPr>
              <w:t>Tanggal / Paraf</w:t>
            </w:r>
          </w:p>
        </w:tc>
      </w:tr>
      <w:tr>
        <w:tc>
          <w:tcPr>
            <w:tcW w:type="dxa" w:w="2493"/>
          </w:tcPr>
          <w:p>
            <w:r>
              <w:t>Disusun</w:t>
            </w:r>
          </w:p>
        </w:tc>
        <w:tc>
          <w:tcPr>
            <w:tcW w:type="dxa" w:w="2493"/>
          </w:tcPr>
          <w:p>
            <w:r>
              <w:t>Staf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Senior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Manager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Senior Manager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2857" cy="18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a-digital-d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2857" cy="18000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777777"/>
        <w:sz w:val="14"/>
      </w:rPr>
      <w:t xml:space="preserve">   Sistem kertas kerja FA Saturn · IT partner: FA Digital (FA Indonesia)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2268"/>
      <w:gridCol w:w="7370"/>
    </w:tblGrid>
    <w:tr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631385" cy="86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kap-dh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1385" cy="86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370"/>
        </w:tcPr>
        <w:p>
          <w:pPr>
            <w:jc w:val="right"/>
          </w:pPr>
          <w:r>
            <w:rPr>
              <w:b/>
              <w:color w:val="00ABD6"/>
              <w:sz w:val="18"/>
            </w:rPr>
            <w:t>KAP Dwi Haryadi Nugraha &amp; Rekan</w:t>
            <w:br/>
          </w:r>
          <w:r>
            <w:rPr>
              <w:sz w:val="16"/>
            </w:rPr>
            <w:t>Indeks KK: B-1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