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Surat Perikatan Audit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Klien</w:t>
            </w:r>
          </w:p>
        </w:tc>
        <w:tc>
          <w:tcPr>
            <w:tcW w:type="dxa" w:w="2493"/>
          </w:tcPr>
          <w:p/>
        </w:tc>
        <w:tc>
          <w:tcPr>
            <w:tcW w:type="dxa" w:w="2493"/>
          </w:tcPr>
          <w:p>
            <w:r>
              <w:t>Periode</w:t>
            </w:r>
          </w:p>
        </w:tc>
        <w:tc>
          <w:tcPr>
            <w:tcW w:type="dxa" w:w="2493"/>
          </w:tcPr>
          <w:p>
            <w:r>
              <w:t>31 Desember 2025</w:t>
            </w:r>
          </w:p>
        </w:tc>
      </w:tr>
      <w:tr>
        <w:tc>
          <w:tcPr>
            <w:tcW w:type="dxa" w:w="2493"/>
          </w:tcPr>
          <w:p>
            <w:r>
              <w:t>Disusun Oleh / Tanggal</w:t>
            </w:r>
          </w:p>
        </w:tc>
        <w:tc>
          <w:tcPr>
            <w:tcW w:type="dxa" w:w="2493"/>
          </w:tcPr>
          <w:p/>
        </w:tc>
        <w:tc>
          <w:tcPr>
            <w:tcW w:type="dxa" w:w="2493"/>
          </w:tcPr>
          <w:p>
            <w:r>
              <w:t>Direview Oleh / Tanggal</w:t>
            </w:r>
          </w:p>
        </w:tc>
        <w:tc>
          <w:tcPr>
            <w:tcW w:type="dxa" w:w="2493"/>
          </w:tcPr>
          <w:p/>
        </w:tc>
      </w:tr>
    </w:tbl>
    <w:p/>
    <w:p>
      <w:r>
        <w:rPr>
          <w:i w:val="0"/>
        </w:rPr>
        <w:t>[Kota], [tanggal]</w:t>
        <w:br/>
        <w:br/>
        <w:t>Kepada Yth.</w:t>
        <w:br/>
        <w:t>Direksi [nama klien]</w:t>
        <w:br/>
        <w:t>[alamat]</w:t>
        <w:br/>
        <w:br/>
        <w:t>Perihal: Perikatan audit atas laporan keuangan tahun buku 31 Desember 2025</w:t>
      </w:r>
    </w:p>
    <w:p>
      <w:r>
        <w:rPr>
          <w:b/>
          <w:color w:val="00ABD6"/>
          <w:sz w:val="22"/>
        </w:rPr>
        <w:t>1. Tujuan dan Ruang Lingkup</w:t>
      </w:r>
    </w:p>
    <w:p>
      <w:r>
        <w:rPr>
          <w:i w:val="0"/>
        </w:rPr>
        <w:t>Kami akan mengaudit laporan keuangan [nama klien] untuk tahun yang berakhir 31 Desember 2025 berdasarkan Standar Audit yang ditetapkan IAPI, dengan tujuan menyatakan opini atas kewajaran laporan keuangan tersebut.</w:t>
      </w:r>
    </w:p>
    <w:p>
      <w:r>
        <w:rPr>
          <w:b/>
          <w:color w:val="00ABD6"/>
          <w:sz w:val="22"/>
        </w:rPr>
        <w:t>2. Tanggung Jawab Auditor</w:t>
      </w:r>
    </w:p>
    <w:p>
      <w:r>
        <w:rPr>
          <w:i w:val="0"/>
        </w:rPr>
        <w:t>Kami merencanakan dan melaksanakan audit untuk memperoleh keyakinan memadai bahwa laporan keuangan bebas dari salah saji material, baik karena kecurangan maupun kekeliruan. Karena keterbatasan bawaan audit, terdapat risiko yang tidak dapat dihindarkan bahwa salah saji material tidak terdeteksi.</w:t>
      </w:r>
    </w:p>
    <w:p>
      <w:r>
        <w:rPr>
          <w:b/>
          <w:color w:val="00ABD6"/>
          <w:sz w:val="22"/>
        </w:rPr>
        <w:t>3. Tanggung Jawab Manajemen</w:t>
      </w:r>
    </w:p>
    <w:p>
      <w:r>
        <w:rPr>
          <w:i w:val="0"/>
        </w:rPr>
        <w:t>Manajemen bertanggung jawab atas penyusunan laporan keuangan sesuai [kerangka pelaporan], atas pengendalian internal yang diperlukan, serta atas penyediaan akses ke seluruh catatan, dokumen, dan personel yang relevan, dan surat representasi tertulis.</w:t>
      </w:r>
    </w:p>
    <w:p>
      <w:r>
        <w:rPr>
          <w:b/>
          <w:color w:val="00ABD6"/>
          <w:sz w:val="22"/>
        </w:rPr>
        <w:t>4. Jadwal, Tim, dan Imbalan Jasa</w:t>
      </w:r>
    </w:p>
    <w:tbl>
      <w:tblPr>
        <w:tblStyle w:val="TableGrid"/>
        <w:tblW w:type="auto" w:w="0"/>
        <w:tblLook w:firstColumn="1" w:firstRow="1" w:lastColumn="0" w:lastRow="0" w:noHBand="0" w:noVBand="1" w:val="04A0"/>
      </w:tblPr>
      <w:tblGrid>
        <w:gridCol w:w="4986"/>
        <w:gridCol w:w="4986"/>
      </w:tblGrid>
      <w:tr>
        <w:tc>
          <w:tcPr>
            <w:tcW w:type="dxa" w:w="4986"/>
          </w:tcPr>
          <w:p>
            <w:r>
              <w:rPr>
                <w:b/>
              </w:rPr>
              <w:t>Hal</w:t>
            </w:r>
          </w:p>
        </w:tc>
        <w:tc>
          <w:tcPr>
            <w:tcW w:type="dxa" w:w="4986"/>
          </w:tcPr>
          <w:p>
            <w:r>
              <w:rPr>
                <w:b/>
              </w:rPr>
              <w:t>Keterangan</w:t>
            </w:r>
          </w:p>
        </w:tc>
      </w:tr>
      <w:tr>
        <w:tc>
          <w:tcPr>
            <w:tcW w:type="dxa" w:w="4986"/>
          </w:tcPr>
          <w:p>
            <w:r>
              <w:t>Fieldwork</w:t>
            </w:r>
          </w:p>
        </w:tc>
        <w:tc>
          <w:tcPr>
            <w:tcW w:type="dxa" w:w="4986"/>
          </w:tcPr>
          <w:p>
            <w:r/>
          </w:p>
        </w:tc>
      </w:tr>
      <w:tr>
        <w:tc>
          <w:tcPr>
            <w:tcW w:type="dxa" w:w="4986"/>
          </w:tcPr>
          <w:p>
            <w:r>
              <w:t>Tanggal laporan yang direncanakan</w:t>
            </w:r>
          </w:p>
        </w:tc>
        <w:tc>
          <w:tcPr>
            <w:tcW w:type="dxa" w:w="4986"/>
          </w:tcPr>
          <w:p>
            <w:r/>
          </w:p>
        </w:tc>
      </w:tr>
      <w:tr>
        <w:tc>
          <w:tcPr>
            <w:tcW w:type="dxa" w:w="4986"/>
          </w:tcPr>
          <w:p>
            <w:r>
              <w:t>Partner perikatan</w:t>
            </w:r>
          </w:p>
        </w:tc>
        <w:tc>
          <w:tcPr>
            <w:tcW w:type="dxa" w:w="4986"/>
          </w:tcPr>
          <w:p>
            <w:r/>
          </w:p>
        </w:tc>
      </w:tr>
      <w:tr>
        <w:tc>
          <w:tcPr>
            <w:tcW w:type="dxa" w:w="4986"/>
          </w:tcPr>
          <w:p>
            <w:r>
              <w:t>Imbalan jasa</w:t>
            </w:r>
          </w:p>
        </w:tc>
        <w:tc>
          <w:tcPr>
            <w:tcW w:type="dxa" w:w="4986"/>
          </w:tcPr>
          <w:p>
            <w:r/>
          </w:p>
        </w:tc>
      </w:tr>
      <w:tr>
        <w:tc>
          <w:tcPr>
            <w:tcW w:type="dxa" w:w="4986"/>
          </w:tcPr>
          <w:p>
            <w:r>
              <w:t>Termin pembayaran</w:t>
            </w:r>
          </w:p>
        </w:tc>
        <w:tc>
          <w:tcPr>
            <w:tcW w:type="dxa" w:w="4986"/>
          </w:tcPr>
          <w:p>
            <w:r/>
          </w:p>
        </w:tc>
      </w:tr>
    </w:tbl>
    <w:p/>
    <w:p>
      <w:r>
        <w:rPr>
          <w:b/>
          <w:color w:val="00ABD6"/>
          <w:sz w:val="22"/>
        </w:rPr>
        <w:t>5. Persetujuan</w:t>
      </w:r>
    </w:p>
    <w:tbl>
      <w:tblPr>
        <w:tblStyle w:val="TableGrid"/>
        <w:tblW w:type="auto" w:w="0"/>
        <w:tblLook w:firstColumn="1" w:firstRow="1" w:lastColumn="0" w:lastRow="0" w:noHBand="0" w:noVBand="1" w:val="04A0"/>
      </w:tblPr>
      <w:tblGrid>
        <w:gridCol w:w="4986"/>
        <w:gridCol w:w="4986"/>
      </w:tblGrid>
      <w:tr>
        <w:tc>
          <w:tcPr>
            <w:tcW w:type="dxa" w:w="4986"/>
          </w:tcPr>
          <w:p>
            <w:r>
              <w:rPr>
                <w:b/>
              </w:rPr>
              <w:t>Untuk KAP</w:t>
            </w:r>
          </w:p>
        </w:tc>
        <w:tc>
          <w:tcPr>
            <w:tcW w:type="dxa" w:w="4986"/>
          </w:tcPr>
          <w:p>
            <w:r>
              <w:rPr>
                <w:b/>
              </w:rPr>
              <w:t>Disetujui Klien</w:t>
            </w:r>
          </w:p>
        </w:tc>
      </w:tr>
      <w:tr>
        <w:tc>
          <w:tcPr>
            <w:tcW w:type="dxa" w:w="4986"/>
          </w:tcPr>
          <w:p>
            <w:r>
              <w:br/>
              <w:br/>
              <w:br/>
              <w:t>Partner</w:t>
            </w:r>
          </w:p>
        </w:tc>
        <w:tc>
          <w:tcPr>
            <w:tcW w:type="dxa" w:w="4986"/>
          </w:tcPr>
          <w:p>
            <w:r>
              <w:br/>
              <w:br/>
              <w:br/>
              <w:t>Direktur Utama</w:t>
            </w:r>
          </w:p>
        </w:tc>
      </w:tr>
    </w:tbl>
    <w:p/>
    <w:p>
      <w:r>
        <w:rPr>
          <w:b/>
          <w:color w:val="00ABD6"/>
          <w:sz w:val="22"/>
        </w:rPr>
        <w:t>Persetujuan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Tahap</w:t>
            </w:r>
          </w:p>
        </w:tc>
        <w:tc>
          <w:tcPr>
            <w:tcW w:type="dxa" w:w="2493"/>
          </w:tcPr>
          <w:p>
            <w:r>
              <w:rPr>
                <w:b/>
              </w:rPr>
              <w:t>Peran</w:t>
            </w:r>
          </w:p>
        </w:tc>
        <w:tc>
          <w:tcPr>
            <w:tcW w:type="dxa" w:w="2493"/>
          </w:tcPr>
          <w:p>
            <w:r>
              <w:rPr>
                <w:b/>
              </w:rPr>
              <w:t>Nama</w:t>
            </w:r>
          </w:p>
        </w:tc>
        <w:tc>
          <w:tcPr>
            <w:tcW w:type="dxa" w:w="2493"/>
          </w:tcPr>
          <w:p>
            <w:r>
              <w:rPr>
                <w:b/>
              </w:rPr>
              <w:t>Tanggal / Paraf</w:t>
            </w:r>
          </w:p>
        </w:tc>
      </w:tr>
      <w:tr>
        <w:tc>
          <w:tcPr>
            <w:tcW w:type="dxa" w:w="2493"/>
          </w:tcPr>
          <w:p>
            <w:r>
              <w:t>Disusun</w:t>
            </w:r>
          </w:p>
        </w:tc>
        <w:tc>
          <w:tcPr>
            <w:tcW w:type="dxa" w:w="2493"/>
          </w:tcPr>
          <w:p>
            <w:r>
              <w:t>Staf</w:t>
            </w:r>
          </w:p>
        </w:tc>
        <w:tc>
          <w:tcPr>
            <w:tcW w:type="dxa" w:w="2493"/>
          </w:tcPr>
          <w:p>
            <w:r/>
          </w:p>
        </w:tc>
        <w:tc>
          <w:tcPr>
            <w:tcW w:type="dxa" w:w="2493"/>
          </w:tcPr>
          <w:p>
            <w:r/>
          </w:p>
        </w:tc>
      </w:tr>
      <w:tr>
        <w:tc>
          <w:tcPr>
            <w:tcW w:type="dxa" w:w="2493"/>
          </w:tcPr>
          <w:p>
            <w:r>
              <w:t>Direview</w:t>
            </w:r>
          </w:p>
        </w:tc>
        <w:tc>
          <w:tcPr>
            <w:tcW w:type="dxa" w:w="2493"/>
          </w:tcPr>
          <w:p>
            <w:r>
              <w:t>Senior</w:t>
            </w:r>
          </w:p>
        </w:tc>
        <w:tc>
          <w:tcPr>
            <w:tcW w:type="dxa" w:w="2493"/>
          </w:tcPr>
          <w:p>
            <w:r/>
          </w:p>
        </w:tc>
        <w:tc>
          <w:tcPr>
            <w:tcW w:type="dxa" w:w="2493"/>
          </w:tcPr>
          <w:p>
            <w:r/>
          </w:p>
        </w:tc>
      </w:tr>
      <w:tr>
        <w:tc>
          <w:tcPr>
            <w:tcW w:type="dxa" w:w="2493"/>
          </w:tcPr>
          <w:p>
            <w:r>
              <w:t>Direview</w:t>
            </w:r>
          </w:p>
        </w:tc>
        <w:tc>
          <w:tcPr>
            <w:tcW w:type="dxa" w:w="2493"/>
          </w:tcPr>
          <w:p>
            <w:r>
              <w:t>Manager</w:t>
            </w:r>
          </w:p>
        </w:tc>
        <w:tc>
          <w:tcPr>
            <w:tcW w:type="dxa" w:w="2493"/>
          </w:tcPr>
          <w:p>
            <w:r/>
          </w:p>
        </w:tc>
        <w:tc>
          <w:tcPr>
            <w:tcW w:type="dxa" w:w="2493"/>
          </w:tcPr>
          <w:p>
            <w:r/>
          </w:p>
        </w:tc>
      </w:tr>
      <w:tr>
        <w:tc>
          <w:tcPr>
            <w:tcW w:type="dxa" w:w="2493"/>
          </w:tcPr>
          <w:p>
            <w:r>
              <w:t>Direview</w:t>
            </w:r>
          </w:p>
        </w:tc>
        <w:tc>
          <w:tcPr>
            <w:tcW w:type="dxa" w:w="2493"/>
          </w:tcPr>
          <w:p>
            <w:r>
              <w:t>Senior Manager</w:t>
            </w:r>
          </w:p>
        </w:tc>
        <w:tc>
          <w:tcPr>
            <w:tcW w:type="dxa" w:w="2493"/>
          </w:tcPr>
          <w:p>
            <w:r/>
          </w:p>
        </w:tc>
        <w:tc>
          <w:tcPr>
            <w:tcW w:type="dxa" w:w="2493"/>
          </w:tcPr>
          <w:p>
            <w:r/>
          </w:p>
        </w:tc>
      </w:tr>
    </w:tbl>
    <w:p/>
    <w:sectPr w:rsidR="00FC693F" w:rsidRPr="0006063C" w:rsidSect="00034616">
      <w:headerReference w:type="default" r:id="rId9"/>
      <w:footerReference w:type="default" r:id="rId10"/>
      <w:pgSz w:w="12240" w:h="15840"/>
      <w:pgMar w:top="1247"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642857" cy="180000"/>
          <wp:docPr id="1" name="Picture 1"/>
          <wp:cNvGraphicFramePr>
            <a:graphicFrameLocks noChangeAspect="1"/>
          </wp:cNvGraphicFramePr>
          <a:graphic>
            <a:graphicData uri="http://schemas.openxmlformats.org/drawingml/2006/picture">
              <pic:pic>
                <pic:nvPicPr>
                  <pic:cNvPr id="0" name="fa-digital-dark.png"/>
                  <pic:cNvPicPr/>
                </pic:nvPicPr>
                <pic:blipFill>
                  <a:blip r:embed="rId1"/>
                  <a:stretch>
                    <a:fillRect/>
                  </a:stretch>
                </pic:blipFill>
                <pic:spPr>
                  <a:xfrm>
                    <a:off x="0" y="0"/>
                    <a:ext cx="642857" cy="180000"/>
                  </a:xfrm>
                  <a:prstGeom prst="rect"/>
                </pic:spPr>
              </pic:pic>
            </a:graphicData>
          </a:graphic>
        </wp:inline>
      </w:drawing>
    </w:r>
    <w:r>
      <w:rPr>
        <w:color w:val="777777"/>
        <w:sz w:val="14"/>
      </w:rPr>
      <w:t xml:space="preserve">   Sistem kertas kerja FA Saturn · IT partner: FA Digital (FA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268"/>
      <w:gridCol w:w="7370"/>
    </w:tblGrid>
    <w:tr>
      <w:tc>
        <w:tcPr>
          <w:tcW w:type="dxa" w:w="2268"/>
        </w:tcPr>
        <w:p>
          <w:r>
            <w:drawing>
              <wp:inline xmlns:a="http://schemas.openxmlformats.org/drawingml/2006/main" xmlns:pic="http://schemas.openxmlformats.org/drawingml/2006/picture">
                <wp:extent cx="631385" cy="864000"/>
                <wp:docPr id="1" name="Picture 1"/>
                <wp:cNvGraphicFramePr>
                  <a:graphicFrameLocks noChangeAspect="1"/>
                </wp:cNvGraphicFramePr>
                <a:graphic>
                  <a:graphicData uri="http://schemas.openxmlformats.org/drawingml/2006/picture">
                    <pic:pic>
                      <pic:nvPicPr>
                        <pic:cNvPr id="0" name="kap-dhn.png"/>
                        <pic:cNvPicPr/>
                      </pic:nvPicPr>
                      <pic:blipFill>
                        <a:blip r:embed="rId1"/>
                        <a:stretch>
                          <a:fillRect/>
                        </a:stretch>
                      </pic:blipFill>
                      <pic:spPr>
                        <a:xfrm>
                          <a:off x="0" y="0"/>
                          <a:ext cx="631385" cy="864000"/>
                        </a:xfrm>
                        <a:prstGeom prst="rect"/>
                      </pic:spPr>
                    </pic:pic>
                  </a:graphicData>
                </a:graphic>
              </wp:inline>
            </w:drawing>
          </w:r>
        </w:p>
      </w:tc>
      <w:tc>
        <w:tcPr>
          <w:tcW w:type="dxa" w:w="7370"/>
        </w:tcPr>
        <w:p>
          <w:pPr>
            <w:jc w:val="right"/>
          </w:pPr>
          <w:r>
            <w:rPr>
              <w:b/>
              <w:color w:val="00ABD6"/>
              <w:sz w:val="18"/>
            </w:rPr>
            <w:t>KAP Dwi Haryadi Nugraha &amp; Rekan</w:t>
            <w:br/>
          </w:r>
          <w:r>
            <w:rPr>
              <w:sz w:val="16"/>
            </w:rPr>
            <w:t>Indeks KK: B-4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