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Pemahaman Entitas dan Lingkungannya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Entitas dan Lingkungannya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Implikasi Risiko</w:t>
            </w:r>
          </w:p>
        </w:tc>
      </w:tr>
      <w:tr>
        <w:tc>
          <w:tcPr>
            <w:tcW w:type="dxa" w:w="3324"/>
          </w:tcPr>
          <w:p>
            <w:r>
              <w:t>Industri, regulasi, dan faktor eksternal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Sifat entitas: kepemilikan, struktur, operasi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Kebijakan akuntansi dan perubahannya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Tujuan, strategi, dan risiko bisnis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Pengukuran dan reviu kinerja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B. Komponen Pengendalian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Kelemahan yang Teridentifikasi</w:t>
            </w:r>
          </w:p>
        </w:tc>
      </w:tr>
      <w:tr>
        <w:tc>
          <w:tcPr>
            <w:tcW w:type="dxa" w:w="3324"/>
          </w:tcPr>
          <w:p>
            <w:r>
              <w:t>Lingkungan pengendalian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Proses penilaian risiko entitas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Sistem informasi dan komunikasi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Aktivitas pengendalian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Pemantauan pengendalian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C. Prosedur Analitis Awal</w:t>
      </w:r>
    </w:p>
    <w:p>
      <w:r>
        <w:rPr>
          <w:i w:val="0"/>
        </w:rPr>
        <w:t>Akun dengan fluktuasi tidak biasa dan penjelasannya: ...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