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Rencana Penggunaan Pakar dan Auditor Lain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Pihak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Kompetensi dan Objektivitas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Lingkup Pekerjaan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Evaluasi Hasil</w:t>
            </w:r>
          </w:p>
        </w:tc>
      </w:tr>
      <w:tr>
        <w:tc>
          <w:tcPr>
            <w:tcW w:type="dxa" w:w="1994"/>
          </w:tcPr>
          <w:p>
            <w:r>
              <w:t>Aktuaris (imbalan kerja)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Penilai (KJPP)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Auditor komponen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B-9A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