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4"/>
      </w:tblGrid>
      <w:tr>
        <w:tc>
          <w:tcPr>
            <w:tcW w:type="dxa" w:w="9994"/>
            <w:shd w:fill="16323B"/>
          </w:tcPr>
          <w:p>
            <w:pPr>
              <w:spacing w:before="160" w:after="160"/>
              <w:ind w:left="173"/>
            </w:pPr>
            <w:r/>
            <w:r>
              <w:rPr>
                <w:rFonts w:ascii="Aptos" w:hAnsi="Aptos"/>
                <w:b/>
                <w:color w:val="FFFFFF"/>
                <w:sz w:val="20"/>
              </w:rPr>
              <w:t>PROPERTY DATA  /  MACHINE LEARNING  /  DECISION SUPPORT</w:t>
            </w:r>
          </w:p>
        </w:tc>
      </w:tr>
    </w:tbl>
    <w:p>
      <w:pPr>
        <w:spacing w:after="400"/>
      </w:pPr>
    </w:p>
    <w:p>
      <w:pPr>
        <w:spacing w:after="160"/>
      </w:pPr>
      <w:r>
        <w:rPr>
          <w:rFonts w:ascii="Aptos" w:hAnsi="Aptos"/>
          <w:b/>
          <w:color w:val="176B63"/>
          <w:sz w:val="20"/>
        </w:rPr>
        <w:t>PROJECT REPORT  •  28 OCTOBER 2026</w:t>
      </w:r>
    </w:p>
    <w:p>
      <w:pPr>
        <w:spacing w:after="180"/>
      </w:pPr>
      <w:r>
        <w:rPr>
          <w:rFonts w:ascii="Aptos Display" w:hAnsi="Aptos Display"/>
          <w:b/>
          <w:color w:val="16323B"/>
          <w:sz w:val="62"/>
        </w:rPr>
        <w:t>Real Estate</w:t>
        <w:br/>
        <w:t>Investment Advisor</w:t>
      </w:r>
    </w:p>
    <w:p>
      <w:pPr>
        <w:spacing w:after="400"/>
      </w:pPr>
      <w:r>
        <w:rPr>
          <w:rFonts w:ascii="Aptos" w:hAnsi="Aptos"/>
          <w:color w:val="65757B"/>
          <w:sz w:val="28"/>
        </w:rPr>
        <w:t>An end-to-end analysis of Indian residential property listings, current asking-price models, and a Streamlit decision-support prototype.</w:t>
      </w:r>
    </w:p>
    <w:tbl>
      <w:tblPr>
        <w:tblW w:type="auto" w:w="0"/>
        <w:tblLook w:firstColumn="1" w:firstRow="1" w:lastColumn="0" w:lastRow="0" w:noHBand="0" w:noVBand="1" w:val="04A0"/>
      </w:tblPr>
      <w:tblGrid>
        <w:gridCol w:w="9994"/>
      </w:tblGrid>
      <w:tr>
        <w:trPr>
          <w:trHeight w:val="86"/>
        </w:trPr>
        <w:tc>
          <w:tcPr>
            <w:tcW w:type="dxa" w:w="9994"/>
            <w:shd w:fill="176B63"/>
          </w:tcPr>
          <w:p>
            <w:r>
              <w:t xml:space="preserve"> </w:t>
            </w:r>
          </w:p>
        </w:tc>
      </w:tr>
    </w:tbl>
    <w:p>
      <w:pPr>
        <w:spacing w:after="200"/>
      </w:pPr>
    </w:p>
    <w:tbl>
      <w:tblPr>
        <w:tblW w:type="auto" w:w="0"/>
        <w:jc w:val="left"/>
        <w:tblLayout w:type="fixed"/>
        <w:tblLook w:firstColumn="1" w:firstRow="1" w:lastColumn="0" w:lastRow="0" w:noHBand="0" w:noVBand="1" w:val="04A0"/>
      </w:tblPr>
      <w:tblGrid>
        <w:gridCol w:w="4997"/>
        <w:gridCol w:w="4997"/>
      </w:tblGrid>
      <w:tr>
        <w:tc>
          <w:tcPr>
            <w:tcW w:type="dxa" w:w="4997"/>
            <w:shd w:fill="EAF3F1"/>
            <w:vAlign w:val="center"/>
          </w:tcPr>
          <w:p>
            <w:pPr>
              <w:spacing w:after="0"/>
            </w:pPr>
            <w:r/>
            <w:r>
              <w:rPr>
                <w:rFonts w:ascii="Aptos" w:hAnsi="Aptos"/>
                <w:b/>
                <w:color w:val="176B63"/>
                <w:sz w:val="16"/>
              </w:rPr>
              <w:t>PROJECT</w:t>
            </w:r>
          </w:p>
        </w:tc>
        <w:tc>
          <w:tcPr>
            <w:tcW w:type="dxa" w:w="4997"/>
            <w:vAlign w:val="center"/>
          </w:tcPr>
          <w:p>
            <w:pPr>
              <w:spacing w:after="0"/>
            </w:pPr>
            <w:r/>
            <w:r>
              <w:rPr>
                <w:rFonts w:ascii="Aptos" w:hAnsi="Aptos"/>
                <w:b w:val="0"/>
                <w:color w:val="24333A"/>
                <w:sz w:val="18"/>
              </w:rPr>
              <w:t>Real Estate Investment Advisor</w:t>
            </w:r>
          </w:p>
        </w:tc>
      </w:tr>
      <w:tr>
        <w:tc>
          <w:tcPr>
            <w:tcW w:type="dxa" w:w="4997"/>
            <w:shd w:fill="EAF3F1"/>
            <w:vAlign w:val="center"/>
          </w:tcPr>
          <w:p>
            <w:pPr>
              <w:spacing w:after="0"/>
            </w:pPr>
            <w:r/>
            <w:r>
              <w:rPr>
                <w:rFonts w:ascii="Aptos" w:hAnsi="Aptos"/>
                <w:b/>
                <w:color w:val="176B63"/>
                <w:sz w:val="16"/>
              </w:rPr>
              <w:t>DATASET</w:t>
            </w:r>
          </w:p>
        </w:tc>
        <w:tc>
          <w:tcPr>
            <w:tcW w:type="dxa" w:w="4997"/>
            <w:vAlign w:val="center"/>
          </w:tcPr>
          <w:p>
            <w:pPr>
              <w:spacing w:after="0"/>
            </w:pPr>
            <w:r/>
            <w:r>
              <w:rPr>
                <w:rFonts w:ascii="Aptos" w:hAnsi="Aptos"/>
                <w:b w:val="0"/>
                <w:color w:val="24333A"/>
                <w:sz w:val="18"/>
              </w:rPr>
              <w:t>India residential property listings</w:t>
            </w:r>
          </w:p>
        </w:tc>
      </w:tr>
      <w:tr>
        <w:tc>
          <w:tcPr>
            <w:tcW w:type="dxa" w:w="4997"/>
            <w:shd w:fill="EAF3F1"/>
            <w:vAlign w:val="center"/>
          </w:tcPr>
          <w:p>
            <w:pPr>
              <w:spacing w:after="0"/>
            </w:pPr>
            <w:r/>
            <w:r>
              <w:rPr>
                <w:rFonts w:ascii="Aptos" w:hAnsi="Aptos"/>
                <w:b/>
                <w:color w:val="176B63"/>
                <w:sz w:val="16"/>
              </w:rPr>
              <w:t>DELIVERABLES</w:t>
            </w:r>
          </w:p>
        </w:tc>
        <w:tc>
          <w:tcPr>
            <w:tcW w:type="dxa" w:w="4997"/>
            <w:vAlign w:val="center"/>
          </w:tcPr>
          <w:p>
            <w:pPr>
              <w:spacing w:after="0"/>
            </w:pPr>
            <w:r/>
            <w:r>
              <w:rPr>
                <w:rFonts w:ascii="Aptos" w:hAnsi="Aptos"/>
                <w:b w:val="0"/>
                <w:color w:val="24333A"/>
                <w:sz w:val="18"/>
              </w:rPr>
              <w:t>Jupyter notebook, trained models, Streamlit app</w:t>
            </w:r>
          </w:p>
        </w:tc>
      </w:tr>
    </w:tbl>
    <w:p>
      <w:pPr>
        <w:spacing w:before="440" w:after="0"/>
      </w:pPr>
      <w:r>
        <w:rPr>
          <w:rFonts w:ascii="Aptos" w:hAnsi="Aptos"/>
          <w:b/>
          <w:color w:val="176B63"/>
          <w:sz w:val="18"/>
        </w:rPr>
        <w:t>EDUCATIONAL PROTOTYPE</w:t>
      </w:r>
    </w:p>
    <w:p>
      <w:pPr>
        <w:spacing w:before="40" w:after="0"/>
      </w:pPr>
      <w:r>
        <w:rPr>
          <w:color w:val="65757B"/>
          <w:sz w:val="18"/>
        </w:rPr>
        <w:t>Outputs are screening signals based on listing data. They are not verified valuations, realized returns, or purchase recommendations.</w:t>
      </w:r>
    </w:p>
    <w:p>
      <w:r>
        <w:br w:type="page"/>
      </w:r>
    </w:p>
    <w:p>
      <w:pPr>
        <w:pStyle w:val="Heading1"/>
      </w:pPr>
      <w:r>
        <w:t>Executive summary</w:t>
      </w:r>
    </w:p>
    <w:p>
      <w:r>
        <w:t>This project combines exploratory analysis, two supervised learning models, and a Streamlit dashboard to support a consistent first-pass review of Indian residential listings. The regression model estimates current total asking price. A separate classifier identifies listings whose asking rate per carpet-area square foot is at or below a location benchmark. The dashboard makes the comparison visible and allows users to explore a five-year growth scenario using an explicit user-selected rate.</w:t>
      </w:r>
    </w:p>
    <w:p>
      <w:r>
        <w:t>On a random held-out split, the current-price model reached an R-squared of 0.7321, with mean absolute error of about INR 1.38 million. The proxy classifier reached an F1 score of 0.8587. These are dataset-level evaluation results, not guarantees of accuracy for future markets. The classifier target is a constructed affordability proxy and does not represent investment returns.</w:t>
      </w:r>
    </w:p>
    <w:p>
      <w:pPr>
        <w:pStyle w:val="Heading1"/>
      </w:pPr>
      <w:r>
        <w:t>1. Project overview</w:t>
      </w:r>
    </w:p>
    <w:p>
      <w:r>
        <w:t>The deliverable is an educational end-to-end workflow: a reproducible Jupyter notebook, shared feature parsing and training code, pre-trained model artifacts, a Streamlit interface, and documentation of business workflows and limitations. The intended decision benefit is to make initial comparisons more consistent and help analysts prioritize listings for human due diligence.</w:t>
      </w:r>
    </w:p>
    <w:p>
      <w:pPr>
        <w:pStyle w:val="Heading1"/>
      </w:pPr>
      <w:r>
        <w:t>2. Data and preparation</w:t>
      </w:r>
    </w:p>
    <w:p>
      <w:r>
        <w:t>The project uses the public house_prices.csv file from the bryium/house_prediction dataset, stored in the repository as India_Property_Listings.csv. The data source describes 187,531 listing records and 21 columns. The project reads listing attributes including asking amount, price per area, carpet area, location, property configuration, furnishing, and ownership. Amount strings such as "42 Lac" and "1.40 Cr" are parsed into rupees; the separate Price (in rupees) field is treated as a per-square-foot listing rate.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6323B"/>
            <w:vAlign w:val="center"/>
          </w:tcPr>
          <w:p>
            <w:pPr>
              <w:spacing w:after="0"/>
            </w:pPr>
            <w:r/>
            <w:r>
              <w:rPr>
                <w:rFonts w:ascii="Aptos" w:hAnsi="Aptos"/>
                <w:b/>
                <w:color w:val="FFFFFF"/>
                <w:sz w:val="17"/>
              </w:rPr>
              <w:t>DATA CHECK</w:t>
            </w:r>
          </w:p>
        </w:tc>
        <w:tc>
          <w:tcPr>
            <w:tcW w:type="dxa" w:w="4997"/>
            <w:shd w:fill="16323B"/>
            <w:vAlign w:val="center"/>
          </w:tcPr>
          <w:p>
            <w:pPr>
              <w:spacing w:after="0"/>
            </w:pPr>
            <w:r/>
            <w:r>
              <w:rPr>
                <w:rFonts w:ascii="Aptos" w:hAnsi="Aptos"/>
                <w:b/>
                <w:color w:val="FFFFFF"/>
                <w:sz w:val="17"/>
              </w:rPr>
              <w:t>OBSERVATION</w:t>
            </w:r>
          </w:p>
        </w:tc>
      </w:tr>
      <w:tr>
        <w:tc>
          <w:tcPr>
            <w:tcW w:type="dxa" w:w="4997"/>
            <w:shd w:fill="F3F7F6"/>
            <w:vAlign w:val="center"/>
          </w:tcPr>
          <w:p>
            <w:pPr>
              <w:spacing w:after="0"/>
            </w:pPr>
            <w:r/>
            <w:r>
              <w:rPr>
                <w:rFonts w:ascii="Aptos" w:hAnsi="Aptos"/>
                <w:b w:val="0"/>
                <w:color w:val="24333A"/>
                <w:sz w:val="17"/>
              </w:rPr>
              <w:t>Rows and columns</w:t>
            </w:r>
          </w:p>
        </w:tc>
        <w:tc>
          <w:tcPr>
            <w:tcW w:type="dxa" w:w="4997"/>
            <w:shd w:fill="F3F7F6"/>
            <w:vAlign w:val="center"/>
          </w:tcPr>
          <w:p>
            <w:pPr>
              <w:spacing w:after="0"/>
            </w:pPr>
            <w:r/>
            <w:r>
              <w:rPr>
                <w:rFonts w:ascii="Aptos" w:hAnsi="Aptos"/>
                <w:b w:val="0"/>
                <w:color w:val="24333A"/>
                <w:sz w:val="17"/>
              </w:rPr>
              <w:t>187,531 rows; 21 source columns</w:t>
            </w:r>
          </w:p>
        </w:tc>
      </w:tr>
      <w:tr>
        <w:tc>
          <w:tcPr>
            <w:tcW w:type="dxa" w:w="4997"/>
            <w:shd w:fill="FFFFFF"/>
            <w:vAlign w:val="center"/>
          </w:tcPr>
          <w:p>
            <w:pPr>
              <w:spacing w:after="0"/>
            </w:pPr>
            <w:r/>
            <w:r>
              <w:rPr>
                <w:rFonts w:ascii="Aptos" w:hAnsi="Aptos"/>
                <w:b w:val="0"/>
                <w:color w:val="24333A"/>
                <w:sz w:val="17"/>
              </w:rPr>
              <w:t>Distinct locations</w:t>
            </w:r>
          </w:p>
        </w:tc>
        <w:tc>
          <w:tcPr>
            <w:tcW w:type="dxa" w:w="4997"/>
            <w:shd w:fill="FFFFFF"/>
            <w:vAlign w:val="center"/>
          </w:tcPr>
          <w:p>
            <w:pPr>
              <w:spacing w:after="0"/>
            </w:pPr>
            <w:r/>
            <w:r>
              <w:rPr>
                <w:rFonts w:ascii="Aptos" w:hAnsi="Aptos"/>
                <w:b w:val="0"/>
                <w:color w:val="24333A"/>
                <w:sz w:val="17"/>
              </w:rPr>
              <w:t>81 in the prepared EDA summary</w:t>
            </w:r>
          </w:p>
        </w:tc>
      </w:tr>
      <w:tr>
        <w:tc>
          <w:tcPr>
            <w:tcW w:type="dxa" w:w="4997"/>
            <w:shd w:fill="F3F7F6"/>
            <w:vAlign w:val="center"/>
          </w:tcPr>
          <w:p>
            <w:pPr>
              <w:spacing w:after="0"/>
            </w:pPr>
            <w:r/>
            <w:r>
              <w:rPr>
                <w:rFonts w:ascii="Aptos" w:hAnsi="Aptos"/>
                <w:b w:val="0"/>
                <w:color w:val="24333A"/>
                <w:sz w:val="17"/>
              </w:rPr>
              <w:t>Rows with usable positive asking amount and parsed carpet area</w:t>
            </w:r>
          </w:p>
        </w:tc>
        <w:tc>
          <w:tcPr>
            <w:tcW w:type="dxa" w:w="4997"/>
            <w:shd w:fill="F3F7F6"/>
            <w:vAlign w:val="center"/>
          </w:tcPr>
          <w:p>
            <w:pPr>
              <w:spacing w:after="0"/>
            </w:pPr>
            <w:r/>
            <w:r>
              <w:rPr>
                <w:rFonts w:ascii="Aptos" w:hAnsi="Aptos"/>
                <w:b w:val="0"/>
                <w:color w:val="24333A"/>
                <w:sz w:val="17"/>
              </w:rPr>
              <w:t>101,522</w:t>
            </w:r>
          </w:p>
        </w:tc>
      </w:tr>
      <w:tr>
        <w:tc>
          <w:tcPr>
            <w:tcW w:type="dxa" w:w="4997"/>
            <w:shd w:fill="FFFFFF"/>
            <w:vAlign w:val="center"/>
          </w:tcPr>
          <w:p>
            <w:pPr>
              <w:spacing w:after="0"/>
            </w:pPr>
            <w:r/>
            <w:r>
              <w:rPr>
                <w:rFonts w:ascii="Aptos" w:hAnsi="Aptos"/>
                <w:b w:val="0"/>
                <w:color w:val="24333A"/>
                <w:sz w:val="17"/>
              </w:rPr>
              <w:t>Missing carpet area</w:t>
            </w:r>
          </w:p>
        </w:tc>
        <w:tc>
          <w:tcPr>
            <w:tcW w:type="dxa" w:w="4997"/>
            <w:shd w:fill="FFFFFF"/>
            <w:vAlign w:val="center"/>
          </w:tcPr>
          <w:p>
            <w:pPr>
              <w:spacing w:after="0"/>
            </w:pPr>
            <w:r/>
            <w:r>
              <w:rPr>
                <w:rFonts w:ascii="Aptos" w:hAnsi="Aptos"/>
                <w:b w:val="0"/>
                <w:color w:val="24333A"/>
                <w:sz w:val="17"/>
              </w:rPr>
              <w:t>80,673 rows (about 43%)</w:t>
            </w:r>
          </w:p>
        </w:tc>
      </w:tr>
      <w:tr>
        <w:tc>
          <w:tcPr>
            <w:tcW w:type="dxa" w:w="4997"/>
            <w:shd w:fill="F3F7F6"/>
            <w:vAlign w:val="center"/>
          </w:tcPr>
          <w:p>
            <w:pPr>
              <w:spacing w:after="0"/>
            </w:pPr>
            <w:r/>
            <w:r>
              <w:rPr>
                <w:rFonts w:ascii="Aptos" w:hAnsi="Aptos"/>
                <w:b w:val="0"/>
                <w:color w:val="24333A"/>
                <w:sz w:val="17"/>
              </w:rPr>
              <w:t>Missing source per-area rate</w:t>
            </w:r>
          </w:p>
        </w:tc>
        <w:tc>
          <w:tcPr>
            <w:tcW w:type="dxa" w:w="4997"/>
            <w:shd w:fill="F3F7F6"/>
            <w:vAlign w:val="center"/>
          </w:tcPr>
          <w:p>
            <w:pPr>
              <w:spacing w:after="0"/>
            </w:pPr>
            <w:r/>
            <w:r>
              <w:rPr>
                <w:rFonts w:ascii="Aptos" w:hAnsi="Aptos"/>
                <w:b w:val="0"/>
                <w:color w:val="24333A"/>
                <w:sz w:val="17"/>
              </w:rPr>
              <w:t>9,684 rows (about 5%)</w:t>
            </w:r>
          </w:p>
        </w:tc>
      </w:tr>
    </w:tbl>
    <w:p>
      <w:pPr>
        <w:spacing w:after="20"/>
      </w:pPr>
    </w:p>
    <w:p>
      <w:r>
        <w:t>EDA uses medians to reduce sensitivity to highly priced listings and reports location-level asking-price summaries. These are cross-sectional listing statistics, not verified transaction prices or time-series appreciation data.</w:t>
      </w:r>
    </w:p>
    <w:p>
      <w:pPr>
        <w:pStyle w:val="Heading1"/>
      </w:pPr>
      <w:r>
        <w:t>3. Modeling approach</w:t>
      </w:r>
    </w:p>
    <w:p>
      <w:pPr>
        <w:pStyle w:val="Heading2"/>
      </w:pPr>
      <w:r>
        <w:t>Current asking-price regression</w:t>
      </w:r>
    </w:p>
    <w:p>
      <w:r>
        <w:t>An Extra Trees regressor predicts the total asking amount from parsed property characteristics and location. Training applies a log transform to the target and reports error after returning to rupees. The evaluated split used 47,430 rows: 37,944 training and 9,486 held-out rows.</w:t>
      </w:r>
    </w:p>
    <w:p>
      <w:pPr>
        <w:pStyle w:val="Heading2"/>
      </w:pPr>
      <w:r>
        <w:t>Below-local-median proxy classification</w:t>
      </w:r>
    </w:p>
    <w:p>
      <w:r>
        <w:t>A Random Forest classifier predicts whether the listing rate per carpet-area square foot is no higher than the training-set median for that location, with an overall-median fallback. The label is derived from listing prices in this same dataset. It is an affordability screening proxy, not a measurement of investment quality or future performance. The evaluation used 47,404 rows: 37,923 training and 9,481 held-out rows.</w:t>
      </w:r>
    </w:p>
    <w:p>
      <w:pPr>
        <w:pStyle w:val="Heading2"/>
      </w:pPr>
      <w:r>
        <w:t>Five-year scenario</w:t>
      </w:r>
    </w:p>
    <w:p>
      <w:r>
        <w:t>No five-year outcome is present in the source data. The dashboard calculates a scenario as selected current value multiplied by (1 + selected annual growth rate) raised to the selected number of years. The user controls the rate; it is not a supervised forecast.</w:t>
      </w:r>
    </w:p>
    <w:p>
      <w:pPr>
        <w:pStyle w:val="Heading1"/>
      </w:pPr>
      <w:r>
        <w:t>4. Evaluation results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323B"/>
            <w:vAlign w:val="center"/>
          </w:tcPr>
          <w:p>
            <w:pPr>
              <w:spacing w:after="0"/>
            </w:pPr>
            <w:r/>
            <w:r>
              <w:rPr>
                <w:rFonts w:ascii="Aptos" w:hAnsi="Aptos"/>
                <w:b/>
                <w:color w:val="FFFFFF"/>
                <w:sz w:val="17"/>
              </w:rPr>
              <w:t>MODEL</w:t>
            </w:r>
          </w:p>
        </w:tc>
        <w:tc>
          <w:tcPr>
            <w:tcW w:type="dxa" w:w="3331"/>
            <w:shd w:fill="16323B"/>
            <w:vAlign w:val="center"/>
          </w:tcPr>
          <w:p>
            <w:pPr>
              <w:spacing w:after="0"/>
            </w:pPr>
            <w:r/>
            <w:r>
              <w:rPr>
                <w:rFonts w:ascii="Aptos" w:hAnsi="Aptos"/>
                <w:b/>
                <w:color w:val="FFFFFF"/>
                <w:sz w:val="17"/>
              </w:rPr>
              <w:t>METRIC</w:t>
            </w:r>
          </w:p>
        </w:tc>
        <w:tc>
          <w:tcPr>
            <w:tcW w:type="dxa" w:w="3331"/>
            <w:shd w:fill="16323B"/>
            <w:vAlign w:val="center"/>
          </w:tcPr>
          <w:p>
            <w:pPr>
              <w:spacing w:after="0"/>
            </w:pPr>
            <w:r/>
            <w:r>
              <w:rPr>
                <w:rFonts w:ascii="Aptos" w:hAnsi="Aptos"/>
                <w:b/>
                <w:color w:val="FFFFFF"/>
                <w:sz w:val="17"/>
              </w:rPr>
              <w:t>HELD-OUT RESULT</w:t>
            </w:r>
          </w:p>
        </w:tc>
      </w:tr>
      <w:tr>
        <w:tc>
          <w:tcPr>
            <w:tcW w:type="dxa" w:w="3331"/>
            <w:shd w:fill="F3F7F6"/>
            <w:vAlign w:val="center"/>
          </w:tcPr>
          <w:p>
            <w:pPr>
              <w:spacing w:after="0"/>
            </w:pPr>
            <w:r/>
            <w:r>
              <w:rPr>
                <w:rFonts w:ascii="Aptos" w:hAnsi="Aptos"/>
                <w:b w:val="0"/>
                <w:color w:val="24333A"/>
                <w:sz w:val="17"/>
              </w:rPr>
              <w:t>Current total asking-price regression</w:t>
            </w:r>
          </w:p>
        </w:tc>
        <w:tc>
          <w:tcPr>
            <w:tcW w:type="dxa" w:w="3331"/>
            <w:shd w:fill="F3F7F6"/>
            <w:vAlign w:val="center"/>
          </w:tcPr>
          <w:p>
            <w:pPr>
              <w:spacing w:after="0"/>
            </w:pPr>
            <w:r/>
            <w:r>
              <w:rPr>
                <w:rFonts w:ascii="Aptos" w:hAnsi="Aptos"/>
                <w:b w:val="0"/>
                <w:color w:val="24333A"/>
                <w:sz w:val="17"/>
              </w:rPr>
              <w:t>MAE</w:t>
            </w:r>
          </w:p>
        </w:tc>
        <w:tc>
          <w:tcPr>
            <w:tcW w:type="dxa" w:w="3331"/>
            <w:shd w:fill="F3F7F6"/>
            <w:vAlign w:val="center"/>
          </w:tcPr>
          <w:p>
            <w:pPr>
              <w:spacing w:after="0"/>
            </w:pPr>
            <w:r/>
            <w:r>
              <w:rPr>
                <w:rFonts w:ascii="Aptos" w:hAnsi="Aptos"/>
                <w:b w:val="0"/>
                <w:color w:val="24333A"/>
                <w:sz w:val="17"/>
              </w:rPr>
              <w:t>INR 1,382,987</w:t>
            </w:r>
          </w:p>
        </w:tc>
      </w:tr>
      <w:tr>
        <w:tc>
          <w:tcPr>
            <w:tcW w:type="dxa" w:w="3331"/>
            <w:shd w:fill="FFFFFF"/>
            <w:vAlign w:val="center"/>
          </w:tcPr>
          <w:p>
            <w:pPr>
              <w:spacing w:after="0"/>
            </w:pPr>
            <w:r/>
            <w:r>
              <w:rPr>
                <w:rFonts w:ascii="Aptos" w:hAnsi="Aptos"/>
                <w:b w:val="0"/>
                <w:color w:val="24333A"/>
                <w:sz w:val="17"/>
              </w:rPr>
              <w:t>Current total asking-price regression</w:t>
            </w:r>
          </w:p>
        </w:tc>
        <w:tc>
          <w:tcPr>
            <w:tcW w:type="dxa" w:w="3331"/>
            <w:shd w:fill="FFFFFF"/>
            <w:vAlign w:val="center"/>
          </w:tcPr>
          <w:p>
            <w:pPr>
              <w:spacing w:after="0"/>
            </w:pPr>
            <w:r/>
            <w:r>
              <w:rPr>
                <w:rFonts w:ascii="Aptos" w:hAnsi="Aptos"/>
                <w:b w:val="0"/>
                <w:color w:val="24333A"/>
                <w:sz w:val="17"/>
              </w:rPr>
              <w:t>RMSE</w:t>
            </w:r>
          </w:p>
        </w:tc>
        <w:tc>
          <w:tcPr>
            <w:tcW w:type="dxa" w:w="3331"/>
            <w:shd w:fill="FFFFFF"/>
            <w:vAlign w:val="center"/>
          </w:tcPr>
          <w:p>
            <w:pPr>
              <w:spacing w:after="0"/>
            </w:pPr>
            <w:r/>
            <w:r>
              <w:rPr>
                <w:rFonts w:ascii="Aptos" w:hAnsi="Aptos"/>
                <w:b w:val="0"/>
                <w:color w:val="24333A"/>
                <w:sz w:val="17"/>
              </w:rPr>
              <w:t>INR 7,257,663</w:t>
            </w:r>
          </w:p>
        </w:tc>
      </w:tr>
      <w:tr>
        <w:tc>
          <w:tcPr>
            <w:tcW w:type="dxa" w:w="3331"/>
            <w:shd w:fill="F3F7F6"/>
            <w:vAlign w:val="center"/>
          </w:tcPr>
          <w:p>
            <w:pPr>
              <w:spacing w:after="0"/>
            </w:pPr>
            <w:r/>
            <w:r>
              <w:rPr>
                <w:rFonts w:ascii="Aptos" w:hAnsi="Aptos"/>
                <w:b w:val="0"/>
                <w:color w:val="24333A"/>
                <w:sz w:val="17"/>
              </w:rPr>
              <w:t>Current total asking-price regression</w:t>
            </w:r>
          </w:p>
        </w:tc>
        <w:tc>
          <w:tcPr>
            <w:tcW w:type="dxa" w:w="3331"/>
            <w:shd w:fill="F3F7F6"/>
            <w:vAlign w:val="center"/>
          </w:tcPr>
          <w:p>
            <w:pPr>
              <w:spacing w:after="0"/>
            </w:pPr>
            <w:r/>
            <w:r>
              <w:rPr>
                <w:rFonts w:ascii="Aptos" w:hAnsi="Aptos"/>
                <w:b w:val="0"/>
                <w:color w:val="24333A"/>
                <w:sz w:val="17"/>
              </w:rPr>
              <w:t>R-squared</w:t>
            </w:r>
          </w:p>
        </w:tc>
        <w:tc>
          <w:tcPr>
            <w:tcW w:type="dxa" w:w="3331"/>
            <w:shd w:fill="F3F7F6"/>
            <w:vAlign w:val="center"/>
          </w:tcPr>
          <w:p>
            <w:pPr>
              <w:spacing w:after="0"/>
            </w:pPr>
            <w:r/>
            <w:r>
              <w:rPr>
                <w:rFonts w:ascii="Aptos" w:hAnsi="Aptos"/>
                <w:b w:val="0"/>
                <w:color w:val="24333A"/>
                <w:sz w:val="17"/>
              </w:rPr>
              <w:t>0.7321</w:t>
            </w:r>
          </w:p>
        </w:tc>
      </w:tr>
      <w:tr>
        <w:tc>
          <w:tcPr>
            <w:tcW w:type="dxa" w:w="3331"/>
            <w:shd w:fill="FFFFFF"/>
            <w:vAlign w:val="center"/>
          </w:tcPr>
          <w:p>
            <w:pPr>
              <w:spacing w:after="0"/>
            </w:pPr>
            <w:r/>
            <w:r>
              <w:rPr>
                <w:rFonts w:ascii="Aptos" w:hAnsi="Aptos"/>
                <w:b w:val="0"/>
                <w:color w:val="24333A"/>
                <w:sz w:val="17"/>
              </w:rPr>
              <w:t>Below-local-median proxy classifier</w:t>
            </w:r>
          </w:p>
        </w:tc>
        <w:tc>
          <w:tcPr>
            <w:tcW w:type="dxa" w:w="3331"/>
            <w:shd w:fill="FFFFFF"/>
            <w:vAlign w:val="center"/>
          </w:tcPr>
          <w:p>
            <w:pPr>
              <w:spacing w:after="0"/>
            </w:pPr>
            <w:r/>
            <w:r>
              <w:rPr>
                <w:rFonts w:ascii="Aptos" w:hAnsi="Aptos"/>
                <w:b w:val="0"/>
                <w:color w:val="24333A"/>
                <w:sz w:val="17"/>
              </w:rPr>
              <w:t>Accuracy</w:t>
            </w:r>
          </w:p>
        </w:tc>
        <w:tc>
          <w:tcPr>
            <w:tcW w:type="dxa" w:w="3331"/>
            <w:shd w:fill="FFFFFF"/>
            <w:vAlign w:val="center"/>
          </w:tcPr>
          <w:p>
            <w:pPr>
              <w:spacing w:after="0"/>
            </w:pPr>
            <w:r/>
            <w:r>
              <w:rPr>
                <w:rFonts w:ascii="Aptos" w:hAnsi="Aptos"/>
                <w:b w:val="0"/>
                <w:color w:val="24333A"/>
                <w:sz w:val="17"/>
              </w:rPr>
              <w:t>0.8520</w:t>
            </w:r>
          </w:p>
        </w:tc>
      </w:tr>
      <w:tr>
        <w:tc>
          <w:tcPr>
            <w:tcW w:type="dxa" w:w="3331"/>
            <w:shd w:fill="F3F7F6"/>
            <w:vAlign w:val="center"/>
          </w:tcPr>
          <w:p>
            <w:pPr>
              <w:spacing w:after="0"/>
            </w:pPr>
            <w:r/>
            <w:r>
              <w:rPr>
                <w:rFonts w:ascii="Aptos" w:hAnsi="Aptos"/>
                <w:b w:val="0"/>
                <w:color w:val="24333A"/>
                <w:sz w:val="17"/>
              </w:rPr>
              <w:t>Below-local-median proxy classifier</w:t>
            </w:r>
          </w:p>
        </w:tc>
        <w:tc>
          <w:tcPr>
            <w:tcW w:type="dxa" w:w="3331"/>
            <w:shd w:fill="F3F7F6"/>
            <w:vAlign w:val="center"/>
          </w:tcPr>
          <w:p>
            <w:pPr>
              <w:spacing w:after="0"/>
            </w:pPr>
            <w:r/>
            <w:r>
              <w:rPr>
                <w:rFonts w:ascii="Aptos" w:hAnsi="Aptos"/>
                <w:b w:val="0"/>
                <w:color w:val="24333A"/>
                <w:sz w:val="17"/>
              </w:rPr>
              <w:t>Precision / Recall</w:t>
            </w:r>
          </w:p>
        </w:tc>
        <w:tc>
          <w:tcPr>
            <w:tcW w:type="dxa" w:w="3331"/>
            <w:shd w:fill="F3F7F6"/>
            <w:vAlign w:val="center"/>
          </w:tcPr>
          <w:p>
            <w:pPr>
              <w:spacing w:after="0"/>
            </w:pPr>
            <w:r/>
            <w:r>
              <w:rPr>
                <w:rFonts w:ascii="Aptos" w:hAnsi="Aptos"/>
                <w:b w:val="0"/>
                <w:color w:val="24333A"/>
                <w:sz w:val="17"/>
              </w:rPr>
              <w:t>0.8228 / 0.8978</w:t>
            </w:r>
          </w:p>
        </w:tc>
      </w:tr>
      <w:tr>
        <w:tc>
          <w:tcPr>
            <w:tcW w:type="dxa" w:w="3331"/>
            <w:shd w:fill="FFFFFF"/>
            <w:vAlign w:val="center"/>
          </w:tcPr>
          <w:p>
            <w:pPr>
              <w:spacing w:after="0"/>
            </w:pPr>
            <w:r/>
            <w:r>
              <w:rPr>
                <w:rFonts w:ascii="Aptos" w:hAnsi="Aptos"/>
                <w:b w:val="0"/>
                <w:color w:val="24333A"/>
                <w:sz w:val="17"/>
              </w:rPr>
              <w:t>Below-local-median proxy classifier</w:t>
            </w:r>
          </w:p>
        </w:tc>
        <w:tc>
          <w:tcPr>
            <w:tcW w:type="dxa" w:w="3331"/>
            <w:shd w:fill="FFFFFF"/>
            <w:vAlign w:val="center"/>
          </w:tcPr>
          <w:p>
            <w:pPr>
              <w:spacing w:after="0"/>
            </w:pPr>
            <w:r/>
            <w:r>
              <w:rPr>
                <w:rFonts w:ascii="Aptos" w:hAnsi="Aptos"/>
                <w:b w:val="0"/>
                <w:color w:val="24333A"/>
                <w:sz w:val="17"/>
              </w:rPr>
              <w:t>F1 / ROC AUC</w:t>
            </w:r>
          </w:p>
        </w:tc>
        <w:tc>
          <w:tcPr>
            <w:tcW w:type="dxa" w:w="3331"/>
            <w:shd w:fill="FFFFFF"/>
            <w:vAlign w:val="center"/>
          </w:tcPr>
          <w:p>
            <w:pPr>
              <w:spacing w:after="0"/>
            </w:pPr>
            <w:r/>
            <w:r>
              <w:rPr>
                <w:rFonts w:ascii="Aptos" w:hAnsi="Aptos"/>
                <w:b w:val="0"/>
                <w:color w:val="24333A"/>
                <w:sz w:val="17"/>
              </w:rPr>
              <w:t>0.8587 / 0.9439</w:t>
            </w:r>
          </w:p>
        </w:tc>
      </w:tr>
    </w:tbl>
    <w:p>
      <w:pPr>
        <w:spacing w:after="20"/>
      </w:pPr>
    </w:p>
    <w:p>
      <w:r>
        <w:t>The random split provides a reproducible baseline, but does not test performance on a later time period or unseen geographies. In particular, the classifier scores describe separation of the constructed target and should not be interpreted as expected investment success.</w:t>
      </w:r>
    </w:p>
    <w:p>
      <w:pPr>
        <w:pStyle w:val="Heading1"/>
      </w:pPr>
      <w:r>
        <w:t>5. Business use and decision improvement</w:t>
      </w:r>
    </w:p>
    <w:p>
      <w:r>
        <w:t>The app can help teams standardize a first review. It can reduce manual per-area arithmetic, compare an asking rate with a location reference, and make scenario assumptions explicit. Any gain in speed, consistency, or lead quality remains a hypothesis until compared with a real operational baseline.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323B"/>
            <w:vAlign w:val="center"/>
          </w:tcPr>
          <w:p>
            <w:pPr>
              <w:spacing w:after="0"/>
            </w:pPr>
            <w:r/>
            <w:r>
              <w:rPr>
                <w:rFonts w:ascii="Aptos" w:hAnsi="Aptos"/>
                <w:b/>
                <w:color w:val="FFFFFF"/>
                <w:sz w:val="17"/>
              </w:rPr>
              <w:t>TEAM / WORKFLOW</w:t>
            </w:r>
          </w:p>
        </w:tc>
        <w:tc>
          <w:tcPr>
            <w:tcW w:type="dxa" w:w="3331"/>
            <w:shd w:fill="16323B"/>
            <w:vAlign w:val="center"/>
          </w:tcPr>
          <w:p>
            <w:pPr>
              <w:spacing w:after="0"/>
            </w:pPr>
            <w:r/>
            <w:r>
              <w:rPr>
                <w:rFonts w:ascii="Aptos" w:hAnsi="Aptos"/>
                <w:b/>
                <w:color w:val="FFFFFF"/>
                <w:sz w:val="17"/>
              </w:rPr>
              <w:t>APP SIGNAL</w:t>
            </w:r>
          </w:p>
        </w:tc>
        <w:tc>
          <w:tcPr>
            <w:tcW w:type="dxa" w:w="3331"/>
            <w:shd w:fill="16323B"/>
            <w:vAlign w:val="center"/>
          </w:tcPr>
          <w:p>
            <w:pPr>
              <w:spacing w:after="0"/>
            </w:pPr>
            <w:r/>
            <w:r>
              <w:rPr>
                <w:rFonts w:ascii="Aptos" w:hAnsi="Aptos"/>
                <w:b/>
                <w:color w:val="FFFFFF"/>
                <w:sz w:val="17"/>
              </w:rPr>
              <w:t>HUMAN FOLLOW-UP</w:t>
            </w:r>
          </w:p>
        </w:tc>
      </w:tr>
      <w:tr>
        <w:tc>
          <w:tcPr>
            <w:tcW w:type="dxa" w:w="3331"/>
            <w:shd w:fill="F3F7F6"/>
            <w:vAlign w:val="center"/>
          </w:tcPr>
          <w:p>
            <w:pPr>
              <w:spacing w:after="0"/>
            </w:pPr>
            <w:r/>
            <w:r>
              <w:rPr>
                <w:rFonts w:ascii="Aptos" w:hAnsi="Aptos"/>
                <w:b w:val="0"/>
                <w:color w:val="24333A"/>
                <w:sz w:val="17"/>
              </w:rPr>
              <w:t>Buyer advisors</w:t>
            </w:r>
          </w:p>
        </w:tc>
        <w:tc>
          <w:tcPr>
            <w:tcW w:type="dxa" w:w="3331"/>
            <w:shd w:fill="F3F7F6"/>
            <w:vAlign w:val="center"/>
          </w:tcPr>
          <w:p>
            <w:pPr>
              <w:spacing w:after="0"/>
            </w:pPr>
            <w:r/>
            <w:r>
              <w:rPr>
                <w:rFonts w:ascii="Aptos" w:hAnsi="Aptos"/>
                <w:b w:val="0"/>
                <w:color w:val="24333A"/>
                <w:sz w:val="17"/>
              </w:rPr>
              <w:t>Current-price estimate and location rate comparison</w:t>
            </w:r>
          </w:p>
        </w:tc>
        <w:tc>
          <w:tcPr>
            <w:tcW w:type="dxa" w:w="3331"/>
            <w:shd w:fill="F3F7F6"/>
            <w:vAlign w:val="center"/>
          </w:tcPr>
          <w:p>
            <w:pPr>
              <w:spacing w:after="0"/>
            </w:pPr>
            <w:r/>
            <w:r>
              <w:rPr>
                <w:rFonts w:ascii="Aptos" w:hAnsi="Aptos"/>
                <w:b w:val="0"/>
                <w:color w:val="24333A"/>
                <w:sz w:val="17"/>
              </w:rPr>
              <w:t>Check recent closed-sale comparables, condition, and exact location.</w:t>
            </w:r>
          </w:p>
        </w:tc>
      </w:tr>
      <w:tr>
        <w:tc>
          <w:tcPr>
            <w:tcW w:type="dxa" w:w="3331"/>
            <w:shd w:fill="FFFFFF"/>
            <w:vAlign w:val="center"/>
          </w:tcPr>
          <w:p>
            <w:pPr>
              <w:spacing w:after="0"/>
            </w:pPr>
            <w:r/>
            <w:r>
              <w:rPr>
                <w:rFonts w:ascii="Aptos" w:hAnsi="Aptos"/>
                <w:b w:val="0"/>
                <w:color w:val="24333A"/>
                <w:sz w:val="17"/>
              </w:rPr>
              <w:t>Marketplace operations</w:t>
            </w:r>
          </w:p>
        </w:tc>
        <w:tc>
          <w:tcPr>
            <w:tcW w:type="dxa" w:w="3331"/>
            <w:shd w:fill="FFFFFF"/>
            <w:vAlign w:val="center"/>
          </w:tcPr>
          <w:p>
            <w:pPr>
              <w:spacing w:after="0"/>
            </w:pPr>
            <w:r/>
            <w:r>
              <w:rPr>
                <w:rFonts w:ascii="Aptos" w:hAnsi="Aptos"/>
                <w:b w:val="0"/>
                <w:color w:val="24333A"/>
                <w:sz w:val="17"/>
              </w:rPr>
              <w:t>Outlier asking-rate screen</w:t>
            </w:r>
          </w:p>
        </w:tc>
        <w:tc>
          <w:tcPr>
            <w:tcW w:type="dxa" w:w="3331"/>
            <w:shd w:fill="FFFFFF"/>
            <w:vAlign w:val="center"/>
          </w:tcPr>
          <w:p>
            <w:pPr>
              <w:spacing w:after="0"/>
            </w:pPr>
            <w:r/>
            <w:r>
              <w:rPr>
                <w:rFonts w:ascii="Aptos" w:hAnsi="Aptos"/>
                <w:b w:val="0"/>
                <w:color w:val="24333A"/>
                <w:sz w:val="17"/>
              </w:rPr>
              <w:t>Review the listing, seller context, freshness, and comparable properties.</w:t>
            </w:r>
          </w:p>
        </w:tc>
      </w:tr>
      <w:tr>
        <w:tc>
          <w:tcPr>
            <w:tcW w:type="dxa" w:w="3331"/>
            <w:shd w:fill="F3F7F6"/>
            <w:vAlign w:val="center"/>
          </w:tcPr>
          <w:p>
            <w:pPr>
              <w:spacing w:after="0"/>
            </w:pPr>
            <w:r/>
            <w:r>
              <w:rPr>
                <w:rFonts w:ascii="Aptos" w:hAnsi="Aptos"/>
                <w:b w:val="0"/>
                <w:color w:val="24333A"/>
                <w:sz w:val="17"/>
              </w:rPr>
              <w:t>Brokerage sourcing</w:t>
            </w:r>
          </w:p>
        </w:tc>
        <w:tc>
          <w:tcPr>
            <w:tcW w:type="dxa" w:w="3331"/>
            <w:shd w:fill="F3F7F6"/>
            <w:vAlign w:val="center"/>
          </w:tcPr>
          <w:p>
            <w:pPr>
              <w:spacing w:after="0"/>
            </w:pPr>
            <w:r/>
            <w:r>
              <w:rPr>
                <w:rFonts w:ascii="Aptos" w:hAnsi="Aptos"/>
                <w:b w:val="0"/>
                <w:color w:val="24333A"/>
                <w:sz w:val="17"/>
              </w:rPr>
              <w:t>Below-median proxy and benchmark</w:t>
            </w:r>
          </w:p>
        </w:tc>
        <w:tc>
          <w:tcPr>
            <w:tcW w:type="dxa" w:w="3331"/>
            <w:shd w:fill="F3F7F6"/>
            <w:vAlign w:val="center"/>
          </w:tcPr>
          <w:p>
            <w:pPr>
              <w:spacing w:after="0"/>
            </w:pPr>
            <w:r/>
            <w:r>
              <w:rPr>
                <w:rFonts w:ascii="Aptos" w:hAnsi="Aptos"/>
                <w:b w:val="0"/>
                <w:color w:val="24333A"/>
                <w:sz w:val="17"/>
              </w:rPr>
              <w:t>Run title, rental-yield, cost, liquidity, and legal due diligence.</w:t>
            </w:r>
          </w:p>
        </w:tc>
      </w:tr>
      <w:tr>
        <w:tc>
          <w:tcPr>
            <w:tcW w:type="dxa" w:w="3331"/>
            <w:shd w:fill="FFFFFF"/>
            <w:vAlign w:val="center"/>
          </w:tcPr>
          <w:p>
            <w:pPr>
              <w:spacing w:after="0"/>
            </w:pPr>
            <w:r/>
            <w:r>
              <w:rPr>
                <w:rFonts w:ascii="Aptos" w:hAnsi="Aptos"/>
                <w:b w:val="0"/>
                <w:color w:val="24333A"/>
                <w:sz w:val="17"/>
              </w:rPr>
              <w:t>Regional research</w:t>
            </w:r>
          </w:p>
        </w:tc>
        <w:tc>
          <w:tcPr>
            <w:tcW w:type="dxa" w:w="3331"/>
            <w:shd w:fill="FFFFFF"/>
            <w:vAlign w:val="center"/>
          </w:tcPr>
          <w:p>
            <w:pPr>
              <w:spacing w:after="0"/>
            </w:pPr>
            <w:r/>
            <w:r>
              <w:rPr>
                <w:rFonts w:ascii="Aptos" w:hAnsi="Aptos"/>
                <w:b w:val="0"/>
                <w:color w:val="24333A"/>
                <w:sz w:val="17"/>
              </w:rPr>
              <w:t>Listing counts and asking-price summaries</w:t>
            </w:r>
          </w:p>
        </w:tc>
        <w:tc>
          <w:tcPr>
            <w:tcW w:type="dxa" w:w="3331"/>
            <w:shd w:fill="FFFFFF"/>
            <w:vAlign w:val="center"/>
          </w:tcPr>
          <w:p>
            <w:pPr>
              <w:spacing w:after="0"/>
            </w:pPr>
            <w:r/>
            <w:r>
              <w:rPr>
                <w:rFonts w:ascii="Aptos" w:hAnsi="Aptos"/>
                <w:b w:val="0"/>
                <w:color w:val="24333A"/>
                <w:sz w:val="17"/>
              </w:rPr>
              <w:t>Use transaction and inventory time series before allocating resources.</w:t>
            </w:r>
          </w:p>
        </w:tc>
      </w:tr>
    </w:tbl>
    <w:p>
      <w:pPr>
        <w:spacing w:after="20"/>
      </w:pPr>
    </w:p>
    <w:p>
      <w:r>
        <w:t>Candidate impact measures include review time per listing, reviewer agreement, verified-comparable follow-up rate, estimate error against recent closed sales, and benchmark coverage by location. These measures should be evaluated against the team's existing process.</w:t>
      </w:r>
    </w:p>
    <w:p>
      <w:pPr>
        <w:pStyle w:val="Heading1"/>
      </w:pPr>
      <w:r>
        <w:t>6. GitHub and Streamlit delivery</w:t>
      </w:r>
    </w:p>
    <w:p>
      <w:r>
        <w:t>The project repository contains app.py at its root, a runtime requirements.txt, the trained estimators and supporting model metadata in models/, and the dataset tracked with Git LFS. The notebook is published under notebooks/real_estate_investment_advisor.ipynb. requirements-dev.txt adds JupyterLab and MLflow for local reproduction; these tools are not required by the deployed app. The README contains the Community Cloud deployment coordinates and run instructions.</w:t>
      </w:r>
    </w:p>
    <w:p>
      <w:r>
        <w:t>A cloud deployment uses the GitHub repository, main branch, and app.py entrypoint. The Streamlit Community Cloud deployment environment should use Python 3.14 to match the model artifact runtime and pinned scikit-learn version. The source repository remains the update path for the deployed app.</w:t>
      </w:r>
    </w:p>
    <w:p>
      <w:pPr>
        <w:pStyle w:val="Heading1"/>
      </w:pPr>
      <w:r>
        <w:t>7. Limitations and next steps</w:t>
      </w:r>
    </w:p>
    <w:p>
      <w:pPr>
        <w:pStyle w:val="ListBullet"/>
        <w:spacing w:after="60"/>
      </w:pPr>
      <w:r>
        <w:t>The source contains asking listings, not independently verified completed sale prices; listing values can be stale, duplicated, or inaccurate.</w:t>
      </w:r>
    </w:p>
    <w:p>
      <w:pPr>
        <w:pStyle w:val="ListBullet"/>
        <w:spacing w:after="60"/>
      </w:pPr>
      <w:r>
        <w:t>There is no future-price or realized-return target, rental yield, financing cost, renovation cost, or property-level liquidity outcome.</w:t>
      </w:r>
    </w:p>
    <w:p>
      <w:pPr>
        <w:pStyle w:val="ListBullet"/>
        <w:spacing w:after="60"/>
      </w:pPr>
      <w:r>
        <w:t>About 43% of rows lack carpet area, limiting the usable subset for per-area comparisons and the proxy label.</w:t>
      </w:r>
    </w:p>
    <w:p>
      <w:pPr>
        <w:pStyle w:val="ListBullet"/>
        <w:spacing w:after="60"/>
      </w:pPr>
      <w:r>
        <w:t>Several fields named in the supplied project briefs, including schools, hospitals, transport, RERA, crime rates, and state-level data, are absent from the selected CSV.</w:t>
      </w:r>
    </w:p>
    <w:p>
      <w:pPr>
        <w:pStyle w:val="ListBullet"/>
        <w:spacing w:after="60"/>
      </w:pPr>
      <w:r>
        <w:t>Random splitting does not measure temporal generalization. Market shifts, location coverage, and listing practices may change model error.</w:t>
      </w:r>
    </w:p>
    <w:p>
      <w:pPr>
        <w:pStyle w:val="ListBullet"/>
        <w:spacing w:after="60"/>
      </w:pPr>
      <w:r>
        <w:t>The app is for coursework and demonstration. It should not be used as an automated purchase, lending, appraisal, or investment decision system.</w:t>
      </w:r>
    </w:p>
    <w:p>
      <w:r>
        <w:t>For a business pilot, add dated closed-sale records, stable property IDs, verified geocodes, rental and ownership costs, and structured human-review outcomes. Validate error by region and property type over later time periods, document overrides, and monitor freshness and duplicate rates.</w:t>
      </w:r>
    </w:p>
    <w:p>
      <w:pPr>
        <w:pStyle w:val="Heading1"/>
      </w:pPr>
      <w:r>
        <w:t>References and project artifacts</w:t>
      </w:r>
    </w:p>
    <w:p>
      <w:pPr>
        <w:pStyle w:val="ListBullet"/>
        <w:spacing w:after="60"/>
      </w:pPr>
      <w:r>
        <w:t>Dataset: https://huggingface.co/datasets/bryium/house_prediction (retrieved 27 October 2026; dataset card identifies an MIT license).</w:t>
      </w:r>
    </w:p>
    <w:p>
      <w:pPr>
        <w:pStyle w:val="ListBullet"/>
        <w:spacing w:after="60"/>
      </w:pPr>
      <w:r>
        <w:t>Project notebook: notebooks/real_estate_investment_advisor.ipynb.</w:t>
      </w:r>
    </w:p>
    <w:p>
      <w:pPr>
        <w:pStyle w:val="ListBullet"/>
        <w:spacing w:after="60"/>
      </w:pPr>
      <w:r>
        <w:t>Model details: docs/MODEL_CARD.md; business workflows: docs/BUSINESS_USE_CASES.md; data provenance: DATA_SOURCES.md.</w:t>
      </w:r>
    </w:p>
    <w:p>
      <w:pPr>
        <w:pStyle w:val="ListBullet"/>
        <w:spacing w:after="60"/>
      </w:pPr>
      <w:r>
        <w:t>Deployment platform documentation: https://docs.streamlit.io/deploy/streamlit-community-cloud/deploy-your-app/deploy.</w:t>
      </w:r>
    </w:p>
    <w:sectPr w:rsidR="00FC693F" w:rsidRPr="0006063C" w:rsidSect="00034616">
      <w:footerReference w:type="default" r:id="rId9"/>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5757B"/>
        <w:sz w:val="16"/>
      </w:rPr>
      <w:t xml:space="preserve">REAL ESTATE INVESTMENT ADVISOR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3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3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63"/>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6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Investment Advisor - Project Report</dc:title>
  <dc:subject>Indian residential property listings, machine learning, and Streamlit decision support</dc:subject>
  <dc:creator>Project Report</dc:creator>
  <cp:keywords>real estate, India, machine learning, Streamlit, decision support</cp:keywords>
  <dc:description>generated by python-docx</dc:description>
  <cp:lastModifiedBy/>
  <cp:revision>1</cp:revision>
  <dcterms:created xsi:type="dcterms:W3CDTF">2013-12-23T23:15:00Z</dcterms:created>
  <dcterms:modified xsi:type="dcterms:W3CDTF">2013-12-23T23:15:00Z</dcterms:modified>
  <cp:category/>
</cp:coreProperties>
</file>