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pPr>
      <w:r>
        <w:rPr>
          <w:rFonts w:ascii="Georgia" w:cs="Georgia" w:eastAsia="Georgia" w:hAnsi="Georgia"/>
          <w:b/>
          <w:bCs/>
          <w:color w:val="C6A15B"/>
          <w:spacing w:val="120"/>
          <w:sz w:val="30"/>
          <w:szCs w:val="30"/>
        </w:rPr>
        <w:t xml:space="preserve">UEMS</w:t>
      </w:r>
    </w:p>
    <w:p>
      <w:pPr>
        <w:spacing w:after="0"/>
      </w:pPr>
      <w:r>
        <w:rPr>
          <w:rFonts w:ascii="Georgia" w:cs="Georgia" w:eastAsia="Georgia" w:hAnsi="Georgia"/>
          <w:color w:val="073D32"/>
          <w:sz w:val="72"/>
          <w:szCs w:val="72"/>
        </w:rPr>
        <w:t xml:space="preserve">Website Content</w:t>
      </w:r>
    </w:p>
    <w:p>
      <w:pPr>
        <w:pBdr>
          <w:bottom w:val="single" w:color="C6A15B" w:sz="18" w:space="16"/>
        </w:pBdr>
        <w:spacing w:after="360"/>
      </w:pPr>
      <w:r>
        <w:rPr>
          <w:rFonts w:ascii="Georgia" w:cs="Georgia" w:eastAsia="Georgia" w:hAnsi="Georgia"/>
          <w:i/>
          <w:iCs/>
          <w:color w:val="0B7A5A"/>
          <w:sz w:val="72"/>
          <w:szCs w:val="72"/>
        </w:rPr>
        <w:t xml:space="preserve">Document</w:t>
      </w:r>
    </w:p>
    <w:p>
      <w:pPr>
        <w:spacing w:after="80"/>
      </w:pPr>
      <w:r>
        <w:rPr>
          <w:b/>
          <w:bCs/>
          <w:color w:val="17201D"/>
          <w:sz w:val="26"/>
          <w:szCs w:val="26"/>
        </w:rPr>
        <w:t xml:space="preserve">Universal Equity Management Solutions</w:t>
      </w:r>
    </w:p>
    <w:p>
      <w:pPr>
        <w:spacing w:after="1600"/>
      </w:pPr>
      <w:r>
        <w:rPr>
          <w:color w:val="5E6663"/>
          <w:sz w:val="22"/>
          <w:szCs w:val="22"/>
        </w:rPr>
        <w:t xml:space="preserve">Every word that appears on the website, page by page and section by section, in the order a visitor sees it.</w:t>
      </w:r>
    </w:p>
    <w:p>
      <w:pPr>
        <w:spacing w:after="60"/>
      </w:pPr>
      <w:r>
        <w:rPr>
          <w:b/>
          <w:bCs/>
          <w:color w:val="073D32"/>
          <w:sz w:val="20"/>
          <w:szCs w:val="20"/>
        </w:rPr>
        <w:t xml:space="preserve">Pages covered</w:t>
      </w:r>
    </w:p>
    <w:p>
      <w:pPr>
        <w:spacing w:after="240"/>
      </w:pPr>
      <w:r>
        <w:rPr>
          <w:color w:val="17201D"/>
          <w:sz w:val="20"/>
          <w:szCs w:val="20"/>
        </w:rPr>
        <w:t xml:space="preserve">Home  ·  About  ·  Contact  ·  Site-wide details (menu, footer, contact info)</w:t>
      </w:r>
    </w:p>
    <w:p>
      <w:pPr>
        <w:spacing w:after="60"/>
      </w:pPr>
      <w:r>
        <w:rPr>
          <w:b/>
          <w:bCs/>
          <w:color w:val="073D32"/>
          <w:sz w:val="20"/>
          <w:szCs w:val="20"/>
        </w:rPr>
        <w:t xml:space="preserve">Offices</w:t>
      </w:r>
    </w:p>
    <w:p>
      <w:pPr>
        <w:spacing w:after="240"/>
      </w:pPr>
      <w:r>
        <w:rPr>
          <w:color w:val="17201D"/>
          <w:sz w:val="20"/>
          <w:szCs w:val="20"/>
        </w:rPr>
        <w:t xml:space="preserve">Hyderabad · Mumbai · Bangalore</w:t>
      </w:r>
    </w:p>
    <w:p>
      <w:pPr>
        <w:spacing w:after="60"/>
      </w:pPr>
      <w:r>
        <w:rPr>
          <w:b/>
          <w:bCs/>
          <w:color w:val="073D32"/>
          <w:sz w:val="20"/>
          <w:szCs w:val="20"/>
        </w:rPr>
        <w:t xml:space="preserve">Prepared</w:t>
      </w:r>
    </w:p>
    <w:p>
      <w:r>
        <w:rPr>
          <w:color w:val="17201D"/>
          <w:sz w:val="20"/>
          <w:szCs w:val="20"/>
        </w:rPr>
        <w:t xml:space="preserve">9 October 2026</w:t>
      </w:r>
    </w:p>
    <w:p>
      <w:r>
        <w:br w:type="page"/>
      </w:r>
    </w:p>
    <w:p>
      <w:pPr>
        <w:pStyle w:val="Heading1"/>
        <w:pBdr>
          <w:bottom w:val="single" w:color="C6A15B" w:sz="12" w:space="8"/>
        </w:pBdr>
      </w:pPr>
      <w:bookmarkStart w:name="_Toc1" w:id="1"/>
      <w:r>
        <w:t xml:space="preserve">How to read this document</w:t>
      </w:r>
      <w:bookmarkEnd w:id="1"/>
    </w:p>
    <w:p>
      <w:pPr>
        <w:spacing w:after="120"/>
      </w:pPr>
      <w:r>
        <w:t xml:space="preserve">This document lists all the text on the UEMS website. It follows the site in the same order a visitor scrolls through it, so you can read it top to bottom like the website itself.</w:t>
      </w:r>
    </w:p>
    <w:p>
      <w:pPr>
        <w:pStyle w:val="Heading3"/>
      </w:pPr>
      <w:r>
        <w:t xml:space="preserve">What each section shows</w:t>
      </w:r>
    </w:p>
    <w:p>
      <w:pPr>
        <w:pStyle w:val="ListParagraph"/>
        <w:numPr>
          <w:ilvl w:val="0"/>
          <w:numId w:val="2"/>
        </w:numPr>
        <w:spacing w:after="60"/>
      </w:pPr>
      <w:r>
        <w:t xml:space="preserve">A heading naming the part of the website, for example “Hero (top of the home page)”.</w:t>
      </w:r>
    </w:p>
    <w:p>
      <w:pPr>
        <w:pStyle w:val="ListParagraph"/>
        <w:numPr>
          <w:ilvl w:val="0"/>
          <w:numId w:val="2"/>
        </w:numPr>
        <w:spacing w:after="60"/>
      </w:pPr>
      <w:r>
        <w:t xml:space="preserve">A shaded “Where it appears” note describing where on the page that text is and what it looks like.</w:t>
      </w:r>
    </w:p>
    <w:p>
      <w:pPr>
        <w:pStyle w:val="ListParagraph"/>
        <w:numPr>
          <w:ilvl w:val="0"/>
          <w:numId w:val="2"/>
        </w:numPr>
        <w:spacing w:after="60"/>
      </w:pPr>
      <w:r>
        <w:t xml:space="preserve">A table with two columns: the item (e.g. “Headline”, “Button”) and the exact text shown on the website.</w:t>
      </w:r>
    </w:p>
    <w:p>
      <w:pPr>
        <w:pStyle w:val="Heading3"/>
      </w:pPr>
      <w:r>
        <w:t xml:space="preserve">Formatting conventions</w:t>
      </w:r>
    </w:p>
    <w:p>
      <w:pPr>
        <w:spacing w:after="120"/>
      </w:pPr>
      <w:r>
        <w:t xml:space="preserve">Words shown like </w:t>
      </w:r>
      <w:r>
        <w:rPr>
          <w:rFonts w:ascii="Georgia" w:cs="Georgia" w:eastAsia="Georgia" w:hAnsi="Georgia"/>
          <w:i/>
          <w:iCs/>
          <w:color w:val="0B7A5A"/>
        </w:rPr>
        <w:t xml:space="preserve">this</w:t>
      </w:r>
      <w:r>
        <w:t xml:space="preserve"> are displayed on the website in the italic accent style, used to highlight a key phrase in a headline.</w:t>
      </w:r>
    </w:p>
    <w:p>
      <w:pPr>
        <w:spacing w:after="120"/>
      </w:pPr>
      <w:r>
        <w:t xml:space="preserve">Large headlines are split across several lines on the website. Each line is listed as a separate bullet, in order.</w:t>
      </w:r>
    </w:p>
    <w:p>
      <w:pPr>
        <w:spacing w:after="120"/>
      </w:pPr>
      <w:r>
        <w:t xml:space="preserve">Small labels such as “Eyebrow” refer to the short upper-case line that sits above a headline.</w:t>
      </w:r>
    </w:p>
    <w:p>
      <w:pPr>
        <w:pStyle w:val="Heading3"/>
      </w:pPr>
      <w:r>
        <w:t xml:space="preserve">Requesting changes</w:t>
      </w:r>
    </w:p>
    <w:p>
      <w:pPr>
        <w:spacing w:after="120"/>
      </w:pPr>
      <w:r>
        <w:t xml:space="preserve">To change any text, mark it up in this document (for example with Track Changes or comments) and send it back. Each change will be applied to the matching place on the website.</w:t>
      </w:r>
    </w:p>
    <w:p>
      <w:pPr>
        <w:pStyle w:val="Heading3"/>
      </w:pPr>
      <w:r>
        <w:t xml:space="preserve">Contents</w:t>
      </w:r>
    </w:p>
    <w:sdt>
      <w:sdtPr>
        <w:alias w:val="Contents"/>
      </w:sdtPr>
      <w:sdtContent>
        <w:p>
          <w:pPr>
            <w:pStyle w:val="TOC1"/>
            <w:tabs>
              <w:tab w:val="right" w:pos="9306" w:leader="dot"/>
            </w:tabs>
          </w:pPr>
          <w:r>
            <w:fldChar w:fldCharType="begin" w:dirty="true"/>
            <w:instrText xml:space="preserve">TOC \h \o "1-2"</w:instrText>
            <w:fldChar w:fldCharType="separate"/>
          </w:r>
          <w:hyperlink w:history="1" w:anchor="_Toc1">
            <w:r>
              <w:t xml:space="preserve">How to read this document</w:t>
            </w:r>
            <w:r>
              <w:tab/>
            </w:r>
            <w:r>
              <w:fldChar w:fldCharType="begin" w:dirty="true"/>
              <w:instrText xml:space="preserve">PAGEREF _Toc1 \h</w:instrText>
              <w:fldChar w:fldCharType="separate"/>
              <w:fldChar w:fldCharType="end"/>
            </w:r>
          </w:hyperlink>
        </w:p>
        <w:p>
          <w:pPr>
            <w:pStyle w:val="TOC1"/>
            <w:tabs>
              <w:tab w:val="right" w:pos="9306" w:leader="dot"/>
            </w:tabs>
          </w:pPr>
          <w:hyperlink w:history="1" w:anchor="_Toc2">
            <w:r>
              <w:t xml:space="preserve">Site-wide details</w:t>
            </w:r>
            <w:r>
              <w:tab/>
            </w:r>
            <w:r>
              <w:fldChar w:fldCharType="begin" w:dirty="true"/>
              <w:instrText xml:space="preserve">PAGEREF _Toc2 \h</w:instrText>
              <w:fldChar w:fldCharType="separate"/>
              <w:fldChar w:fldCharType="end"/>
            </w:r>
          </w:hyperlink>
        </w:p>
        <w:p>
          <w:pPr>
            <w:pStyle w:val="TOC2"/>
            <w:tabs>
              <w:tab w:val="right" w:pos="9306" w:leader="dot"/>
            </w:tabs>
            <w:ind w:left="220"/>
          </w:pPr>
          <w:hyperlink w:history="1" w:anchor="_Toc3">
            <w:r>
              <w:t xml:space="preserve">Company &amp; contact details</w:t>
            </w:r>
            <w:r>
              <w:tab/>
            </w:r>
            <w:r>
              <w:fldChar w:fldCharType="begin" w:dirty="true"/>
              <w:instrText xml:space="preserve">PAGEREF _Toc3 \h</w:instrText>
              <w:fldChar w:fldCharType="separate"/>
              <w:fldChar w:fldCharType="end"/>
            </w:r>
          </w:hyperlink>
        </w:p>
        <w:p>
          <w:pPr>
            <w:pStyle w:val="TOC2"/>
            <w:tabs>
              <w:tab w:val="right" w:pos="9306" w:leader="dot"/>
            </w:tabs>
            <w:ind w:left="220"/>
          </w:pPr>
          <w:hyperlink w:history="1" w:anchor="_Toc4">
            <w:r>
              <w:t xml:space="preserve">Top menu</w:t>
            </w:r>
            <w:r>
              <w:tab/>
            </w:r>
            <w:r>
              <w:fldChar w:fldCharType="begin" w:dirty="true"/>
              <w:instrText xml:space="preserve">PAGEREF _Toc4 \h</w:instrText>
              <w:fldChar w:fldCharType="separate"/>
              <w:fldChar w:fldCharType="end"/>
            </w:r>
          </w:hyperlink>
        </w:p>
        <w:p>
          <w:pPr>
            <w:pStyle w:val="TOC2"/>
            <w:tabs>
              <w:tab w:val="right" w:pos="9306" w:leader="dot"/>
            </w:tabs>
            <w:ind w:left="220"/>
          </w:pPr>
          <w:hyperlink w:history="1" w:anchor="_Toc5">
            <w:r>
              <w:t xml:space="preserve">Footer</w:t>
            </w:r>
            <w:r>
              <w:tab/>
            </w:r>
            <w:r>
              <w:fldChar w:fldCharType="begin" w:dirty="true"/>
              <w:instrText xml:space="preserve">PAGEREF _Toc5 \h</w:instrText>
              <w:fldChar w:fldCharType="separate"/>
              <w:fldChar w:fldCharType="end"/>
            </w:r>
          </w:hyperlink>
        </w:p>
        <w:p>
          <w:pPr>
            <w:pStyle w:val="TOC1"/>
            <w:tabs>
              <w:tab w:val="right" w:pos="9306" w:leader="dot"/>
            </w:tabs>
          </w:pPr>
          <w:hyperlink w:history="1" w:anchor="_Toc6">
            <w:r>
              <w:t xml:space="preserve">Home page</w:t>
            </w:r>
            <w:r>
              <w:tab/>
            </w:r>
            <w:r>
              <w:fldChar w:fldCharType="begin" w:dirty="true"/>
              <w:instrText xml:space="preserve">PAGEREF _Toc6 \h</w:instrText>
              <w:fldChar w:fldCharType="separate"/>
              <w:fldChar w:fldCharType="end"/>
            </w:r>
          </w:hyperlink>
        </w:p>
        <w:p>
          <w:pPr>
            <w:pStyle w:val="TOC2"/>
            <w:tabs>
              <w:tab w:val="right" w:pos="9306" w:leader="dot"/>
            </w:tabs>
            <w:ind w:left="220"/>
          </w:pPr>
          <w:hyperlink w:history="1" w:anchor="_Toc7">
            <w:r>
              <w:t xml:space="preserve">1. Hero (top of the page)</w:t>
            </w:r>
            <w:r>
              <w:tab/>
            </w:r>
            <w:r>
              <w:fldChar w:fldCharType="begin" w:dirty="true"/>
              <w:instrText xml:space="preserve">PAGEREF _Toc7 \h</w:instrText>
              <w:fldChar w:fldCharType="separate"/>
              <w:fldChar w:fldCharType="end"/>
            </w:r>
          </w:hyperlink>
        </w:p>
        <w:p>
          <w:pPr>
            <w:pStyle w:val="TOC2"/>
            <w:tabs>
              <w:tab w:val="right" w:pos="9306" w:leader="dot"/>
            </w:tabs>
            <w:ind w:left="220"/>
          </w:pPr>
          <w:hyperlink w:history="1" w:anchor="_Toc8">
            <w:r>
              <w:t xml:space="preserve">2. What brings you to UEMS?</w:t>
            </w:r>
            <w:r>
              <w:tab/>
            </w:r>
            <w:r>
              <w:fldChar w:fldCharType="begin" w:dirty="true"/>
              <w:instrText xml:space="preserve">PAGEREF _Toc8 \h</w:instrText>
              <w:fldChar w:fldCharType="separate"/>
              <w:fldChar w:fldCharType="end"/>
            </w:r>
          </w:hyperlink>
        </w:p>
        <w:p>
          <w:pPr>
            <w:pStyle w:val="TOC2"/>
            <w:tabs>
              <w:tab w:val="right" w:pos="9306" w:leader="dot"/>
            </w:tabs>
            <w:ind w:left="220"/>
          </w:pPr>
          <w:hyperlink w:history="1" w:anchor="_Toc9">
            <w:r>
              <w:t xml:space="preserve">3. Services (Solutions)</w:t>
            </w:r>
            <w:r>
              <w:tab/>
            </w:r>
            <w:r>
              <w:fldChar w:fldCharType="begin" w:dirty="true"/>
              <w:instrText xml:space="preserve">PAGEREF _Toc9 \h</w:instrText>
              <w:fldChar w:fldCharType="separate"/>
              <w:fldChar w:fldCharType="end"/>
            </w:r>
          </w:hyperlink>
        </w:p>
        <w:p>
          <w:pPr>
            <w:pStyle w:val="TOC2"/>
            <w:tabs>
              <w:tab w:val="right" w:pos="9306" w:leader="dot"/>
            </w:tabs>
            <w:ind w:left="220"/>
          </w:pPr>
          <w:hyperlink w:history="1" w:anchor="_Toc10">
            <w:r>
              <w:t xml:space="preserve">4. How an engagement works</w:t>
            </w:r>
            <w:r>
              <w:tab/>
            </w:r>
            <w:r>
              <w:fldChar w:fldCharType="begin" w:dirty="true"/>
              <w:instrText xml:space="preserve">PAGEREF _Toc10 \h</w:instrText>
              <w:fldChar w:fldCharType="separate"/>
              <w:fldChar w:fldCharType="end"/>
            </w:r>
          </w:hyperlink>
        </w:p>
        <w:p>
          <w:pPr>
            <w:pStyle w:val="TOC2"/>
            <w:tabs>
              <w:tab w:val="right" w:pos="9306" w:leader="dot"/>
            </w:tabs>
            <w:ind w:left="220"/>
          </w:pPr>
          <w:hyperlink w:history="1" w:anchor="_Toc11">
            <w:r>
              <w:t xml:space="preserve">5. Industries</w:t>
            </w:r>
            <w:r>
              <w:tab/>
            </w:r>
            <w:r>
              <w:fldChar w:fldCharType="begin" w:dirty="true"/>
              <w:instrText xml:space="preserve">PAGEREF _Toc11 \h</w:instrText>
              <w:fldChar w:fldCharType="separate"/>
              <w:fldChar w:fldCharType="end"/>
            </w:r>
          </w:hyperlink>
        </w:p>
        <w:p>
          <w:pPr>
            <w:pStyle w:val="TOC2"/>
            <w:tabs>
              <w:tab w:val="right" w:pos="9306" w:leader="dot"/>
            </w:tabs>
            <w:ind w:left="220"/>
          </w:pPr>
          <w:hyperlink w:history="1" w:anchor="_Toc12">
            <w:r>
              <w:t xml:space="preserve">6. From chaos to clarity</w:t>
            </w:r>
            <w:r>
              <w:tab/>
            </w:r>
            <w:r>
              <w:fldChar w:fldCharType="begin" w:dirty="true"/>
              <w:instrText xml:space="preserve">PAGEREF _Toc12 \h</w:instrText>
              <w:fldChar w:fldCharType="separate"/>
              <w:fldChar w:fldCharType="end"/>
            </w:r>
          </w:hyperlink>
        </w:p>
        <w:p>
          <w:pPr>
            <w:pStyle w:val="TOC2"/>
            <w:tabs>
              <w:tab w:val="right" w:pos="9306" w:leader="dot"/>
            </w:tabs>
            <w:ind w:left="220"/>
          </w:pPr>
          <w:hyperlink w:history="1" w:anchor="_Toc13">
            <w:r>
              <w:t xml:space="preserve">7. Across the lifecycle</w:t>
            </w:r>
            <w:r>
              <w:tab/>
            </w:r>
            <w:r>
              <w:fldChar w:fldCharType="begin" w:dirty="true"/>
              <w:instrText xml:space="preserve">PAGEREF _Toc13 \h</w:instrText>
              <w:fldChar w:fldCharType="separate"/>
              <w:fldChar w:fldCharType="end"/>
            </w:r>
          </w:hyperlink>
        </w:p>
        <w:p>
          <w:pPr>
            <w:pStyle w:val="TOC2"/>
            <w:tabs>
              <w:tab w:val="right" w:pos="9306" w:leader="dot"/>
            </w:tabs>
            <w:ind w:left="220"/>
          </w:pPr>
          <w:hyperlink w:history="1" w:anchor="_Toc14">
            <w:r>
              <w:t xml:space="preserve">8. Why organisations choose us</w:t>
            </w:r>
            <w:r>
              <w:tab/>
            </w:r>
            <w:r>
              <w:fldChar w:fldCharType="begin" w:dirty="true"/>
              <w:instrText xml:space="preserve">PAGEREF _Toc14 \h</w:instrText>
              <w:fldChar w:fldCharType="separate"/>
              <w:fldChar w:fldCharType="end"/>
            </w:r>
          </w:hyperlink>
        </w:p>
        <w:p>
          <w:pPr>
            <w:pStyle w:val="TOC2"/>
            <w:tabs>
              <w:tab w:val="right" w:pos="9306" w:leader="dot"/>
            </w:tabs>
            <w:ind w:left="220"/>
          </w:pPr>
          <w:hyperlink w:history="1" w:anchor="_Toc15">
            <w:r>
              <w:t xml:space="preserve">9. Frequently asked questions</w:t>
            </w:r>
            <w:r>
              <w:tab/>
            </w:r>
            <w:r>
              <w:fldChar w:fldCharType="begin" w:dirty="true"/>
              <w:instrText xml:space="preserve">PAGEREF _Toc15 \h</w:instrText>
              <w:fldChar w:fldCharType="separate"/>
              <w:fldChar w:fldCharType="end"/>
            </w:r>
          </w:hyperlink>
        </w:p>
        <w:p>
          <w:pPr>
            <w:pStyle w:val="TOC2"/>
            <w:tabs>
              <w:tab w:val="right" w:pos="9306" w:leader="dot"/>
            </w:tabs>
            <w:ind w:left="220"/>
          </w:pPr>
          <w:hyperlink w:history="1" w:anchor="_Toc16">
            <w:r>
              <w:t xml:space="preserve">10. Closing call to action</w:t>
            </w:r>
            <w:r>
              <w:tab/>
            </w:r>
            <w:r>
              <w:fldChar w:fldCharType="begin" w:dirty="true"/>
              <w:instrText xml:space="preserve">PAGEREF _Toc16 \h</w:instrText>
              <w:fldChar w:fldCharType="separate"/>
              <w:fldChar w:fldCharType="end"/>
            </w:r>
          </w:hyperlink>
        </w:p>
        <w:p>
          <w:pPr>
            <w:pStyle w:val="TOC1"/>
            <w:tabs>
              <w:tab w:val="right" w:pos="9306" w:leader="dot"/>
            </w:tabs>
          </w:pPr>
          <w:hyperlink w:history="1" w:anchor="_Toc17">
            <w:r>
              <w:t xml:space="preserve">About page</w:t>
            </w:r>
            <w:r>
              <w:tab/>
            </w:r>
            <w:r>
              <w:fldChar w:fldCharType="begin" w:dirty="true"/>
              <w:instrText xml:space="preserve">PAGEREF _Toc17 \h</w:instrText>
              <w:fldChar w:fldCharType="separate"/>
              <w:fldChar w:fldCharType="end"/>
            </w:r>
          </w:hyperlink>
        </w:p>
        <w:p>
          <w:pPr>
            <w:pStyle w:val="TOC2"/>
            <w:tabs>
              <w:tab w:val="right" w:pos="9306" w:leader="dot"/>
            </w:tabs>
            <w:ind w:left="220"/>
          </w:pPr>
          <w:hyperlink w:history="1" w:anchor="_Toc18">
            <w:r>
              <w:t xml:space="preserve">1. Introduction</w:t>
            </w:r>
            <w:r>
              <w:tab/>
            </w:r>
            <w:r>
              <w:fldChar w:fldCharType="begin" w:dirty="true"/>
              <w:instrText xml:space="preserve">PAGEREF _Toc18 \h</w:instrText>
              <w:fldChar w:fldCharType="separate"/>
              <w:fldChar w:fldCharType="end"/>
            </w:r>
          </w:hyperlink>
        </w:p>
        <w:p>
          <w:pPr>
            <w:pStyle w:val="TOC2"/>
            <w:tabs>
              <w:tab w:val="right" w:pos="9306" w:leader="dot"/>
            </w:tabs>
            <w:ind w:left="220"/>
          </w:pPr>
          <w:hyperlink w:history="1" w:anchor="_Toc19">
            <w:r>
              <w:t xml:space="preserve">2. Our story &amp; mission</w:t>
            </w:r>
            <w:r>
              <w:tab/>
            </w:r>
            <w:r>
              <w:fldChar w:fldCharType="begin" w:dirty="true"/>
              <w:instrText xml:space="preserve">PAGEREF _Toc19 \h</w:instrText>
              <w:fldChar w:fldCharType="separate"/>
              <w:fldChar w:fldCharType="end"/>
            </w:r>
          </w:hyperlink>
        </w:p>
        <w:p>
          <w:pPr>
            <w:pStyle w:val="TOC2"/>
            <w:tabs>
              <w:tab w:val="right" w:pos="9306" w:leader="dot"/>
            </w:tabs>
            <w:ind w:left="220"/>
          </w:pPr>
          <w:hyperlink w:history="1" w:anchor="_Toc20">
            <w:r>
              <w:t xml:space="preserve">3. How we work</w:t>
            </w:r>
            <w:r>
              <w:tab/>
            </w:r>
            <w:r>
              <w:fldChar w:fldCharType="begin" w:dirty="true"/>
              <w:instrText xml:space="preserve">PAGEREF _Toc20 \h</w:instrText>
              <w:fldChar w:fldCharType="separate"/>
              <w:fldChar w:fldCharType="end"/>
            </w:r>
          </w:hyperlink>
        </w:p>
        <w:p>
          <w:pPr>
            <w:pStyle w:val="TOC2"/>
            <w:tabs>
              <w:tab w:val="right" w:pos="9306" w:leader="dot"/>
            </w:tabs>
            <w:ind w:left="220"/>
          </w:pPr>
          <w:hyperlink w:history="1" w:anchor="_Toc21">
            <w:r>
              <w:t xml:space="preserve">4. Industry-agnostic equity management</w:t>
            </w:r>
            <w:r>
              <w:tab/>
            </w:r>
            <w:r>
              <w:fldChar w:fldCharType="begin" w:dirty="true"/>
              <w:instrText xml:space="preserve">PAGEREF _Toc21 \h</w:instrText>
              <w:fldChar w:fldCharType="separate"/>
              <w:fldChar w:fldCharType="end"/>
            </w:r>
          </w:hyperlink>
        </w:p>
        <w:p>
          <w:pPr>
            <w:pStyle w:val="TOC2"/>
            <w:tabs>
              <w:tab w:val="right" w:pos="9306" w:leader="dot"/>
            </w:tabs>
            <w:ind w:left="220"/>
          </w:pPr>
          <w:hyperlink w:history="1" w:anchor="_Toc22">
            <w:r>
              <w:t xml:space="preserve">5. Leadership &amp; values</w:t>
            </w:r>
            <w:r>
              <w:tab/>
            </w:r>
            <w:r>
              <w:fldChar w:fldCharType="begin" w:dirty="true"/>
              <w:instrText xml:space="preserve">PAGEREF _Toc22 \h</w:instrText>
              <w:fldChar w:fldCharType="separate"/>
              <w:fldChar w:fldCharType="end"/>
            </w:r>
          </w:hyperlink>
        </w:p>
        <w:p>
          <w:pPr>
            <w:pStyle w:val="TOC2"/>
            <w:tabs>
              <w:tab w:val="right" w:pos="9306" w:leader="dot"/>
            </w:tabs>
            <w:ind w:left="220"/>
          </w:pPr>
          <w:hyperlink w:history="1" w:anchor="_Toc23">
            <w:r>
              <w:t xml:space="preserve">6. Closing call to action</w:t>
            </w:r>
            <w:r>
              <w:tab/>
            </w:r>
            <w:r>
              <w:fldChar w:fldCharType="begin" w:dirty="true"/>
              <w:instrText xml:space="preserve">PAGEREF _Toc23 \h</w:instrText>
              <w:fldChar w:fldCharType="separate"/>
              <w:fldChar w:fldCharType="end"/>
            </w:r>
          </w:hyperlink>
        </w:p>
        <w:p>
          <w:pPr>
            <w:pStyle w:val="TOC1"/>
            <w:tabs>
              <w:tab w:val="right" w:pos="9306" w:leader="dot"/>
            </w:tabs>
          </w:pPr>
          <w:hyperlink w:history="1" w:anchor="_Toc24">
            <w:r>
              <w:t xml:space="preserve">Contact page</w:t>
            </w:r>
            <w:r>
              <w:tab/>
            </w:r>
            <w:r>
              <w:fldChar w:fldCharType="begin" w:dirty="true"/>
              <w:instrText xml:space="preserve">PAGEREF _Toc24 \h</w:instrText>
              <w:fldChar w:fldCharType="separate"/>
              <w:fldChar w:fldCharType="end"/>
            </w:r>
          </w:hyperlink>
        </w:p>
        <w:p>
          <w:pPr>
            <w:pStyle w:val="TOC2"/>
            <w:tabs>
              <w:tab w:val="right" w:pos="9306" w:leader="dot"/>
            </w:tabs>
            <w:ind w:left="220"/>
          </w:pPr>
          <w:hyperlink w:history="1" w:anchor="_Toc25">
            <w:r>
              <w:t xml:space="preserve">1. Introduction &amp; details</w:t>
            </w:r>
            <w:r>
              <w:tab/>
            </w:r>
            <w:r>
              <w:fldChar w:fldCharType="begin" w:dirty="true"/>
              <w:instrText xml:space="preserve">PAGEREF _Toc25 \h</w:instrText>
              <w:fldChar w:fldCharType="separate"/>
              <w:fldChar w:fldCharType="end"/>
            </w:r>
          </w:hyperlink>
        </w:p>
        <w:p>
          <w:pPr>
            <w:pStyle w:val="TOC2"/>
            <w:tabs>
              <w:tab w:val="right" w:pos="9306" w:leader="dot"/>
            </w:tabs>
            <w:ind w:left="220"/>
          </w:pPr>
          <w:hyperlink w:history="1" w:anchor="_Toc26">
            <w:r>
              <w:t xml:space="preserve">2. Consultation request form</w:t>
            </w:r>
            <w:r>
              <w:tab/>
            </w:r>
            <w:r>
              <w:fldChar w:fldCharType="begin" w:dirty="true"/>
              <w:instrText xml:space="preserve">PAGEREF _Toc26 \h</w:instrText>
              <w:fldChar w:fldCharType="separate"/>
              <w:fldChar w:fldCharType="end"/>
            </w:r>
          </w:hyperlink>
        </w:p>
        <w:p>
          <w:r>
            <w:fldChar w:fldCharType="end"/>
          </w:r>
        </w:p>
      </w:sdtContent>
    </w:sdt>
    <w:p>
      <w:r>
        <w:br w:type="page"/>
      </w:r>
    </w:p>
    <w:p>
      <w:pPr>
        <w:spacing w:after="60"/>
      </w:pPr>
      <w:r>
        <w:rPr>
          <w:rFonts w:ascii="Arial" w:cs="Arial" w:eastAsia="Arial" w:hAnsi="Arial"/>
          <w:b/>
          <w:bCs/>
          <w:color w:val="C6A15B"/>
          <w:spacing w:val="40"/>
          <w:sz w:val="18"/>
          <w:szCs w:val="18"/>
        </w:rPr>
        <w:t xml:space="preserve">EVERY PAGE</w:t>
      </w:r>
    </w:p>
    <w:p>
      <w:pPr>
        <w:pStyle w:val="Heading1"/>
        <w:pBdr>
          <w:bottom w:val="single" w:color="C6A15B" w:sz="12" w:space="8"/>
        </w:pBdr>
      </w:pPr>
      <w:bookmarkStart w:name="_Toc2" w:id="2"/>
      <w:r>
        <w:t xml:space="preserve">Site-wide details</w:t>
      </w:r>
      <w:bookmarkEnd w:id="2"/>
    </w:p>
    <w:p>
      <w:pPr>
        <w:spacing w:after="120"/>
      </w:pPr>
      <w:r>
        <w:t xml:space="preserve">These details appear on every page of the website: in the top menu, the mobile menu, the footer, and anywhere the contact details are shown.</w:t>
      </w:r>
    </w:p>
    <w:p>
      <w:pPr>
        <w:pStyle w:val="Heading2"/>
      </w:pPr>
      <w:bookmarkStart w:name="_Toc3" w:id="3"/>
      <w:r>
        <w:t xml:space="preserve">Company &amp; contact details</w:t>
      </w:r>
      <w:bookmarkEnd w:id="3"/>
    </w:p>
    <w:p>
      <w:pPr>
        <w:pBdr>
          <w:left w:val="single" w:color="C6A15B" w:sz="18" w:space="8"/>
        </w:pBdr>
        <w:shd w:fill="F6F4EE" w:color="auto" w:val="clear"/>
        <w:spacing w:after="160"/>
        <w:ind w:left="120"/>
      </w:pPr>
      <w:r>
        <w:rPr>
          <w:b/>
          <w:bCs/>
          <w:color w:val="0B7A5A"/>
          <w:sz w:val="19"/>
          <w:szCs w:val="19"/>
        </w:rPr>
        <w:t xml:space="preserve">Where it appears: </w:t>
      </w:r>
      <w:r>
        <w:rPr>
          <w:color w:val="5E6663"/>
          <w:sz w:val="19"/>
          <w:szCs w:val="19"/>
        </w:rPr>
        <w:t xml:space="preserve">Footer, contact page, closing “Your equity. Structured.” block, menu and loading screen.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6706"/>
      </w:tblGrid>
      <w:tr>
        <w:trPr>
          <w:tblHeader/>
        </w:trPr>
        <w:tc>
          <w:tcPr>
            <w:tcW w:type="dxa" w:w="26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Item</w:t>
            </w:r>
          </w:p>
        </w:tc>
        <w:tc>
          <w:tcPr>
            <w:tcW w:type="dxa" w:w="6706"/>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Text on the website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Company name</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Universal Equity Management Solutions</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Short name</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UEMS</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Email</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contact@yourfirm.com</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Phone</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+1 (800) 555-0199</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Office cities</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pStyle w:val="ListParagraph"/>
              <w:numPr>
                <w:ilvl w:val="0"/>
                <w:numId w:val="2"/>
              </w:numPr>
              <w:spacing w:after="60"/>
            </w:pPr>
            <w:r>
              <w:t xml:space="preserve">Hyderabad</w:t>
            </w:r>
          </w:p>
          <w:p>
            <w:pPr>
              <w:pStyle w:val="ListParagraph"/>
              <w:numPr>
                <w:ilvl w:val="0"/>
                <w:numId w:val="2"/>
              </w:numPr>
              <w:spacing w:after="60"/>
            </w:pPr>
            <w:r>
              <w:t xml:space="preserve">Mumbai</w:t>
            </w:r>
          </w:p>
          <w:p>
            <w:pPr>
              <w:pStyle w:val="ListParagraph"/>
              <w:numPr>
                <w:ilvl w:val="0"/>
                <w:numId w:val="2"/>
              </w:numPr>
              <w:spacing w:after="60"/>
            </w:pPr>
            <w:r>
              <w:t xml:space="preserve">Bangalore</w:t>
            </w:r>
          </w:p>
        </w:tc>
      </w:tr>
    </w:tbl>
    <w:p>
      <w:pPr>
        <w:spacing w:after="160"/>
      </w:pPr>
    </w:p>
    <w:p>
      <w:pPr>
        <w:pStyle w:val="Heading2"/>
      </w:pPr>
      <w:bookmarkStart w:name="_Toc4" w:id="4"/>
      <w:r>
        <w:t xml:space="preserve">Top menu</w:t>
      </w:r>
      <w:bookmarkEnd w:id="4"/>
    </w:p>
    <w:p>
      <w:pPr>
        <w:pBdr>
          <w:left w:val="single" w:color="C6A15B" w:sz="18" w:space="8"/>
        </w:pBdr>
        <w:shd w:fill="F6F4EE" w:color="auto" w:val="clear"/>
        <w:spacing w:after="160"/>
        <w:ind w:left="120"/>
      </w:pPr>
      <w:r>
        <w:rPr>
          <w:b/>
          <w:bCs/>
          <w:color w:val="0B7A5A"/>
          <w:sz w:val="19"/>
          <w:szCs w:val="19"/>
        </w:rPr>
        <w:t xml:space="preserve">Where it appears: </w:t>
      </w:r>
      <w:r>
        <w:rPr>
          <w:color w:val="5E6663"/>
          <w:sz w:val="19"/>
          <w:szCs w:val="19"/>
        </w:rPr>
        <w:t xml:space="preserve">Fixed bar across the top of every page. On mobile the links open in a full-screen menu.</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6706"/>
      </w:tblGrid>
      <w:tr>
        <w:trPr>
          <w:tblHeader/>
        </w:trPr>
        <w:tc>
          <w:tcPr>
            <w:tcW w:type="dxa" w:w="26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Menu link</w:t>
            </w:r>
          </w:p>
        </w:tc>
        <w:tc>
          <w:tcPr>
            <w:tcW w:type="dxa" w:w="6706"/>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Goes to</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Solutions</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/#services</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Industries</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/#industries</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About</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/about</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Contact</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/contact (mobile menu and footer)</w:t>
            </w:r>
          </w:p>
        </w:tc>
      </w:tr>
    </w:tbl>
    <w:p>
      <w:pPr>
        <w:spacing w:after="16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6706"/>
      </w:tblGrid>
      <w:tr>
        <w:trPr>
          <w:tblHeader/>
        </w:trPr>
        <w:tc>
          <w:tcPr>
            <w:tcW w:type="dxa" w:w="26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Item</w:t>
            </w:r>
          </w:p>
        </w:tc>
        <w:tc>
          <w:tcPr>
            <w:tcW w:type="dxa" w:w="6706"/>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Text on the website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Menu button</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Request a Consultation</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Mobile menu footer</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Hyderabad · Mumbai · Bangalore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Accessibility: skip link</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Skip to content</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Accessibility: menu button</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Menu</w:t>
            </w:r>
          </w:p>
        </w:tc>
      </w:tr>
    </w:tbl>
    <w:p>
      <w:pPr>
        <w:spacing w:after="160"/>
      </w:pPr>
    </w:p>
    <w:p>
      <w:pPr>
        <w:pStyle w:val="Heading2"/>
      </w:pPr>
      <w:bookmarkStart w:name="_Toc5" w:id="5"/>
      <w:r>
        <w:t xml:space="preserve">Footer</w:t>
      </w:r>
      <w:bookmarkEnd w:id="5"/>
    </w:p>
    <w:p>
      <w:pPr>
        <w:pBdr>
          <w:left w:val="single" w:color="C6A15B" w:sz="18" w:space="8"/>
        </w:pBdr>
        <w:shd w:fill="F6F4EE" w:color="auto" w:val="clear"/>
        <w:spacing w:after="160"/>
        <w:ind w:left="120"/>
      </w:pPr>
      <w:r>
        <w:rPr>
          <w:b/>
          <w:bCs/>
          <w:color w:val="0B7A5A"/>
          <w:sz w:val="19"/>
          <w:szCs w:val="19"/>
        </w:rPr>
        <w:t xml:space="preserve">Where it appears: </w:t>
      </w:r>
      <w:r>
        <w:rPr>
          <w:color w:val="5E6663"/>
          <w:sz w:val="19"/>
          <w:szCs w:val="19"/>
        </w:rPr>
        <w:t xml:space="preserve">Dark green band at the bottom of every page.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6706"/>
      </w:tblGrid>
      <w:tr>
        <w:trPr>
          <w:tblHeader/>
        </w:trPr>
        <w:tc>
          <w:tcPr>
            <w:tcW w:type="dxa" w:w="26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Item</w:t>
            </w:r>
          </w:p>
        </w:tc>
        <w:tc>
          <w:tcPr>
            <w:tcW w:type="dxa" w:w="6706"/>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Text on the website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Brand name (two lines)</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pStyle w:val="ListParagraph"/>
              <w:numPr>
                <w:ilvl w:val="0"/>
                <w:numId w:val="2"/>
              </w:numPr>
              <w:spacing w:after="60"/>
            </w:pPr>
            <w:r>
              <w:t xml:space="preserve">Universal Equity</w:t>
            </w:r>
          </w:p>
          <w:p>
            <w:pPr>
              <w:pStyle w:val="ListParagraph"/>
              <w:numPr>
                <w:ilvl w:val="0"/>
                <w:numId w:val="2"/>
              </w:numPr>
              <w:spacing w:after="60"/>
            </w:pPr>
            <w:r>
              <w:t xml:space="preserve">Management Solutions</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Column 1 heading</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Explore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Column 1 links</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pStyle w:val="ListParagraph"/>
              <w:numPr>
                <w:ilvl w:val="0"/>
                <w:numId w:val="2"/>
              </w:numPr>
              <w:spacing w:after="60"/>
            </w:pPr>
            <w:r>
              <w:t xml:space="preserve">Solutions</w:t>
            </w:r>
          </w:p>
          <w:p>
            <w:pPr>
              <w:pStyle w:val="ListParagraph"/>
              <w:numPr>
                <w:ilvl w:val="0"/>
                <w:numId w:val="2"/>
              </w:numPr>
              <w:spacing w:after="60"/>
            </w:pPr>
            <w:r>
              <w:t xml:space="preserve">Industries</w:t>
            </w:r>
          </w:p>
          <w:p>
            <w:pPr>
              <w:pStyle w:val="ListParagraph"/>
              <w:numPr>
                <w:ilvl w:val="0"/>
                <w:numId w:val="2"/>
              </w:numPr>
              <w:spacing w:after="60"/>
            </w:pPr>
            <w:r>
              <w:t xml:space="preserve">About</w:t>
            </w:r>
          </w:p>
          <w:p>
            <w:pPr>
              <w:pStyle w:val="ListParagraph"/>
              <w:numPr>
                <w:ilvl w:val="0"/>
                <w:numId w:val="2"/>
              </w:numPr>
              <w:spacing w:after="60"/>
            </w:pPr>
            <w:r>
              <w:t xml:space="preserve">Contact</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Column 2 heading</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Reach us</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Column 2</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pStyle w:val="ListParagraph"/>
              <w:numPr>
                <w:ilvl w:val="0"/>
                <w:numId w:val="2"/>
              </w:numPr>
              <w:spacing w:after="60"/>
            </w:pPr>
            <w:r>
              <w:t xml:space="preserve">contact@yourfirm.com</w:t>
            </w:r>
          </w:p>
          <w:p>
            <w:pPr>
              <w:pStyle w:val="ListParagraph"/>
              <w:numPr>
                <w:ilvl w:val="0"/>
                <w:numId w:val="2"/>
              </w:numPr>
              <w:spacing w:after="60"/>
            </w:pPr>
            <w:r>
              <w:t xml:space="preserve">+1 (800) 555-0199</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Column 3 heading</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Offices</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Column 3</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pStyle w:val="ListParagraph"/>
              <w:numPr>
                <w:ilvl w:val="0"/>
                <w:numId w:val="2"/>
              </w:numPr>
              <w:spacing w:after="60"/>
            </w:pPr>
            <w:r>
              <w:t xml:space="preserve">Hyderabad</w:t>
            </w:r>
          </w:p>
          <w:p>
            <w:pPr>
              <w:pStyle w:val="ListParagraph"/>
              <w:numPr>
                <w:ilvl w:val="0"/>
                <w:numId w:val="2"/>
              </w:numPr>
              <w:spacing w:after="60"/>
            </w:pPr>
            <w:r>
              <w:t xml:space="preserve">Mumbai</w:t>
            </w:r>
          </w:p>
          <w:p>
            <w:pPr>
              <w:pStyle w:val="ListParagraph"/>
              <w:numPr>
                <w:ilvl w:val="0"/>
                <w:numId w:val="2"/>
              </w:numPr>
              <w:spacing w:after="60"/>
            </w:pPr>
            <w:r>
              <w:t xml:space="preserve">Bangalore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Copyright line</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 [current year] Universal Equity Management Solutions</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Legal note</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UEMS provides equity advisory, administration and transaction coordination. Activities requiring regulatory registration are carried out with appropriately licensed professionals and intermediaries.</w:t>
            </w:r>
          </w:p>
        </w:tc>
      </w:tr>
    </w:tbl>
    <w:p>
      <w:pPr>
        <w:spacing w:after="160"/>
      </w:pPr>
    </w:p>
    <w:p>
      <w:r>
        <w:br w:type="page"/>
      </w:r>
    </w:p>
    <w:p>
      <w:pPr>
        <w:spacing w:after="60"/>
      </w:pPr>
      <w:r>
        <w:rPr>
          <w:rFonts w:ascii="Arial" w:cs="Arial" w:eastAsia="Arial" w:hAnsi="Arial"/>
          <w:b/>
          <w:bCs/>
          <w:color w:val="C6A15B"/>
          <w:spacing w:val="40"/>
          <w:sz w:val="18"/>
          <w:szCs w:val="18"/>
        </w:rPr>
        <w:t xml:space="preserve">PAGE 1</w:t>
      </w:r>
    </w:p>
    <w:p>
      <w:pPr>
        <w:pStyle w:val="Heading1"/>
        <w:pBdr>
          <w:bottom w:val="single" w:color="C6A15B" w:sz="12" w:space="8"/>
        </w:pBdr>
      </w:pPr>
      <w:bookmarkStart w:name="_Toc6" w:id="6"/>
      <w:r>
        <w:t xml:space="preserve">Home page</w:t>
      </w:r>
      <w:bookmarkEnd w:id="6"/>
    </w:p>
    <w:p>
      <w:pPr>
        <w:spacing w:after="120"/>
      </w:pPr>
      <w:r>
        <w:t xml:space="preserve">The home page is a single long page. The sections below are listed in the order a visitor scrolls through them.</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6706"/>
      </w:tblGrid>
      <w:tr>
        <w:trPr>
          <w:tblHeader/>
        </w:trPr>
        <w:tc>
          <w:tcPr>
            <w:tcW w:type="dxa" w:w="26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Item</w:t>
            </w:r>
          </w:p>
        </w:tc>
        <w:tc>
          <w:tcPr>
            <w:tcW w:type="dxa" w:w="6706"/>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Text on the website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Browser tab title</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Universal Equity Management Solutions | Modern Equity Management</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Search engine description</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UEMS structures, manages and facilitates equity for businesses in every vertical: equity structuring, capital facilitation, cap-table and ESOP management, and transaction support. Hyderabad · Mumbai · Bangalore.</w:t>
            </w:r>
          </w:p>
        </w:tc>
      </w:tr>
    </w:tbl>
    <w:p>
      <w:pPr>
        <w:spacing w:after="160"/>
      </w:pPr>
    </w:p>
    <w:p>
      <w:pPr>
        <w:pStyle w:val="Heading2"/>
      </w:pPr>
      <w:bookmarkStart w:name="_Toc7" w:id="7"/>
      <w:r>
        <w:t xml:space="preserve">1. Hero (top of the page)</w:t>
      </w:r>
      <w:bookmarkEnd w:id="7"/>
    </w:p>
    <w:p>
      <w:pPr>
        <w:pBdr>
          <w:left w:val="single" w:color="C6A15B" w:sz="18" w:space="8"/>
        </w:pBdr>
        <w:shd w:fill="F6F4EE" w:color="auto" w:val="clear"/>
        <w:spacing w:after="160"/>
        <w:ind w:left="120"/>
      </w:pPr>
      <w:r>
        <w:rPr>
          <w:b/>
          <w:bCs/>
          <w:color w:val="0B7A5A"/>
          <w:sz w:val="19"/>
          <w:szCs w:val="19"/>
        </w:rPr>
        <w:t xml:space="preserve">Where it appears: </w:t>
      </w:r>
      <w:r>
        <w:rPr>
          <w:color w:val="5E6663"/>
          <w:sz w:val="19"/>
          <w:szCs w:val="19"/>
        </w:rPr>
        <w:t xml:space="preserve">The first screen a visitor sees: a large headline on the left and an animated “cap table” card on the right.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6706"/>
      </w:tblGrid>
      <w:tr>
        <w:trPr>
          <w:tblHeader/>
        </w:trPr>
        <w:tc>
          <w:tcPr>
            <w:tcW w:type="dxa" w:w="26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Item</w:t>
            </w:r>
          </w:p>
        </w:tc>
        <w:tc>
          <w:tcPr>
            <w:tcW w:type="dxa" w:w="6706"/>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Text on the website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Eyebrow</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Equity advisory · Cap-table management · Capital facilitation</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Headline (3 lines)</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pStyle w:val="ListParagraph"/>
              <w:numPr>
                <w:ilvl w:val="0"/>
                <w:numId w:val="2"/>
              </w:numPr>
              <w:spacing w:after="60"/>
            </w:pPr>
            <w:r>
              <w:t xml:space="preserve">Modern equity management,</w:t>
            </w:r>
          </w:p>
          <w:p>
            <w:pPr>
              <w:pStyle w:val="ListParagraph"/>
              <w:numPr>
                <w:ilvl w:val="0"/>
                <w:numId w:val="2"/>
              </w:numPr>
              <w:spacing w:after="60"/>
            </w:pPr>
            <w:r>
              <w:rPr>
                <w:rFonts w:ascii="Georgia" w:cs="Georgia" w:eastAsia="Georgia" w:hAnsi="Georgia"/>
                <w:i/>
                <w:iCs/>
                <w:color w:val="0B7A5A"/>
              </w:rPr>
              <w:t xml:space="preserve">simplified</w:t>
            </w:r>
            <w:r>
              <w:t xml:space="preserve"> for every</w:t>
            </w:r>
          </w:p>
          <w:p>
            <w:pPr>
              <w:pStyle w:val="ListParagraph"/>
              <w:numPr>
                <w:ilvl w:val="0"/>
                <w:numId w:val="2"/>
              </w:numPr>
              <w:spacing w:after="60"/>
            </w:pPr>
            <w:r>
              <w:t xml:space="preserve">business vertical.</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Introduction</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Streamline capitalization &amp; equity facilitation. Universal Equity Management Solutions structures, manages and facilitates ownership for founders, promoters and investors, from the first cap table to growth capital and exit.</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Main button</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Request a Consultation</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Second button</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View Solutions</w:t>
            </w:r>
          </w:p>
        </w:tc>
      </w:tr>
    </w:tbl>
    <w:p>
      <w:pPr>
        <w:spacing w:after="160"/>
      </w:pPr>
    </w:p>
    <w:p>
      <w:pPr>
        <w:pStyle w:val="Heading3"/>
      </w:pPr>
      <w:r>
        <w:t xml:space="preserve">Three highlight points (under the buttons)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4506"/>
      </w:tblGrid>
      <w:tr>
        <w:trPr>
          <w:tblHeader/>
        </w:trPr>
        <w:tc>
          <w:tcPr>
            <w:tcW w:type="dxa" w:w="13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Point</w:t>
            </w:r>
          </w:p>
        </w:tc>
        <w:tc>
          <w:tcPr>
            <w:tcW w:type="dxa" w:w="35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Bold title</w:t>
            </w:r>
          </w:p>
        </w:tc>
        <w:tc>
          <w:tcPr>
            <w:tcW w:type="dxa" w:w="4506"/>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Supporting line</w:t>
            </w:r>
          </w:p>
        </w:tc>
      </w:tr>
      <w:tr>
        <w:trPr>
          <w:cantSplit/>
        </w:trPr>
        <w:tc>
          <w:tcPr>
            <w:tcW w:type="dxa" w:w="13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01</w:t>
            </w:r>
          </w:p>
        </w:tc>
        <w:tc>
          <w:tcPr>
            <w:tcW w:type="dxa" w:w="3500"/>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Custom frameworks</w:t>
            </w:r>
          </w:p>
        </w:tc>
        <w:tc>
          <w:tcPr>
            <w:tcW w:type="dxa" w:w="45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Built for your industry and owners</w:t>
            </w:r>
          </w:p>
        </w:tc>
      </w:tr>
      <w:tr>
        <w:trPr>
          <w:cantSplit/>
        </w:trPr>
        <w:tc>
          <w:tcPr>
            <w:tcW w:type="dxa" w:w="13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02</w:t>
            </w:r>
          </w:p>
        </w:tc>
        <w:tc>
          <w:tcPr>
            <w:tcW w:type="dxa" w:w="3500"/>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Local regulatory alignment</w:t>
            </w:r>
          </w:p>
        </w:tc>
        <w:tc>
          <w:tcPr>
            <w:tcW w:type="dxa" w:w="45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Companies Act, FEMA &amp; SEBI aware</w:t>
            </w:r>
          </w:p>
        </w:tc>
      </w:tr>
      <w:tr>
        <w:trPr>
          <w:cantSplit/>
        </w:trPr>
        <w:tc>
          <w:tcPr>
            <w:tcW w:type="dxa" w:w="13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03</w:t>
            </w:r>
          </w:p>
        </w:tc>
        <w:tc>
          <w:tcPr>
            <w:tcW w:type="dxa" w:w="3500"/>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Hyderabad · Mumbai · Bangalore</w:t>
            </w:r>
          </w:p>
        </w:tc>
        <w:tc>
          <w:tcPr>
            <w:tcW w:type="dxa" w:w="45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Equity specialists, hands-on</w:t>
            </w:r>
          </w:p>
        </w:tc>
      </w:tr>
    </w:tbl>
    <w:p>
      <w:pPr>
        <w:spacing w:after="160"/>
      </w:pPr>
    </w:p>
    <w:p>
      <w:pPr>
        <w:pStyle w:val="Heading3"/>
      </w:pPr>
      <w:r>
        <w:t xml:space="preserve">Cap-table card (animated example)</w:t>
      </w:r>
    </w:p>
    <w:p>
      <w:pPr>
        <w:spacing w:after="120"/>
      </w:pPr>
      <w:r>
        <w:t xml:space="preserve">An illustrative card that switches between “today” and “after the funding round”, showing how ownership changes.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6706"/>
      </w:tblGrid>
      <w:tr>
        <w:trPr>
          <w:tblHeader/>
        </w:trPr>
        <w:tc>
          <w:tcPr>
            <w:tcW w:type="dxa" w:w="26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Item</w:t>
            </w:r>
          </w:p>
        </w:tc>
        <w:tc>
          <w:tcPr>
            <w:tcW w:type="dxa" w:w="6706"/>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Text on the website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Card label</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Cap table · illustrative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Company name</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ABC Manufacturing Pvt Ltd</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Toggle: first tab</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Today</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Toggle: second tab</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After ₹10 Cr round</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Table column headings</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pStyle w:val="ListParagraph"/>
              <w:numPr>
                <w:ilvl w:val="0"/>
                <w:numId w:val="2"/>
              </w:numPr>
              <w:spacing w:after="60"/>
            </w:pPr>
            <w:r>
              <w:t xml:space="preserve">Shareholder</w:t>
            </w:r>
          </w:p>
          <w:p>
            <w:pPr>
              <w:pStyle w:val="ListParagraph"/>
              <w:numPr>
                <w:ilvl w:val="0"/>
                <w:numId w:val="2"/>
              </w:numPr>
              <w:spacing w:after="60"/>
            </w:pPr>
            <w:r>
              <w:t xml:space="preserve">Ownership</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Valuation label</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Valuation</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Valuation (before / after)</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pStyle w:val="ListParagraph"/>
              <w:numPr>
                <w:ilvl w:val="0"/>
                <w:numId w:val="2"/>
              </w:numPr>
              <w:spacing w:after="60"/>
            </w:pPr>
            <w:r>
              <w:t xml:space="preserve">₹40 Cr pre-money</w:t>
            </w:r>
          </w:p>
          <w:p>
            <w:pPr>
              <w:pStyle w:val="ListParagraph"/>
              <w:numPr>
                <w:ilvl w:val="0"/>
                <w:numId w:val="2"/>
              </w:numPr>
              <w:spacing w:after="60"/>
            </w:pPr>
            <w:r>
              <w:t xml:space="preserve">₹50 Cr post-money</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Capital label</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Capital mobilised</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Capital raised (counts up to)</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₹10 Cr</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Pop-up tag</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 ₹10 Cr growth capital</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Screen-reader description</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Illustrative cap table before and after a ₹10 crore equity round</w:t>
            </w:r>
          </w:p>
        </w:tc>
      </w:tr>
    </w:tbl>
    <w:p>
      <w:pPr>
        <w:spacing w:after="16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00"/>
        <w:gridCol w:w="3003"/>
        <w:gridCol w:w="3003"/>
      </w:tblGrid>
      <w:tr>
        <w:trPr>
          <w:tblHeader/>
        </w:trPr>
        <w:tc>
          <w:tcPr>
            <w:tcW w:type="dxa" w:w="33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Shareholder</w:t>
            </w:r>
          </w:p>
        </w:tc>
        <w:tc>
          <w:tcPr>
            <w:tcW w:type="dxa" w:w="3003"/>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Ownership today</w:t>
            </w:r>
          </w:p>
        </w:tc>
        <w:tc>
          <w:tcPr>
            <w:tcW w:type="dxa" w:w="3003"/>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Ownership after round</w:t>
            </w:r>
          </w:p>
        </w:tc>
      </w:tr>
      <w:tr>
        <w:trPr>
          <w:cantSplit/>
        </w:trPr>
        <w:tc>
          <w:tcPr>
            <w:tcW w:type="dxa" w:w="33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Founder A</w:t>
            </w:r>
          </w:p>
        </w:tc>
        <w:tc>
          <w:tcPr>
            <w:tcW w:type="dxa" w:w="3003"/>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60%</w:t>
            </w:r>
          </w:p>
        </w:tc>
        <w:tc>
          <w:tcPr>
            <w:tcW w:type="dxa" w:w="3003"/>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48%</w:t>
            </w:r>
          </w:p>
        </w:tc>
      </w:tr>
      <w:tr>
        <w:trPr>
          <w:cantSplit/>
        </w:trPr>
        <w:tc>
          <w:tcPr>
            <w:tcW w:type="dxa" w:w="33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Founder B</w:t>
            </w:r>
          </w:p>
        </w:tc>
        <w:tc>
          <w:tcPr>
            <w:tcW w:type="dxa" w:w="3003"/>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40%</w:t>
            </w:r>
          </w:p>
        </w:tc>
        <w:tc>
          <w:tcPr>
            <w:tcW w:type="dxa" w:w="3003"/>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32%</w:t>
            </w:r>
          </w:p>
        </w:tc>
      </w:tr>
      <w:tr>
        <w:trPr>
          <w:cantSplit/>
        </w:trPr>
        <w:tc>
          <w:tcPr>
            <w:tcW w:type="dxa" w:w="33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Growth investor</w:t>
            </w:r>
          </w:p>
        </w:tc>
        <w:tc>
          <w:tcPr>
            <w:tcW w:type="dxa" w:w="3003"/>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0%</w:t>
            </w:r>
          </w:p>
        </w:tc>
        <w:tc>
          <w:tcPr>
            <w:tcW w:type="dxa" w:w="3003"/>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20%</w:t>
            </w:r>
          </w:p>
        </w:tc>
      </w:tr>
    </w:tbl>
    <w:p>
      <w:pPr>
        <w:spacing w:after="160"/>
      </w:pPr>
    </w:p>
    <w:p>
      <w:pPr>
        <w:pStyle w:val="Heading2"/>
      </w:pPr>
      <w:bookmarkStart w:name="_Toc8" w:id="8"/>
      <w:r>
        <w:t xml:space="preserve">2. What brings you to UEMS?</w:t>
      </w:r>
      <w:bookmarkEnd w:id="8"/>
    </w:p>
    <w:p>
      <w:pPr>
        <w:pBdr>
          <w:left w:val="single" w:color="C6A15B" w:sz="18" w:space="8"/>
        </w:pBdr>
        <w:shd w:fill="F6F4EE" w:color="auto" w:val="clear"/>
        <w:spacing w:after="160"/>
        <w:ind w:left="120"/>
      </w:pPr>
      <w:r>
        <w:rPr>
          <w:b/>
          <w:bCs/>
          <w:color w:val="0B7A5A"/>
          <w:sz w:val="19"/>
          <w:szCs w:val="19"/>
        </w:rPr>
        <w:t xml:space="preserve">Where it appears: </w:t>
      </w:r>
      <w:r>
        <w:rPr>
          <w:color w:val="5E6663"/>
          <w:sz w:val="19"/>
          <w:szCs w:val="19"/>
        </w:rPr>
        <w:t xml:space="preserve">Directly below the hero: a heading on the left, introduction on the right, then four clickable cards.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6706"/>
      </w:tblGrid>
      <w:tr>
        <w:trPr>
          <w:tblHeader/>
        </w:trPr>
        <w:tc>
          <w:tcPr>
            <w:tcW w:type="dxa" w:w="26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Item</w:t>
            </w:r>
          </w:p>
        </w:tc>
        <w:tc>
          <w:tcPr>
            <w:tcW w:type="dxa" w:w="6706"/>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Text on the website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Eyebrow</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Start with the problem</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Headline</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pStyle w:val="ListParagraph"/>
              <w:numPr>
                <w:ilvl w:val="0"/>
                <w:numId w:val="2"/>
              </w:numPr>
              <w:spacing w:after="60"/>
            </w:pPr>
            <w:r>
              <w:t xml:space="preserve">What brings you</w:t>
            </w:r>
          </w:p>
          <w:p>
            <w:pPr>
              <w:pStyle w:val="ListParagraph"/>
              <w:numPr>
                <w:ilvl w:val="0"/>
                <w:numId w:val="2"/>
              </w:numPr>
              <w:spacing w:after="60"/>
            </w:pPr>
            <w:r>
              <w:t xml:space="preserve">to </w:t>
            </w:r>
            <w:r>
              <w:rPr>
                <w:rFonts w:ascii="Georgia" w:cs="Georgia" w:eastAsia="Georgia" w:hAnsi="Georgia"/>
                <w:i/>
                <w:iCs/>
                <w:color w:val="0B7A5A"/>
              </w:rPr>
              <w:t xml:space="preserve">UEMS?</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Introduction</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We manage and facilitate the equity transformation businesses need to mobilise capital, with frameworks built around your industry, your owners and institutional standards.</w:t>
            </w:r>
          </w:p>
        </w:tc>
      </w:tr>
    </w:tbl>
    <w:p>
      <w:pPr>
        <w:spacing w:after="16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206"/>
        <w:gridCol w:w="2000"/>
      </w:tblGrid>
      <w:tr>
        <w:trPr>
          <w:tblHeader/>
        </w:trPr>
        <w:tc>
          <w:tcPr>
            <w:tcW w:type="dxa" w:w="9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Card</w:t>
            </w:r>
          </w:p>
        </w:tc>
        <w:tc>
          <w:tcPr>
            <w:tcW w:type="dxa" w:w="22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Title</w:t>
            </w:r>
          </w:p>
        </w:tc>
        <w:tc>
          <w:tcPr>
            <w:tcW w:type="dxa" w:w="4206"/>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Description</w:t>
            </w:r>
          </w:p>
        </w:tc>
        <w:tc>
          <w:tcPr>
            <w:tcW w:type="dxa" w:w="20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Tag</w:t>
            </w:r>
          </w:p>
        </w:tc>
      </w:tr>
      <w:tr>
        <w:trPr>
          <w:cantSplit/>
        </w:trPr>
        <w:tc>
          <w:tcPr>
            <w:tcW w:type="dxa" w:w="9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01</w:t>
            </w:r>
          </w:p>
        </w:tc>
        <w:tc>
          <w:tcPr>
            <w:tcW w:type="dxa" w:w="2200"/>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Raise growth capital</w:t>
            </w:r>
          </w:p>
        </w:tc>
        <w:tc>
          <w:tcPr>
            <w:tcW w:type="dxa" w:w="42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Mobilise working capital through equity. We model valuation and dilution, prepare the round and coordinate every party through to closing.</w:t>
            </w:r>
          </w:p>
        </w:tc>
        <w:tc>
          <w:tcPr>
            <w:tcW w:type="dxa" w:w="2000"/>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Capital facilitation</w:t>
            </w:r>
          </w:p>
        </w:tc>
      </w:tr>
      <w:tr>
        <w:trPr>
          <w:cantSplit/>
        </w:trPr>
        <w:tc>
          <w:tcPr>
            <w:tcW w:type="dxa" w:w="9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02</w:t>
            </w:r>
          </w:p>
        </w:tc>
        <w:tc>
          <w:tcPr>
            <w:tcW w:type="dxa" w:w="2200"/>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Clean up the cap table</w:t>
            </w:r>
          </w:p>
        </w:tc>
        <w:tc>
          <w:tcPr>
            <w:tcW w:type="dxa" w:w="42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Replace fragmented spreadsheets with one reconciled record of shareholders, share classes and instruments, ready for diligence.</w:t>
            </w:r>
          </w:p>
        </w:tc>
        <w:tc>
          <w:tcPr>
            <w:tcW w:type="dxa" w:w="2000"/>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Ownership management</w:t>
            </w:r>
          </w:p>
        </w:tc>
      </w:tr>
      <w:tr>
        <w:trPr>
          <w:cantSplit/>
        </w:trPr>
        <w:tc>
          <w:tcPr>
            <w:tcW w:type="dxa" w:w="9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03</w:t>
            </w:r>
          </w:p>
        </w:tc>
        <w:tc>
          <w:tcPr>
            <w:tcW w:type="dxa" w:w="2200"/>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Design an ESOP</w:t>
            </w:r>
          </w:p>
        </w:tc>
        <w:tc>
          <w:tcPr>
            <w:tcW w:type="dxa" w:w="42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Size the pool, set vesting and administer grants your team actually understands, so equity works as a retention tool.</w:t>
            </w:r>
          </w:p>
        </w:tc>
        <w:tc>
          <w:tcPr>
            <w:tcW w:type="dxa" w:w="2000"/>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Equity structuring</w:t>
            </w:r>
          </w:p>
        </w:tc>
      </w:tr>
      <w:tr>
        <w:trPr>
          <w:cantSplit/>
        </w:trPr>
        <w:tc>
          <w:tcPr>
            <w:tcW w:type="dxa" w:w="9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04</w:t>
            </w:r>
          </w:p>
        </w:tc>
        <w:tc>
          <w:tcPr>
            <w:tcW w:type="dxa" w:w="2200"/>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Restructure ownership</w:t>
            </w:r>
          </w:p>
        </w:tc>
        <w:tc>
          <w:tcPr>
            <w:tcW w:type="dxa" w:w="42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Promoter realignment, family holdings, partner buy-ins and leveraged buyout structures, designed cleanly and compliantly.</w:t>
            </w:r>
          </w:p>
        </w:tc>
        <w:tc>
          <w:tcPr>
            <w:tcW w:type="dxa" w:w="2000"/>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Transaction support</w:t>
            </w:r>
          </w:p>
        </w:tc>
      </w:tr>
    </w:tbl>
    <w:p>
      <w:pPr>
        <w:spacing w:after="160"/>
      </w:pPr>
    </w:p>
    <w:p>
      <w:pPr>
        <w:pStyle w:val="Heading2"/>
      </w:pPr>
      <w:bookmarkStart w:name="_Toc9" w:id="9"/>
      <w:r>
        <w:t xml:space="preserve">3. Services (Solutions)</w:t>
      </w:r>
      <w:bookmarkEnd w:id="9"/>
    </w:p>
    <w:p>
      <w:pPr>
        <w:pBdr>
          <w:left w:val="single" w:color="C6A15B" w:sz="18" w:space="8"/>
        </w:pBdr>
        <w:shd w:fill="F6F4EE" w:color="auto" w:val="clear"/>
        <w:spacing w:after="160"/>
        <w:ind w:left="120"/>
      </w:pPr>
      <w:r>
        <w:rPr>
          <w:b/>
          <w:bCs/>
          <w:color w:val="0B7A5A"/>
          <w:sz w:val="19"/>
          <w:szCs w:val="19"/>
        </w:rPr>
        <w:t xml:space="preserve">Where it appears: </w:t>
      </w:r>
      <w:r>
        <w:rPr>
          <w:color w:val="5E6663"/>
          <w:sz w:val="19"/>
          <w:szCs w:val="19"/>
        </w:rPr>
        <w:t xml:space="preserve">A tabbed panel: four services listed on the left; selecting one shows its details and an example progress tracker on the right.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6706"/>
      </w:tblGrid>
      <w:tr>
        <w:trPr>
          <w:tblHeader/>
        </w:trPr>
        <w:tc>
          <w:tcPr>
            <w:tcW w:type="dxa" w:w="26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Item</w:t>
            </w:r>
          </w:p>
        </w:tc>
        <w:tc>
          <w:tcPr>
            <w:tcW w:type="dxa" w:w="6706"/>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Text on the website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Eyebrow</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Solutions</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Headline</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pStyle w:val="ListParagraph"/>
              <w:numPr>
                <w:ilvl w:val="0"/>
                <w:numId w:val="2"/>
              </w:numPr>
              <w:spacing w:after="60"/>
            </w:pPr>
            <w:r>
              <w:t xml:space="preserve">Four disciplines.</w:t>
            </w:r>
          </w:p>
          <w:p>
            <w:pPr>
              <w:pStyle w:val="ListParagraph"/>
              <w:numPr>
                <w:ilvl w:val="0"/>
                <w:numId w:val="2"/>
              </w:numPr>
              <w:spacing w:after="60"/>
            </w:pPr>
            <w:r>
              <w:rPr>
                <w:rFonts w:ascii="Georgia" w:cs="Georgia" w:eastAsia="Georgia" w:hAnsi="Georgia"/>
                <w:i/>
                <w:iCs/>
                <w:color w:val="0B7A5A"/>
              </w:rPr>
              <w:t xml:space="preserve">One ownership story.</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Introduction</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Engage us for one discipline or all four. Each is scoped up front, with clear deliverables and the right licensed professionals alongside.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Panel labels</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pStyle w:val="ListParagraph"/>
              <w:numPr>
                <w:ilvl w:val="0"/>
                <w:numId w:val="2"/>
              </w:numPr>
              <w:spacing w:after="60"/>
            </w:pPr>
            <w:r>
              <w:t xml:space="preserve">What’s included</w:t>
            </w:r>
          </w:p>
          <w:p>
            <w:pPr>
              <w:pStyle w:val="ListParagraph"/>
              <w:numPr>
                <w:ilvl w:val="0"/>
                <w:numId w:val="2"/>
              </w:numPr>
              <w:spacing w:after="60"/>
            </w:pPr>
            <w:r>
              <w:t xml:space="preserve">Best for</w:t>
            </w:r>
          </w:p>
          <w:p>
            <w:pPr>
              <w:pStyle w:val="ListParagraph"/>
              <w:numPr>
                <w:ilvl w:val="0"/>
                <w:numId w:val="2"/>
              </w:numPr>
              <w:spacing w:after="60"/>
            </w:pPr>
            <w:r>
              <w:t xml:space="preserve">Engagement</w:t>
            </w:r>
          </w:p>
          <w:p>
            <w:pPr>
              <w:pStyle w:val="ListParagraph"/>
              <w:numPr>
                <w:ilvl w:val="0"/>
                <w:numId w:val="2"/>
              </w:numPr>
              <w:spacing w:after="60"/>
            </w:pPr>
            <w:r>
              <w:t xml:space="preserve">Outcome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Tracker label</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Engagement tracker · example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Tracker status words</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pStyle w:val="ListParagraph"/>
              <w:numPr>
                <w:ilvl w:val="0"/>
                <w:numId w:val="2"/>
              </w:numPr>
              <w:spacing w:after="60"/>
            </w:pPr>
            <w:r>
              <w:t xml:space="preserve">Done</w:t>
            </w:r>
          </w:p>
          <w:p>
            <w:pPr>
              <w:pStyle w:val="ListParagraph"/>
              <w:numPr>
                <w:ilvl w:val="0"/>
                <w:numId w:val="2"/>
              </w:numPr>
              <w:spacing w:after="60"/>
            </w:pPr>
            <w:r>
              <w:t xml:space="preserve">In progress</w:t>
            </w:r>
          </w:p>
          <w:p>
            <w:pPr>
              <w:pStyle w:val="ListParagraph"/>
              <w:numPr>
                <w:ilvl w:val="0"/>
                <w:numId w:val="2"/>
              </w:numPr>
              <w:spacing w:after="60"/>
            </w:pPr>
            <w:r>
              <w:t xml:space="preserve">Queued</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Tracker link wording</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Discuss [service name]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Screen-reader label</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Example engagement: [tracker title]</w:t>
            </w:r>
          </w:p>
        </w:tc>
      </w:tr>
    </w:tbl>
    <w:p>
      <w:pPr>
        <w:spacing w:after="160"/>
      </w:pPr>
    </w:p>
    <w:p>
      <w:pPr>
        <w:pStyle w:val="Heading3"/>
      </w:pPr>
      <w:r>
        <w:t xml:space="preserve">Service 01: Equity Structuring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6706"/>
      </w:tblGrid>
      <w:tr>
        <w:trPr>
          <w:tblHeader/>
        </w:trPr>
        <w:tc>
          <w:tcPr>
            <w:tcW w:type="dxa" w:w="26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Item</w:t>
            </w:r>
          </w:p>
        </w:tc>
        <w:tc>
          <w:tcPr>
            <w:tcW w:type="dxa" w:w="6706"/>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Text on the website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Tab title</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Equity Structuring</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Tab subtitle</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Frameworks for how ownership should work</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Description</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Custom equity frameworks designed around your industry and ownership. Whether it’s an early dilutive investment or a late-stage leveraged buyout structure, we align your equity distribution strategy with institutional standards.</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What’s included</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pStyle w:val="ListParagraph"/>
              <w:numPr>
                <w:ilvl w:val="0"/>
                <w:numId w:val="2"/>
              </w:numPr>
              <w:spacing w:after="60"/>
            </w:pPr>
            <w:r>
              <w:t xml:space="preserve">Cap-table audit and reconciliation</w:t>
            </w:r>
          </w:p>
          <w:p>
            <w:pPr>
              <w:pStyle w:val="ListParagraph"/>
              <w:numPr>
                <w:ilvl w:val="0"/>
                <w:numId w:val="2"/>
              </w:numPr>
              <w:spacing w:after="60"/>
            </w:pPr>
            <w:r>
              <w:t xml:space="preserve">Pre- and post-money dilution scenarios</w:t>
            </w:r>
          </w:p>
          <w:p>
            <w:pPr>
              <w:pStyle w:val="ListParagraph"/>
              <w:numPr>
                <w:ilvl w:val="0"/>
                <w:numId w:val="2"/>
              </w:numPr>
              <w:spacing w:after="60"/>
            </w:pPr>
            <w:r>
              <w:t xml:space="preserve">Share classes and instruments: equity, CCPS, CCDs</w:t>
            </w:r>
          </w:p>
          <w:p>
            <w:pPr>
              <w:pStyle w:val="ListParagraph"/>
              <w:numPr>
                <w:ilvl w:val="0"/>
                <w:numId w:val="2"/>
              </w:numPr>
              <w:spacing w:after="60"/>
            </w:pPr>
            <w:r>
              <w:t xml:space="preserve">ESOP pool sizing and vesting design</w:t>
            </w:r>
          </w:p>
          <w:p>
            <w:pPr>
              <w:pStyle w:val="ListParagraph"/>
              <w:numPr>
                <w:ilvl w:val="0"/>
                <w:numId w:val="2"/>
              </w:numPr>
              <w:spacing w:after="60"/>
            </w:pPr>
            <w:r>
              <w:t xml:space="preserve">Liquidation-preference and exit waterfalls</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Best for</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Founders before a round · promoters restructuring</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Engagement</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Project engagement</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Outcome</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A recommended equity structure your board can approve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Tracker title</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Structuring engagement</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Tracker subtitle</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ABC Manufacturing Pvt Ltd</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Tracker link</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Discuss equity structuring →</w:t>
            </w:r>
          </w:p>
        </w:tc>
      </w:tr>
    </w:tbl>
    <w:p>
      <w:pPr>
        <w:spacing w:after="16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6706"/>
        <w:gridCol w:w="2600"/>
      </w:tblGrid>
      <w:tr>
        <w:trPr>
          <w:tblHeader/>
        </w:trPr>
        <w:tc>
          <w:tcPr>
            <w:tcW w:type="dxa" w:w="6706"/>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Tracker step</w:t>
            </w:r>
          </w:p>
        </w:tc>
        <w:tc>
          <w:tcPr>
            <w:tcW w:type="dxa" w:w="26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Status shown</w:t>
            </w:r>
          </w:p>
        </w:tc>
      </w:tr>
      <w:tr>
        <w:trPr>
          <w:cantSplit/>
        </w:trPr>
        <w:tc>
          <w:tcPr>
            <w:tcW w:type="dxa" w:w="6706"/>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Cap-table audit</w:t>
            </w:r>
          </w:p>
        </w:tc>
        <w:tc>
          <w:tcPr>
            <w:tcW w:type="dxa" w:w="2600"/>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Done</w:t>
            </w:r>
          </w:p>
        </w:tc>
      </w:tr>
      <w:tr>
        <w:trPr>
          <w:cantSplit/>
        </w:trPr>
        <w:tc>
          <w:tcPr>
            <w:tcW w:type="dxa" w:w="6706"/>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Dilution scenarios modelled</w:t>
            </w:r>
          </w:p>
        </w:tc>
        <w:tc>
          <w:tcPr>
            <w:tcW w:type="dxa" w:w="2600"/>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Done</w:t>
            </w:r>
          </w:p>
        </w:tc>
      </w:tr>
      <w:tr>
        <w:trPr>
          <w:cantSplit/>
        </w:trPr>
        <w:tc>
          <w:tcPr>
            <w:tcW w:type="dxa" w:w="6706"/>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Instrument recommendation</w:t>
            </w:r>
          </w:p>
        </w:tc>
        <w:tc>
          <w:tcPr>
            <w:tcW w:type="dxa" w:w="2600"/>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In progress</w:t>
            </w:r>
          </w:p>
        </w:tc>
      </w:tr>
      <w:tr>
        <w:trPr>
          <w:cantSplit/>
        </w:trPr>
        <w:tc>
          <w:tcPr>
            <w:tcW w:type="dxa" w:w="6706"/>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Board presentation</w:t>
            </w:r>
          </w:p>
        </w:tc>
        <w:tc>
          <w:tcPr>
            <w:tcW w:type="dxa" w:w="2600"/>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Queued</w:t>
            </w:r>
          </w:p>
        </w:tc>
      </w:tr>
    </w:tbl>
    <w:p>
      <w:pPr>
        <w:spacing w:after="160"/>
      </w:pPr>
    </w:p>
    <w:p>
      <w:pPr>
        <w:pStyle w:val="Heading3"/>
      </w:pPr>
      <w:r>
        <w:t xml:space="preserve">Service 02: Capital Facilitation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6706"/>
      </w:tblGrid>
      <w:tr>
        <w:trPr>
          <w:tblHeader/>
        </w:trPr>
        <w:tc>
          <w:tcPr>
            <w:tcW w:type="dxa" w:w="26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Item</w:t>
            </w:r>
          </w:p>
        </w:tc>
        <w:tc>
          <w:tcPr>
            <w:tcW w:type="dxa" w:w="6706"/>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Text on the website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Tab title</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Capital Facilitation</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Tab subtitle</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Equity transformation that mobilises capital</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Description</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We facilitate the equity transformation required to mobilise working capital: preparing the company, coordinating valuation and investors, and creating transparent liquidity pathways for every stakeholder.</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What’s included</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pStyle w:val="ListParagraph"/>
              <w:numPr>
                <w:ilvl w:val="0"/>
                <w:numId w:val="2"/>
              </w:numPr>
              <w:spacing w:after="60"/>
            </w:pPr>
            <w:r>
              <w:t xml:space="preserve">Fundraise-readiness review</w:t>
            </w:r>
          </w:p>
          <w:p>
            <w:pPr>
              <w:pStyle w:val="ListParagraph"/>
              <w:numPr>
                <w:ilvl w:val="0"/>
                <w:numId w:val="2"/>
              </w:numPr>
              <w:spacing w:after="60"/>
            </w:pPr>
            <w:r>
              <w:t xml:space="preserve">Valuations by registered valuers and FEMA pricing certificates</w:t>
            </w:r>
          </w:p>
          <w:p>
            <w:pPr>
              <w:pStyle w:val="ListParagraph"/>
              <w:numPr>
                <w:ilvl w:val="0"/>
                <w:numId w:val="2"/>
              </w:numPr>
              <w:spacing w:after="60"/>
            </w:pPr>
            <w:r>
              <w:t xml:space="preserve">Investor materials and data room</w:t>
            </w:r>
          </w:p>
          <w:p>
            <w:pPr>
              <w:pStyle w:val="ListParagraph"/>
              <w:numPr>
                <w:ilvl w:val="0"/>
                <w:numId w:val="2"/>
              </w:numPr>
              <w:spacing w:after="60"/>
            </w:pPr>
            <w:r>
              <w:t xml:space="preserve">Term-sheet review with dilution impact</w:t>
            </w:r>
          </w:p>
          <w:p>
            <w:pPr>
              <w:pStyle w:val="ListParagraph"/>
              <w:numPr>
                <w:ilvl w:val="0"/>
                <w:numId w:val="2"/>
              </w:numPr>
              <w:spacing w:after="60"/>
            </w:pPr>
            <w:r>
              <w:t xml:space="preserve">Buybacks, secondaries and liquidity pathways</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Best for</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Companies raising growth or working capital</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Engagement</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Project engagement</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Outcome</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A round that closes with a clean, agreed cap table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Tracker title</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₹10 Cr growth round</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Tracker subtitle</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Series A · illustrative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Tracker link</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Discuss capital facilitation →</w:t>
            </w:r>
          </w:p>
        </w:tc>
      </w:tr>
    </w:tbl>
    <w:p>
      <w:pPr>
        <w:spacing w:after="16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6706"/>
        <w:gridCol w:w="2600"/>
      </w:tblGrid>
      <w:tr>
        <w:trPr>
          <w:tblHeader/>
        </w:trPr>
        <w:tc>
          <w:tcPr>
            <w:tcW w:type="dxa" w:w="6706"/>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Tracker step</w:t>
            </w:r>
          </w:p>
        </w:tc>
        <w:tc>
          <w:tcPr>
            <w:tcW w:type="dxa" w:w="26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Status shown</w:t>
            </w:r>
          </w:p>
        </w:tc>
      </w:tr>
      <w:tr>
        <w:trPr>
          <w:cantSplit/>
        </w:trPr>
        <w:tc>
          <w:tcPr>
            <w:tcW w:type="dxa" w:w="6706"/>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Readiness review</w:t>
            </w:r>
          </w:p>
        </w:tc>
        <w:tc>
          <w:tcPr>
            <w:tcW w:type="dxa" w:w="2600"/>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Done</w:t>
            </w:r>
          </w:p>
        </w:tc>
      </w:tr>
      <w:tr>
        <w:trPr>
          <w:cantSplit/>
        </w:trPr>
        <w:tc>
          <w:tcPr>
            <w:tcW w:type="dxa" w:w="6706"/>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Valuation report</w:t>
            </w:r>
          </w:p>
        </w:tc>
        <w:tc>
          <w:tcPr>
            <w:tcW w:type="dxa" w:w="2600"/>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Done</w:t>
            </w:r>
          </w:p>
        </w:tc>
      </w:tr>
      <w:tr>
        <w:trPr>
          <w:cantSplit/>
        </w:trPr>
        <w:tc>
          <w:tcPr>
            <w:tcW w:type="dxa" w:w="6706"/>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Data room live</w:t>
            </w:r>
          </w:p>
        </w:tc>
        <w:tc>
          <w:tcPr>
            <w:tcW w:type="dxa" w:w="2600"/>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In progress</w:t>
            </w:r>
          </w:p>
        </w:tc>
      </w:tr>
      <w:tr>
        <w:trPr>
          <w:cantSplit/>
        </w:trPr>
        <w:tc>
          <w:tcPr>
            <w:tcW w:type="dxa" w:w="6706"/>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Term sheet signed</w:t>
            </w:r>
          </w:p>
        </w:tc>
        <w:tc>
          <w:tcPr>
            <w:tcW w:type="dxa" w:w="2600"/>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Queued</w:t>
            </w:r>
          </w:p>
        </w:tc>
      </w:tr>
      <w:tr>
        <w:trPr>
          <w:cantSplit/>
        </w:trPr>
        <w:tc>
          <w:tcPr>
            <w:tcW w:type="dxa" w:w="6706"/>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Funds received</w:t>
            </w:r>
          </w:p>
        </w:tc>
        <w:tc>
          <w:tcPr>
            <w:tcW w:type="dxa" w:w="2600"/>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Queued</w:t>
            </w:r>
          </w:p>
        </w:tc>
      </w:tr>
    </w:tbl>
    <w:p>
      <w:pPr>
        <w:spacing w:after="160"/>
      </w:pPr>
    </w:p>
    <w:p>
      <w:pPr>
        <w:pStyle w:val="Heading3"/>
      </w:pPr>
      <w:r>
        <w:t xml:space="preserve">Service 03: Ownership Management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6706"/>
      </w:tblGrid>
      <w:tr>
        <w:trPr>
          <w:tblHeader/>
        </w:trPr>
        <w:tc>
          <w:tcPr>
            <w:tcW w:type="dxa" w:w="26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Item</w:t>
            </w:r>
          </w:p>
        </w:tc>
        <w:tc>
          <w:tcPr>
            <w:tcW w:type="dxa" w:w="6706"/>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Text on the website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Tab title</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Ownership Management</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Tab subtitle</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One accurate record of who owns what</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Description</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A single, reconciled source of truth for your ownership: shareholder records, ESOP administration, funding-round history and clear ownership visualisation for founders, investors and employees.</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What’s included</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pStyle w:val="ListParagraph"/>
              <w:numPr>
                <w:ilvl w:val="0"/>
                <w:numId w:val="2"/>
              </w:numPr>
              <w:spacing w:after="60"/>
            </w:pPr>
            <w:r>
              <w:t xml:space="preserve">Reconciled cap table and shareholder register</w:t>
            </w:r>
          </w:p>
          <w:p>
            <w:pPr>
              <w:pStyle w:val="ListParagraph"/>
              <w:numPr>
                <w:ilvl w:val="0"/>
                <w:numId w:val="2"/>
              </w:numPr>
              <w:spacing w:after="60"/>
            </w:pPr>
            <w:r>
              <w:t xml:space="preserve">ESOP grants, vesting and exercise administration</w:t>
            </w:r>
          </w:p>
          <w:p>
            <w:pPr>
              <w:pStyle w:val="ListParagraph"/>
              <w:numPr>
                <w:ilvl w:val="0"/>
                <w:numId w:val="2"/>
              </w:numPr>
              <w:spacing w:after="60"/>
            </w:pPr>
            <w:r>
              <w:t xml:space="preserve">Round-by-round ownership history</w:t>
            </w:r>
          </w:p>
          <w:p>
            <w:pPr>
              <w:pStyle w:val="ListParagraph"/>
              <w:numPr>
                <w:ilvl w:val="0"/>
                <w:numId w:val="2"/>
              </w:numPr>
              <w:spacing w:after="60"/>
            </w:pPr>
            <w:r>
              <w:t xml:space="preserve">Investor and stakeholder reporting</w:t>
            </w:r>
          </w:p>
          <w:p>
            <w:pPr>
              <w:pStyle w:val="ListParagraph"/>
              <w:numPr>
                <w:ilvl w:val="0"/>
                <w:numId w:val="2"/>
              </w:numPr>
              <w:spacing w:after="60"/>
            </w:pPr>
            <w:r>
              <w:t xml:space="preserve">Share dematerialisation under Rule 9B, where applicable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Best for</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Growing companies with investors or an ESOP</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Engagement</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Ongoing retainer</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Outcome</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Ownership that is accurate before anyone asks</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Tracker title</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ESOP administration</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Tracker subtitle</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FY 2026 · 10% pool</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Tracker link</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Discuss ownership management →</w:t>
            </w:r>
          </w:p>
        </w:tc>
      </w:tr>
    </w:tbl>
    <w:p>
      <w:pPr>
        <w:spacing w:after="16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6706"/>
        <w:gridCol w:w="2600"/>
      </w:tblGrid>
      <w:tr>
        <w:trPr>
          <w:tblHeader/>
        </w:trPr>
        <w:tc>
          <w:tcPr>
            <w:tcW w:type="dxa" w:w="6706"/>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Tracker step</w:t>
            </w:r>
          </w:p>
        </w:tc>
        <w:tc>
          <w:tcPr>
            <w:tcW w:type="dxa" w:w="26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Status shown</w:t>
            </w:r>
          </w:p>
        </w:tc>
      </w:tr>
      <w:tr>
        <w:trPr>
          <w:cantSplit/>
        </w:trPr>
        <w:tc>
          <w:tcPr>
            <w:tcW w:type="dxa" w:w="6706"/>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Pool approved by shareholders</w:t>
            </w:r>
          </w:p>
        </w:tc>
        <w:tc>
          <w:tcPr>
            <w:tcW w:type="dxa" w:w="2600"/>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Done</w:t>
            </w:r>
          </w:p>
        </w:tc>
      </w:tr>
      <w:tr>
        <w:trPr>
          <w:cantSplit/>
        </w:trPr>
        <w:tc>
          <w:tcPr>
            <w:tcW w:type="dxa" w:w="6706"/>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24 grant letters issued</w:t>
            </w:r>
          </w:p>
        </w:tc>
        <w:tc>
          <w:tcPr>
            <w:tcW w:type="dxa" w:w="2600"/>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Done</w:t>
            </w:r>
          </w:p>
        </w:tc>
      </w:tr>
      <w:tr>
        <w:trPr>
          <w:cantSplit/>
        </w:trPr>
        <w:tc>
          <w:tcPr>
            <w:tcW w:type="dxa" w:w="6706"/>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Vesting schedules synced</w:t>
            </w:r>
          </w:p>
        </w:tc>
        <w:tc>
          <w:tcPr>
            <w:tcW w:type="dxa" w:w="2600"/>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In progress</w:t>
            </w:r>
          </w:p>
        </w:tc>
      </w:tr>
      <w:tr>
        <w:trPr>
          <w:cantSplit/>
        </w:trPr>
        <w:tc>
          <w:tcPr>
            <w:tcW w:type="dxa" w:w="6706"/>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Quarterly investor report</w:t>
            </w:r>
          </w:p>
        </w:tc>
        <w:tc>
          <w:tcPr>
            <w:tcW w:type="dxa" w:w="2600"/>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Queued</w:t>
            </w:r>
          </w:p>
        </w:tc>
      </w:tr>
    </w:tbl>
    <w:p>
      <w:pPr>
        <w:spacing w:after="160"/>
      </w:pPr>
    </w:p>
    <w:p>
      <w:pPr>
        <w:pStyle w:val="Heading3"/>
      </w:pPr>
      <w:r>
        <w:t xml:space="preserve">Service 04: Transaction Support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6706"/>
      </w:tblGrid>
      <w:tr>
        <w:trPr>
          <w:tblHeader/>
        </w:trPr>
        <w:tc>
          <w:tcPr>
            <w:tcW w:type="dxa" w:w="26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Item</w:t>
            </w:r>
          </w:p>
        </w:tc>
        <w:tc>
          <w:tcPr>
            <w:tcW w:type="dxa" w:w="6706"/>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Text on the website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Tab title</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Transaction Support</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Tab subtitle</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Hands-on guidance through to closing</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Description</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Equity specialists who assist at every stage. We coordinate your CA, CS and legal counsel so documentation, approvals and filings stay aligned with local regulation, and the cap table is updated the day the deal closes.</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What’s included</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pStyle w:val="ListParagraph"/>
              <w:numPr>
                <w:ilvl w:val="0"/>
                <w:numId w:val="2"/>
              </w:numPr>
              <w:spacing w:after="60"/>
            </w:pPr>
            <w:r>
              <w:t xml:space="preserve">SHA / SSA coordination with legal counsel</w:t>
            </w:r>
          </w:p>
          <w:p>
            <w:pPr>
              <w:pStyle w:val="ListParagraph"/>
              <w:numPr>
                <w:ilvl w:val="0"/>
                <w:numId w:val="2"/>
              </w:numPr>
              <w:spacing w:after="60"/>
            </w:pPr>
            <w:r>
              <w:t xml:space="preserve">Board and shareholder resolutions</w:t>
            </w:r>
          </w:p>
          <w:p>
            <w:pPr>
              <w:pStyle w:val="ListParagraph"/>
              <w:numPr>
                <w:ilvl w:val="0"/>
                <w:numId w:val="2"/>
              </w:numPr>
              <w:spacing w:after="60"/>
            </w:pPr>
            <w:r>
              <w:t xml:space="preserve">Allotment filings (PAS-3, MGT-14) with your CS</w:t>
            </w:r>
          </w:p>
          <w:p>
            <w:pPr>
              <w:pStyle w:val="ListParagraph"/>
              <w:numPr>
                <w:ilvl w:val="0"/>
                <w:numId w:val="2"/>
              </w:numPr>
              <w:spacing w:after="60"/>
            </w:pPr>
            <w:r>
              <w:t xml:space="preserve">FC-GPR reporting for foreign investors</w:t>
            </w:r>
          </w:p>
          <w:p>
            <w:pPr>
              <w:pStyle w:val="ListParagraph"/>
              <w:numPr>
                <w:ilvl w:val="0"/>
                <w:numId w:val="2"/>
              </w:numPr>
              <w:spacing w:after="60"/>
            </w:pPr>
            <w:r>
              <w:t xml:space="preserve">Post-closing cap-table update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Best for</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Any company mid-transaction</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Engagement</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Per transaction</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Outcome</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A documented, compliant close with no loose ends</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Tracker title</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Closing checklist</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Tracker subtitle</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Allotment to new investor</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Tracker link</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Discuss transaction support →</w:t>
            </w:r>
          </w:p>
        </w:tc>
      </w:tr>
    </w:tbl>
    <w:p>
      <w:pPr>
        <w:spacing w:after="16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6706"/>
        <w:gridCol w:w="2600"/>
      </w:tblGrid>
      <w:tr>
        <w:trPr>
          <w:tblHeader/>
        </w:trPr>
        <w:tc>
          <w:tcPr>
            <w:tcW w:type="dxa" w:w="6706"/>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Tracker step</w:t>
            </w:r>
          </w:p>
        </w:tc>
        <w:tc>
          <w:tcPr>
            <w:tcW w:type="dxa" w:w="26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Status shown</w:t>
            </w:r>
          </w:p>
        </w:tc>
      </w:tr>
      <w:tr>
        <w:trPr>
          <w:cantSplit/>
        </w:trPr>
        <w:tc>
          <w:tcPr>
            <w:tcW w:type="dxa" w:w="6706"/>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Board resolution passed</w:t>
            </w:r>
          </w:p>
        </w:tc>
        <w:tc>
          <w:tcPr>
            <w:tcW w:type="dxa" w:w="2600"/>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Done</w:t>
            </w:r>
          </w:p>
        </w:tc>
      </w:tr>
      <w:tr>
        <w:trPr>
          <w:cantSplit/>
        </w:trPr>
        <w:tc>
          <w:tcPr>
            <w:tcW w:type="dxa" w:w="6706"/>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SHA executed</w:t>
            </w:r>
          </w:p>
        </w:tc>
        <w:tc>
          <w:tcPr>
            <w:tcW w:type="dxa" w:w="2600"/>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Done</w:t>
            </w:r>
          </w:p>
        </w:tc>
      </w:tr>
      <w:tr>
        <w:trPr>
          <w:cantSplit/>
        </w:trPr>
        <w:tc>
          <w:tcPr>
            <w:tcW w:type="dxa" w:w="6706"/>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Allotment &amp; PAS-3 filing</w:t>
            </w:r>
          </w:p>
        </w:tc>
        <w:tc>
          <w:tcPr>
            <w:tcW w:type="dxa" w:w="2600"/>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In progress</w:t>
            </w:r>
          </w:p>
        </w:tc>
      </w:tr>
      <w:tr>
        <w:trPr>
          <w:cantSplit/>
        </w:trPr>
        <w:tc>
          <w:tcPr>
            <w:tcW w:type="dxa" w:w="6706"/>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FC-GPR reporting</w:t>
            </w:r>
          </w:p>
        </w:tc>
        <w:tc>
          <w:tcPr>
            <w:tcW w:type="dxa" w:w="2600"/>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Queued</w:t>
            </w:r>
          </w:p>
        </w:tc>
      </w:tr>
      <w:tr>
        <w:trPr>
          <w:cantSplit/>
        </w:trPr>
        <w:tc>
          <w:tcPr>
            <w:tcW w:type="dxa" w:w="6706"/>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Cap table updated</w:t>
            </w:r>
          </w:p>
        </w:tc>
        <w:tc>
          <w:tcPr>
            <w:tcW w:type="dxa" w:w="2600"/>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Queued</w:t>
            </w:r>
          </w:p>
        </w:tc>
      </w:tr>
    </w:tbl>
    <w:p>
      <w:pPr>
        <w:spacing w:after="160"/>
      </w:pPr>
    </w:p>
    <w:p>
      <w:pPr>
        <w:pStyle w:val="Heading2"/>
      </w:pPr>
      <w:bookmarkStart w:name="_Toc10" w:id="10"/>
      <w:r>
        <w:t xml:space="preserve">4. How an engagement works</w:t>
      </w:r>
      <w:bookmarkEnd w:id="10"/>
    </w:p>
    <w:p>
      <w:pPr>
        <w:pBdr>
          <w:left w:val="single" w:color="C6A15B" w:sz="18" w:space="8"/>
        </w:pBdr>
        <w:shd w:fill="F6F4EE" w:color="auto" w:val="clear"/>
        <w:spacing w:after="160"/>
        <w:ind w:left="120"/>
      </w:pPr>
      <w:r>
        <w:rPr>
          <w:b/>
          <w:bCs/>
          <w:color w:val="0B7A5A"/>
          <w:sz w:val="19"/>
          <w:szCs w:val="19"/>
        </w:rPr>
        <w:t xml:space="preserve">Where it appears: </w:t>
      </w:r>
      <w:r>
        <w:rPr>
          <w:color w:val="5E6663"/>
          <w:sz w:val="19"/>
          <w:szCs w:val="19"/>
        </w:rPr>
        <w:t xml:space="preserve">Light green section: heading on the left and four numbered steps on the right, joined by a line that fills as the visitor scrolls.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6706"/>
      </w:tblGrid>
      <w:tr>
        <w:trPr>
          <w:tblHeader/>
        </w:trPr>
        <w:tc>
          <w:tcPr>
            <w:tcW w:type="dxa" w:w="26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Item</w:t>
            </w:r>
          </w:p>
        </w:tc>
        <w:tc>
          <w:tcPr>
            <w:tcW w:type="dxa" w:w="6706"/>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Text on the website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Eyebrow</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How an engagement works</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Headline (3 lines)</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pStyle w:val="ListParagraph"/>
              <w:numPr>
                <w:ilvl w:val="0"/>
                <w:numId w:val="2"/>
              </w:numPr>
              <w:spacing w:after="60"/>
            </w:pPr>
            <w:r>
              <w:t xml:space="preserve">Structure.</w:t>
            </w:r>
          </w:p>
          <w:p>
            <w:pPr>
              <w:pStyle w:val="ListParagraph"/>
              <w:numPr>
                <w:ilvl w:val="0"/>
                <w:numId w:val="2"/>
              </w:numPr>
              <w:spacing w:after="60"/>
            </w:pPr>
            <w:r>
              <w:rPr>
                <w:rFonts w:ascii="Georgia" w:cs="Georgia" w:eastAsia="Georgia" w:hAnsi="Georgia"/>
                <w:i/>
                <w:iCs/>
                <w:color w:val="0B7A5A"/>
              </w:rPr>
              <w:t xml:space="preserve">Facilitate.</w:t>
            </w:r>
          </w:p>
          <w:p>
            <w:pPr>
              <w:pStyle w:val="ListParagraph"/>
              <w:numPr>
                <w:ilvl w:val="0"/>
                <w:numId w:val="2"/>
              </w:numPr>
              <w:spacing w:after="60"/>
            </w:pPr>
            <w:r>
              <w:t xml:space="preserve">Grow.</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Introduction</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One team owns the process end to end, so founders stay focused on the business, not the paperwork.</w:t>
            </w:r>
          </w:p>
        </w:tc>
      </w:tr>
    </w:tbl>
    <w:p>
      <w:pPr>
        <w:spacing w:after="16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4206"/>
        <w:gridCol w:w="2200"/>
      </w:tblGrid>
      <w:tr>
        <w:trPr>
          <w:tblHeader/>
        </w:trPr>
        <w:tc>
          <w:tcPr>
            <w:tcW w:type="dxa" w:w="12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Step</w:t>
            </w:r>
          </w:p>
        </w:tc>
        <w:tc>
          <w:tcPr>
            <w:tcW w:type="dxa" w:w="17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Title</w:t>
            </w:r>
          </w:p>
        </w:tc>
        <w:tc>
          <w:tcPr>
            <w:tcW w:type="dxa" w:w="4206"/>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Description</w:t>
            </w:r>
          </w:p>
        </w:tc>
        <w:tc>
          <w:tcPr>
            <w:tcW w:type="dxa" w:w="22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Outcome</w:t>
            </w:r>
          </w:p>
        </w:tc>
      </w:tr>
      <w:tr>
        <w:trPr>
          <w:cantSplit/>
        </w:trPr>
        <w:tc>
          <w:tcPr>
            <w:tcW w:type="dxa" w:w="12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Step 01</w:t>
            </w:r>
          </w:p>
        </w:tc>
        <w:tc>
          <w:tcPr>
            <w:tcW w:type="dxa" w:w="1700"/>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Diagnose</w:t>
            </w:r>
          </w:p>
        </w:tc>
        <w:tc>
          <w:tcPr>
            <w:tcW w:type="dxa" w:w="42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A 15-minute introductory session, then a review of your current ownership, instruments, agreements and capital requirement.</w:t>
            </w:r>
          </w:p>
        </w:tc>
        <w:tc>
          <w:tcPr>
            <w:tcW w:type="dxa" w:w="2200"/>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Ownership &amp; capital diagnostic</w:t>
            </w:r>
          </w:p>
        </w:tc>
      </w:tr>
      <w:tr>
        <w:trPr>
          <w:cantSplit/>
        </w:trPr>
        <w:tc>
          <w:tcPr>
            <w:tcW w:type="dxa" w:w="12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Step 02</w:t>
            </w:r>
          </w:p>
        </w:tc>
        <w:tc>
          <w:tcPr>
            <w:tcW w:type="dxa" w:w="1700"/>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Structure</w:t>
            </w:r>
          </w:p>
        </w:tc>
        <w:tc>
          <w:tcPr>
            <w:tcW w:type="dxa" w:w="42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A custom equity framework: valuation scenarios, dilution modelling, share classes and instruments aligned to institutional standards.</w:t>
            </w:r>
          </w:p>
        </w:tc>
        <w:tc>
          <w:tcPr>
            <w:tcW w:type="dxa" w:w="2200"/>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Recommended equity structure</w:t>
            </w:r>
          </w:p>
        </w:tc>
      </w:tr>
      <w:tr>
        <w:trPr>
          <w:cantSplit/>
        </w:trPr>
        <w:tc>
          <w:tcPr>
            <w:tcW w:type="dxa" w:w="12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Step 03</w:t>
            </w:r>
          </w:p>
        </w:tc>
        <w:tc>
          <w:tcPr>
            <w:tcW w:type="dxa" w:w="1700"/>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Facilitate</w:t>
            </w:r>
          </w:p>
        </w:tc>
        <w:tc>
          <w:tcPr>
            <w:tcW w:type="dxa" w:w="42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We coordinate your CA, CS, legal counsel, registered valuers and investors through documentation, approvals and filings.</w:t>
            </w:r>
          </w:p>
        </w:tc>
        <w:tc>
          <w:tcPr>
            <w:tcW w:type="dxa" w:w="2200"/>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A closed, documented transaction</w:t>
            </w:r>
          </w:p>
        </w:tc>
      </w:tr>
      <w:tr>
        <w:trPr>
          <w:cantSplit/>
        </w:trPr>
        <w:tc>
          <w:tcPr>
            <w:tcW w:type="dxa" w:w="12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Step 04</w:t>
            </w:r>
          </w:p>
        </w:tc>
        <w:tc>
          <w:tcPr>
            <w:tcW w:type="dxa" w:w="1700"/>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Manage</w:t>
            </w:r>
          </w:p>
        </w:tc>
        <w:tc>
          <w:tcPr>
            <w:tcW w:type="dxa" w:w="42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Ongoing cap-table maintenance, ESOP administration and clear ownership reporting for every stakeholder.</w:t>
            </w:r>
          </w:p>
        </w:tc>
        <w:tc>
          <w:tcPr>
            <w:tcW w:type="dxa" w:w="2200"/>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One accurate source of truth</w:t>
            </w:r>
          </w:p>
        </w:tc>
      </w:tr>
    </w:tbl>
    <w:p>
      <w:pPr>
        <w:spacing w:after="160"/>
      </w:pPr>
    </w:p>
    <w:p>
      <w:pPr>
        <w:pStyle w:val="Heading2"/>
      </w:pPr>
      <w:bookmarkStart w:name="_Toc11" w:id="11"/>
      <w:r>
        <w:t xml:space="preserve">5. Industries</w:t>
      </w:r>
      <w:bookmarkEnd w:id="11"/>
    </w:p>
    <w:p>
      <w:pPr>
        <w:pBdr>
          <w:left w:val="single" w:color="C6A15B" w:sz="18" w:space="8"/>
        </w:pBdr>
        <w:shd w:fill="F6F4EE" w:color="auto" w:val="clear"/>
        <w:spacing w:after="160"/>
        <w:ind w:left="120"/>
      </w:pPr>
      <w:r>
        <w:rPr>
          <w:b/>
          <w:bCs/>
          <w:color w:val="0B7A5A"/>
          <w:sz w:val="19"/>
          <w:szCs w:val="19"/>
        </w:rPr>
        <w:t xml:space="preserve">Where it appears: </w:t>
      </w:r>
      <w:r>
        <w:rPr>
          <w:color w:val="5E6663"/>
          <w:sz w:val="19"/>
          <w:szCs w:val="19"/>
        </w:rPr>
        <w:t xml:space="preserve">A rotating circle of industries around a central “UEMS” badge. Choosing an industry updates the panel beside it.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6706"/>
      </w:tblGrid>
      <w:tr>
        <w:trPr>
          <w:tblHeader/>
        </w:trPr>
        <w:tc>
          <w:tcPr>
            <w:tcW w:type="dxa" w:w="26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Item</w:t>
            </w:r>
          </w:p>
        </w:tc>
        <w:tc>
          <w:tcPr>
            <w:tcW w:type="dxa" w:w="6706"/>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Text on the website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Eyebrow</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Industry-agnostic by design</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Headline</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pStyle w:val="ListParagraph"/>
              <w:numPr>
                <w:ilvl w:val="0"/>
                <w:numId w:val="2"/>
              </w:numPr>
              <w:spacing w:after="60"/>
            </w:pPr>
            <w:r>
              <w:t xml:space="preserve">Simplified for every</w:t>
            </w:r>
          </w:p>
          <w:p>
            <w:pPr>
              <w:pStyle w:val="ListParagraph"/>
              <w:numPr>
                <w:ilvl w:val="0"/>
                <w:numId w:val="2"/>
              </w:numPr>
              <w:spacing w:after="60"/>
            </w:pPr>
            <w:r>
              <w:rPr>
                <w:rFonts w:ascii="Georgia" w:cs="Georgia" w:eastAsia="Georgia" w:hAnsi="Georgia"/>
                <w:i/>
                <w:iCs/>
                <w:color w:val="0B7A5A"/>
              </w:rPr>
              <w:t xml:space="preserve">business vertical.</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Introduction</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Whatever you build, equity structure is the backbone of your ownership governance. Choose a vertical.</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Centre badge</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UEMS</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Screen-reader label</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Business verticals</w:t>
            </w:r>
          </w:p>
        </w:tc>
      </w:tr>
    </w:tbl>
    <w:p>
      <w:pPr>
        <w:spacing w:after="16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06"/>
      </w:tblGrid>
      <w:tr>
        <w:trPr>
          <w:tblHeader/>
        </w:trPr>
        <w:tc>
          <w:tcPr>
            <w:tcW w:type="dxa" w:w="23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Industry</w:t>
            </w:r>
          </w:p>
        </w:tc>
        <w:tc>
          <w:tcPr>
            <w:tcW w:type="dxa" w:w="35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Short description</w:t>
            </w:r>
          </w:p>
        </w:tc>
        <w:tc>
          <w:tcPr>
            <w:tcW w:type="dxa" w:w="3506"/>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Focus areas</w:t>
            </w:r>
          </w:p>
        </w:tc>
      </w:tr>
      <w:tr>
        <w:trPr>
          <w:cantSplit/>
        </w:trPr>
        <w:tc>
          <w:tcPr>
            <w:tcW w:type="dxa" w:w="23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Manufacturing</w:t>
            </w:r>
          </w:p>
        </w:tc>
        <w:tc>
          <w:tcPr>
            <w:tcW w:type="dxa" w:w="3500"/>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Asset-heavy enterprises funding plants, capacity and supply chains.</w:t>
            </w:r>
          </w:p>
        </w:tc>
        <w:tc>
          <w:tcPr>
            <w:tcW w:type="dxa" w:w="35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pStyle w:val="ListParagraph"/>
              <w:numPr>
                <w:ilvl w:val="0"/>
                <w:numId w:val="2"/>
              </w:numPr>
              <w:spacing w:after="60"/>
            </w:pPr>
            <w:r>
              <w:t xml:space="preserve">Plant expansion</w:t>
            </w:r>
          </w:p>
          <w:p>
            <w:pPr>
              <w:pStyle w:val="ListParagraph"/>
              <w:numPr>
                <w:ilvl w:val="0"/>
                <w:numId w:val="2"/>
              </w:numPr>
              <w:spacing w:after="60"/>
            </w:pPr>
            <w:r>
              <w:t xml:space="preserve">Working capital</w:t>
            </w:r>
          </w:p>
          <w:p>
            <w:pPr>
              <w:pStyle w:val="ListParagraph"/>
              <w:numPr>
                <w:ilvl w:val="0"/>
                <w:numId w:val="2"/>
              </w:numPr>
              <w:spacing w:after="60"/>
            </w:pPr>
            <w:r>
              <w:t xml:space="preserve">Strategic investors</w:t>
            </w:r>
          </w:p>
          <w:p>
            <w:pPr>
              <w:pStyle w:val="ListParagraph"/>
              <w:numPr>
                <w:ilvl w:val="0"/>
                <w:numId w:val="2"/>
              </w:numPr>
              <w:spacing w:after="60"/>
            </w:pPr>
            <w:r>
              <w:t xml:space="preserve">Ownership restructuring</w:t>
            </w:r>
          </w:p>
        </w:tc>
      </w:tr>
      <w:tr>
        <w:trPr>
          <w:cantSplit/>
        </w:trPr>
        <w:tc>
          <w:tcPr>
            <w:tcW w:type="dxa" w:w="23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SaaS</w:t>
            </w:r>
          </w:p>
        </w:tc>
        <w:tc>
          <w:tcPr>
            <w:tcW w:type="dxa" w:w="3500"/>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High-growth software companies scaling through successive rounds.</w:t>
            </w:r>
          </w:p>
        </w:tc>
        <w:tc>
          <w:tcPr>
            <w:tcW w:type="dxa" w:w="35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pStyle w:val="ListParagraph"/>
              <w:numPr>
                <w:ilvl w:val="0"/>
                <w:numId w:val="2"/>
              </w:numPr>
              <w:spacing w:after="60"/>
            </w:pPr>
            <w:r>
              <w:t xml:space="preserve">Founder equity</w:t>
            </w:r>
          </w:p>
          <w:p>
            <w:pPr>
              <w:pStyle w:val="ListParagraph"/>
              <w:numPr>
                <w:ilvl w:val="0"/>
                <w:numId w:val="2"/>
              </w:numPr>
              <w:spacing w:after="60"/>
            </w:pPr>
            <w:r>
              <w:t xml:space="preserve">ESOP pools</w:t>
            </w:r>
          </w:p>
          <w:p>
            <w:pPr>
              <w:pStyle w:val="ListParagraph"/>
              <w:numPr>
                <w:ilvl w:val="0"/>
                <w:numId w:val="2"/>
              </w:numPr>
              <w:spacing w:after="60"/>
            </w:pPr>
            <w:r>
              <w:t xml:space="preserve">Seed / Series funding</w:t>
            </w:r>
          </w:p>
          <w:p>
            <w:pPr>
              <w:pStyle w:val="ListParagraph"/>
              <w:numPr>
                <w:ilvl w:val="0"/>
                <w:numId w:val="2"/>
              </w:numPr>
              <w:spacing w:after="60"/>
            </w:pPr>
            <w:r>
              <w:t xml:space="preserve">Investor management</w:t>
            </w:r>
          </w:p>
        </w:tc>
      </w:tr>
      <w:tr>
        <w:trPr>
          <w:cantSplit/>
        </w:trPr>
        <w:tc>
          <w:tcPr>
            <w:tcW w:type="dxa" w:w="23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Healthcare</w:t>
            </w:r>
          </w:p>
        </w:tc>
        <w:tc>
          <w:tcPr>
            <w:tcW w:type="dxa" w:w="3500"/>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Multi-entity networks balancing clinicians, promoters and investors.</w:t>
            </w:r>
          </w:p>
        </w:tc>
        <w:tc>
          <w:tcPr>
            <w:tcW w:type="dxa" w:w="35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pStyle w:val="ListParagraph"/>
              <w:numPr>
                <w:ilvl w:val="0"/>
                <w:numId w:val="2"/>
              </w:numPr>
              <w:spacing w:after="60"/>
            </w:pPr>
            <w:r>
              <w:t xml:space="preserve">Multi-entity ownership</w:t>
            </w:r>
          </w:p>
          <w:p>
            <w:pPr>
              <w:pStyle w:val="ListParagraph"/>
              <w:numPr>
                <w:ilvl w:val="0"/>
                <w:numId w:val="2"/>
              </w:numPr>
              <w:spacing w:after="60"/>
            </w:pPr>
            <w:r>
              <w:t xml:space="preserve">Strategic investment</w:t>
            </w:r>
          </w:p>
          <w:p>
            <w:pPr>
              <w:pStyle w:val="ListParagraph"/>
              <w:numPr>
                <w:ilvl w:val="0"/>
                <w:numId w:val="2"/>
              </w:numPr>
              <w:spacing w:after="60"/>
            </w:pPr>
            <w:r>
              <w:t xml:space="preserve">Expansion capital</w:t>
            </w:r>
          </w:p>
          <w:p>
            <w:pPr>
              <w:pStyle w:val="ListParagraph"/>
              <w:numPr>
                <w:ilvl w:val="0"/>
                <w:numId w:val="2"/>
              </w:numPr>
              <w:spacing w:after="60"/>
            </w:pPr>
            <w:r>
              <w:t xml:space="preserve">Governance</w:t>
            </w:r>
          </w:p>
        </w:tc>
      </w:tr>
      <w:tr>
        <w:trPr>
          <w:cantSplit/>
        </w:trPr>
        <w:tc>
          <w:tcPr>
            <w:tcW w:type="dxa" w:w="23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Retail &amp; Franchise</w:t>
            </w:r>
          </w:p>
        </w:tc>
        <w:tc>
          <w:tcPr>
            <w:tcW w:type="dxa" w:w="3500"/>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Chains structuring ownership across founders, partners and outlets.</w:t>
            </w:r>
          </w:p>
        </w:tc>
        <w:tc>
          <w:tcPr>
            <w:tcW w:type="dxa" w:w="35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pStyle w:val="ListParagraph"/>
              <w:numPr>
                <w:ilvl w:val="0"/>
                <w:numId w:val="2"/>
              </w:numPr>
              <w:spacing w:after="60"/>
            </w:pPr>
            <w:r>
              <w:t xml:space="preserve">Franchise structures</w:t>
            </w:r>
          </w:p>
          <w:p>
            <w:pPr>
              <w:pStyle w:val="ListParagraph"/>
              <w:numPr>
                <w:ilvl w:val="0"/>
                <w:numId w:val="2"/>
              </w:numPr>
              <w:spacing w:after="60"/>
            </w:pPr>
            <w:r>
              <w:t xml:space="preserve">Partner equity</w:t>
            </w:r>
          </w:p>
          <w:p>
            <w:pPr>
              <w:pStyle w:val="ListParagraph"/>
              <w:numPr>
                <w:ilvl w:val="0"/>
                <w:numId w:val="2"/>
              </w:numPr>
              <w:spacing w:after="60"/>
            </w:pPr>
            <w:r>
              <w:t xml:space="preserve">Growth capital</w:t>
            </w:r>
          </w:p>
          <w:p>
            <w:pPr>
              <w:pStyle w:val="ListParagraph"/>
              <w:numPr>
                <w:ilvl w:val="0"/>
                <w:numId w:val="2"/>
              </w:numPr>
              <w:spacing w:after="60"/>
            </w:pPr>
            <w:r>
              <w:t xml:space="preserve">Entity consolidation</w:t>
            </w:r>
          </w:p>
        </w:tc>
      </w:tr>
      <w:tr>
        <w:trPr>
          <w:cantSplit/>
        </w:trPr>
        <w:tc>
          <w:tcPr>
            <w:tcW w:type="dxa" w:w="23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Professional Services</w:t>
            </w:r>
          </w:p>
        </w:tc>
        <w:tc>
          <w:tcPr>
            <w:tcW w:type="dxa" w:w="3500"/>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Partnership-led firms planning succession and partner economics.</w:t>
            </w:r>
          </w:p>
        </w:tc>
        <w:tc>
          <w:tcPr>
            <w:tcW w:type="dxa" w:w="35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pStyle w:val="ListParagraph"/>
              <w:numPr>
                <w:ilvl w:val="0"/>
                <w:numId w:val="2"/>
              </w:numPr>
              <w:spacing w:after="60"/>
            </w:pPr>
            <w:r>
              <w:t xml:space="preserve">Partner equity</w:t>
            </w:r>
          </w:p>
          <w:p>
            <w:pPr>
              <w:pStyle w:val="ListParagraph"/>
              <w:numPr>
                <w:ilvl w:val="0"/>
                <w:numId w:val="2"/>
              </w:numPr>
              <w:spacing w:after="60"/>
            </w:pPr>
            <w:r>
              <w:t xml:space="preserve">Succession planning</w:t>
            </w:r>
          </w:p>
          <w:p>
            <w:pPr>
              <w:pStyle w:val="ListParagraph"/>
              <w:numPr>
                <w:ilvl w:val="0"/>
                <w:numId w:val="2"/>
              </w:numPr>
              <w:spacing w:after="60"/>
            </w:pPr>
            <w:r>
              <w:t xml:space="preserve">Buy-in / buy-out</w:t>
            </w:r>
          </w:p>
          <w:p>
            <w:pPr>
              <w:pStyle w:val="ListParagraph"/>
              <w:numPr>
                <w:ilvl w:val="0"/>
                <w:numId w:val="2"/>
              </w:numPr>
              <w:spacing w:after="60"/>
            </w:pPr>
            <w:r>
              <w:t xml:space="preserve">Profit-share alignment</w:t>
            </w:r>
          </w:p>
        </w:tc>
      </w:tr>
    </w:tbl>
    <w:p>
      <w:pPr>
        <w:spacing w:after="160"/>
      </w:pPr>
    </w:p>
    <w:p>
      <w:pPr>
        <w:pStyle w:val="Heading2"/>
      </w:pPr>
      <w:bookmarkStart w:name="_Toc12" w:id="12"/>
      <w:r>
        <w:t xml:space="preserve">6. From chaos to clarity</w:t>
      </w:r>
      <w:bookmarkEnd w:id="12"/>
    </w:p>
    <w:p>
      <w:pPr>
        <w:pBdr>
          <w:left w:val="single" w:color="C6A15B" w:sz="18" w:space="8"/>
        </w:pBdr>
        <w:shd w:fill="F6F4EE" w:color="auto" w:val="clear"/>
        <w:spacing w:after="160"/>
        <w:ind w:left="120"/>
      </w:pPr>
      <w:r>
        <w:rPr>
          <w:b/>
          <w:bCs/>
          <w:color w:val="0B7A5A"/>
          <w:sz w:val="19"/>
          <w:szCs w:val="19"/>
        </w:rPr>
        <w:t xml:space="preserve">Where it appears: </w:t>
      </w:r>
      <w:r>
        <w:rPr>
          <w:color w:val="5E6663"/>
          <w:sz w:val="19"/>
          <w:szCs w:val="19"/>
        </w:rPr>
        <w:t xml:space="preserve">Dark full-screen section. Scattered, messy notes float around a headline; as the visitor scrolls they dissolve into one clean ownership chart.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6706"/>
      </w:tblGrid>
      <w:tr>
        <w:trPr>
          <w:tblHeader/>
        </w:trPr>
        <w:tc>
          <w:tcPr>
            <w:tcW w:type="dxa" w:w="26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Item</w:t>
            </w:r>
          </w:p>
        </w:tc>
        <w:tc>
          <w:tcPr>
            <w:tcW w:type="dxa" w:w="6706"/>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Text on the website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First message</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Equity shouldn’t </w:t>
            </w:r>
            <w:r>
              <w:rPr>
                <w:rFonts w:ascii="Georgia" w:cs="Georgia" w:eastAsia="Georgia" w:hAnsi="Georgia"/>
                <w:i/>
                <w:iCs/>
                <w:color w:val="0B7A5A"/>
              </w:rPr>
              <w:t xml:space="preserve">look like this.</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Floating notes</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pStyle w:val="ListParagraph"/>
              <w:numPr>
                <w:ilvl w:val="0"/>
                <w:numId w:val="2"/>
              </w:numPr>
              <w:spacing w:after="60"/>
            </w:pPr>
            <w:r>
              <w:t xml:space="preserve">Founder A</w:t>
            </w:r>
          </w:p>
          <w:p>
            <w:pPr>
              <w:pStyle w:val="ListParagraph"/>
              <w:numPr>
                <w:ilvl w:val="0"/>
                <w:numId w:val="2"/>
              </w:numPr>
              <w:spacing w:after="60"/>
            </w:pPr>
            <w:r>
              <w:t xml:space="preserve">Series A???</w:t>
            </w:r>
          </w:p>
          <w:p>
            <w:pPr>
              <w:pStyle w:val="ListParagraph"/>
              <w:numPr>
                <w:ilvl w:val="0"/>
                <w:numId w:val="2"/>
              </w:numPr>
              <w:spacing w:after="60"/>
            </w:pPr>
            <w:r>
              <w:t xml:space="preserve">13.2%</w:t>
            </w:r>
          </w:p>
          <w:p>
            <w:pPr>
              <w:pStyle w:val="ListParagraph"/>
              <w:numPr>
                <w:ilvl w:val="0"/>
                <w:numId w:val="2"/>
              </w:numPr>
              <w:spacing w:after="60"/>
            </w:pPr>
            <w:r>
              <w:t xml:space="preserve">Investor B</w:t>
            </w:r>
          </w:p>
          <w:p>
            <w:pPr>
              <w:pStyle w:val="ListParagraph"/>
              <w:numPr>
                <w:ilvl w:val="0"/>
                <w:numId w:val="2"/>
              </w:numPr>
              <w:spacing w:after="60"/>
            </w:pPr>
            <w:r>
              <w:t xml:space="preserve">ESOP??</w:t>
            </w:r>
          </w:p>
          <w:p>
            <w:pPr>
              <w:pStyle w:val="ListParagraph"/>
              <w:numPr>
                <w:ilvl w:val="0"/>
                <w:numId w:val="2"/>
              </w:numPr>
              <w:spacing w:after="60"/>
            </w:pPr>
            <w:r>
              <w:t xml:space="preserve">23%</w:t>
            </w:r>
          </w:p>
          <w:p>
            <w:pPr>
              <w:pStyle w:val="ListParagraph"/>
              <w:numPr>
                <w:ilvl w:val="0"/>
                <w:numId w:val="2"/>
              </w:numPr>
              <w:spacing w:after="60"/>
            </w:pPr>
            <w:r>
              <w:t xml:space="preserve">Investor C</w:t>
            </w:r>
          </w:p>
          <w:p>
            <w:pPr>
              <w:pStyle w:val="ListParagraph"/>
              <w:numPr>
                <w:ilvl w:val="0"/>
                <w:numId w:val="2"/>
              </w:numPr>
              <w:spacing w:after="60"/>
            </w:pPr>
            <w:r>
              <w:t xml:space="preserve">Spreadsheet_v7_FINAL_FINAL.xlsx</w:t>
            </w:r>
          </w:p>
          <w:p>
            <w:pPr>
              <w:pStyle w:val="ListParagraph"/>
              <w:numPr>
                <w:ilvl w:val="0"/>
                <w:numId w:val="2"/>
              </w:numPr>
              <w:spacing w:after="60"/>
            </w:pPr>
            <w:r>
              <w:t xml:space="preserve">cap_table (3).xlsx</w:t>
            </w:r>
          </w:p>
          <w:p>
            <w:pPr>
              <w:pStyle w:val="ListParagraph"/>
              <w:numPr>
                <w:ilvl w:val="0"/>
                <w:numId w:val="2"/>
              </w:numPr>
              <w:spacing w:after="60"/>
            </w:pPr>
            <w:r>
              <w:t xml:space="preserve">Who signed the SHA?</w:t>
            </w:r>
          </w:p>
          <w:p>
            <w:pPr>
              <w:pStyle w:val="ListParagraph"/>
              <w:numPr>
                <w:ilvl w:val="0"/>
                <w:numId w:val="2"/>
              </w:numPr>
              <w:spacing w:after="60"/>
            </w:pPr>
            <w:r>
              <w:t xml:space="preserve">7.8%?</w:t>
            </w:r>
          </w:p>
          <w:p>
            <w:pPr>
              <w:pStyle w:val="ListParagraph"/>
              <w:numPr>
                <w:ilvl w:val="0"/>
                <w:numId w:val="2"/>
              </w:numPr>
              <w:spacing w:after="60"/>
            </w:pPr>
            <w:r>
              <w:t xml:space="preserve">Convertible note: terms?</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Chart: centre</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COMPANY</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Second message</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Clarity </w:t>
            </w:r>
            <w:r>
              <w:rPr>
                <w:rFonts w:ascii="Georgia" w:cs="Georgia" w:eastAsia="Georgia" w:hAnsi="Georgia"/>
                <w:i/>
                <w:iCs/>
                <w:color w:val="0B7A5A"/>
              </w:rPr>
              <w:t xml:space="preserve">changes everything.</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Screen-reader description</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A single company owned by founders (52%), investors (38%) and an ESOP pool (10%).</w:t>
            </w:r>
          </w:p>
        </w:tc>
      </w:tr>
    </w:tbl>
    <w:p>
      <w:pPr>
        <w:spacing w:after="16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6706"/>
      </w:tblGrid>
      <w:tr>
        <w:trPr>
          <w:tblHeader/>
        </w:trPr>
        <w:tc>
          <w:tcPr>
            <w:tcW w:type="dxa" w:w="26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Chart branch</w:t>
            </w:r>
          </w:p>
        </w:tc>
        <w:tc>
          <w:tcPr>
            <w:tcW w:type="dxa" w:w="6706"/>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Percentage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Founders</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52%</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Investors</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38%</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ESOP</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10%</w:t>
            </w:r>
          </w:p>
        </w:tc>
      </w:tr>
    </w:tbl>
    <w:p>
      <w:pPr>
        <w:spacing w:after="160"/>
      </w:pPr>
    </w:p>
    <w:p>
      <w:pPr>
        <w:pStyle w:val="Heading2"/>
      </w:pPr>
      <w:bookmarkStart w:name="_Toc13" w:id="13"/>
      <w:r>
        <w:t xml:space="preserve">7. Across the lifecycle</w:t>
      </w:r>
      <w:bookmarkEnd w:id="13"/>
    </w:p>
    <w:p>
      <w:pPr>
        <w:pBdr>
          <w:left w:val="single" w:color="C6A15B" w:sz="18" w:space="8"/>
        </w:pBdr>
        <w:shd w:fill="F6F4EE" w:color="auto" w:val="clear"/>
        <w:spacing w:after="160"/>
        <w:ind w:left="120"/>
      </w:pPr>
      <w:r>
        <w:rPr>
          <w:b/>
          <w:bCs/>
          <w:color w:val="0B7A5A"/>
          <w:sz w:val="19"/>
          <w:szCs w:val="19"/>
        </w:rPr>
        <w:t xml:space="preserve">Where it appears: </w:t>
      </w:r>
      <w:r>
        <w:rPr>
          <w:color w:val="5E6663"/>
          <w:sz w:val="19"/>
          <w:szCs w:val="19"/>
        </w:rPr>
        <w:t xml:space="preserve">A horizontal timeline of numbered stages that lights up as the visitor scrolls.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6706"/>
      </w:tblGrid>
      <w:tr>
        <w:trPr>
          <w:tblHeader/>
        </w:trPr>
        <w:tc>
          <w:tcPr>
            <w:tcW w:type="dxa" w:w="26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Item</w:t>
            </w:r>
          </w:p>
        </w:tc>
        <w:tc>
          <w:tcPr>
            <w:tcW w:type="dxa" w:w="6706"/>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Text on the website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Eyebrow</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Across the lifecycle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Headline</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pStyle w:val="ListParagraph"/>
              <w:numPr>
                <w:ilvl w:val="0"/>
                <w:numId w:val="2"/>
              </w:numPr>
              <w:spacing w:after="60"/>
            </w:pPr>
            <w:r>
              <w:t xml:space="preserve">Not a single round.</w:t>
            </w:r>
          </w:p>
          <w:p>
            <w:pPr>
              <w:pStyle w:val="ListParagraph"/>
              <w:numPr>
                <w:ilvl w:val="0"/>
                <w:numId w:val="2"/>
              </w:numPr>
              <w:spacing w:after="60"/>
            </w:pPr>
            <w:r>
              <w:rPr>
                <w:rFonts w:ascii="Georgia" w:cs="Georgia" w:eastAsia="Georgia" w:hAnsi="Georgia"/>
                <w:i/>
                <w:iCs/>
                <w:color w:val="0B7A5A"/>
              </w:rPr>
              <w:t xml:space="preserve">Every stage of ownership.</w:t>
            </w:r>
          </w:p>
        </w:tc>
      </w:tr>
    </w:tbl>
    <w:p>
      <w:pPr>
        <w:spacing w:after="16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300"/>
        <w:gridCol w:w="8006"/>
      </w:tblGrid>
      <w:tr>
        <w:trPr>
          <w:tblHeader/>
        </w:trPr>
        <w:tc>
          <w:tcPr>
            <w:tcW w:type="dxa" w:w="13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Stage</w:t>
            </w:r>
          </w:p>
        </w:tc>
        <w:tc>
          <w:tcPr>
            <w:tcW w:type="dxa" w:w="8006"/>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Name</w:t>
            </w:r>
          </w:p>
        </w:tc>
      </w:tr>
      <w:tr>
        <w:trPr>
          <w:cantSplit/>
        </w:trPr>
        <w:tc>
          <w:tcPr>
            <w:tcW w:type="dxa" w:w="13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01</w:t>
            </w:r>
          </w:p>
        </w:tc>
        <w:tc>
          <w:tcPr>
            <w:tcW w:type="dxa" w:w="80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Company formation</w:t>
            </w:r>
          </w:p>
        </w:tc>
      </w:tr>
      <w:tr>
        <w:trPr>
          <w:cantSplit/>
        </w:trPr>
        <w:tc>
          <w:tcPr>
            <w:tcW w:type="dxa" w:w="13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02</w:t>
            </w:r>
          </w:p>
        </w:tc>
        <w:tc>
          <w:tcPr>
            <w:tcW w:type="dxa" w:w="80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Founder equity</w:t>
            </w:r>
          </w:p>
        </w:tc>
      </w:tr>
      <w:tr>
        <w:trPr>
          <w:cantSplit/>
        </w:trPr>
        <w:tc>
          <w:tcPr>
            <w:tcW w:type="dxa" w:w="13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03</w:t>
            </w:r>
          </w:p>
        </w:tc>
        <w:tc>
          <w:tcPr>
            <w:tcW w:type="dxa" w:w="80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ESOP</w:t>
            </w:r>
          </w:p>
        </w:tc>
      </w:tr>
      <w:tr>
        <w:trPr>
          <w:cantSplit/>
        </w:trPr>
        <w:tc>
          <w:tcPr>
            <w:tcW w:type="dxa" w:w="13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04</w:t>
            </w:r>
          </w:p>
        </w:tc>
        <w:tc>
          <w:tcPr>
            <w:tcW w:type="dxa" w:w="80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Angel / Seed</w:t>
            </w:r>
          </w:p>
        </w:tc>
      </w:tr>
      <w:tr>
        <w:trPr>
          <w:cantSplit/>
        </w:trPr>
        <w:tc>
          <w:tcPr>
            <w:tcW w:type="dxa" w:w="13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05</w:t>
            </w:r>
          </w:p>
        </w:tc>
        <w:tc>
          <w:tcPr>
            <w:tcW w:type="dxa" w:w="80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Series A / B</w:t>
            </w:r>
          </w:p>
        </w:tc>
      </w:tr>
      <w:tr>
        <w:trPr>
          <w:cantSplit/>
        </w:trPr>
        <w:tc>
          <w:tcPr>
            <w:tcW w:type="dxa" w:w="13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06</w:t>
            </w:r>
          </w:p>
        </w:tc>
        <w:tc>
          <w:tcPr>
            <w:tcW w:type="dxa" w:w="80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Secondary transactions</w:t>
            </w:r>
          </w:p>
        </w:tc>
      </w:tr>
      <w:tr>
        <w:trPr>
          <w:cantSplit/>
        </w:trPr>
        <w:tc>
          <w:tcPr>
            <w:tcW w:type="dxa" w:w="13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07</w:t>
            </w:r>
          </w:p>
        </w:tc>
        <w:tc>
          <w:tcPr>
            <w:tcW w:type="dxa" w:w="80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PE investment</w:t>
            </w:r>
          </w:p>
        </w:tc>
      </w:tr>
      <w:tr>
        <w:trPr>
          <w:cantSplit/>
        </w:trPr>
        <w:tc>
          <w:tcPr>
            <w:tcW w:type="dxa" w:w="13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08</w:t>
            </w:r>
          </w:p>
        </w:tc>
        <w:tc>
          <w:tcPr>
            <w:tcW w:type="dxa" w:w="80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Buyout / IPO readiness</w:t>
            </w:r>
          </w:p>
        </w:tc>
      </w:tr>
    </w:tbl>
    <w:p>
      <w:pPr>
        <w:spacing w:after="160"/>
      </w:pPr>
    </w:p>
    <w:p>
      <w:pPr>
        <w:pStyle w:val="Heading2"/>
      </w:pPr>
      <w:bookmarkStart w:name="_Toc14" w:id="14"/>
      <w:r>
        <w:t xml:space="preserve">8. Why organisations choose us</w:t>
      </w:r>
      <w:bookmarkEnd w:id="14"/>
    </w:p>
    <w:p>
      <w:pPr>
        <w:pBdr>
          <w:left w:val="single" w:color="C6A15B" w:sz="18" w:space="8"/>
        </w:pBdr>
        <w:shd w:fill="F6F4EE" w:color="auto" w:val="clear"/>
        <w:spacing w:after="160"/>
        <w:ind w:left="120"/>
      </w:pPr>
      <w:r>
        <w:rPr>
          <w:b/>
          <w:bCs/>
          <w:color w:val="0B7A5A"/>
          <w:sz w:val="19"/>
          <w:szCs w:val="19"/>
        </w:rPr>
        <w:t xml:space="preserve">Where it appears: </w:t>
      </w:r>
      <w:r>
        <w:rPr>
          <w:color w:val="5E6663"/>
          <w:sz w:val="19"/>
          <w:szCs w:val="19"/>
        </w:rPr>
        <w:t xml:space="preserve">Heading on the left, five numbered reasons listed on the right.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6706"/>
      </w:tblGrid>
      <w:tr>
        <w:trPr>
          <w:tblHeader/>
        </w:trPr>
        <w:tc>
          <w:tcPr>
            <w:tcW w:type="dxa" w:w="26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Item</w:t>
            </w:r>
          </w:p>
        </w:tc>
        <w:tc>
          <w:tcPr>
            <w:tcW w:type="dxa" w:w="6706"/>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Text on the website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Eyebrow</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Why organisations choose us</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Headline</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pStyle w:val="ListParagraph"/>
              <w:numPr>
                <w:ilvl w:val="0"/>
                <w:numId w:val="2"/>
              </w:numPr>
              <w:spacing w:after="60"/>
            </w:pPr>
            <w:r>
              <w:t xml:space="preserve">Precision is</w:t>
            </w:r>
          </w:p>
          <w:p>
            <w:pPr>
              <w:pStyle w:val="ListParagraph"/>
              <w:numPr>
                <w:ilvl w:val="0"/>
                <w:numId w:val="2"/>
              </w:numPr>
              <w:spacing w:after="60"/>
            </w:pPr>
            <w:r>
              <w:rPr>
                <w:rFonts w:ascii="Georgia" w:cs="Georgia" w:eastAsia="Georgia" w:hAnsi="Georgia"/>
                <w:i/>
                <w:iCs/>
                <w:color w:val="0B7A5A"/>
              </w:rPr>
              <w:t xml:space="preserve">the product.</w:t>
            </w:r>
          </w:p>
        </w:tc>
      </w:tr>
    </w:tbl>
    <w:p>
      <w:pPr>
        <w:spacing w:after="16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706"/>
      </w:tblGrid>
      <w:tr>
        <w:trPr>
          <w:tblHeader/>
        </w:trPr>
        <w:tc>
          <w:tcPr>
            <w:tcW w:type="dxa" w:w="9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No.</w:t>
            </w:r>
          </w:p>
        </w:tc>
        <w:tc>
          <w:tcPr>
            <w:tcW w:type="dxa" w:w="27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Reason</w:t>
            </w:r>
          </w:p>
        </w:tc>
        <w:tc>
          <w:tcPr>
            <w:tcW w:type="dxa" w:w="5706"/>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Explanation</w:t>
            </w:r>
          </w:p>
        </w:tc>
      </w:tr>
      <w:tr>
        <w:trPr>
          <w:cantSplit/>
        </w:trPr>
        <w:tc>
          <w:tcPr>
            <w:tcW w:type="dxa" w:w="9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01</w:t>
            </w:r>
          </w:p>
        </w:tc>
        <w:tc>
          <w:tcPr>
            <w:tcW w:type="dxa" w:w="2700"/>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Custom frameworks</w:t>
            </w:r>
          </w:p>
        </w:tc>
        <w:tc>
          <w:tcPr>
            <w:tcW w:type="dxa" w:w="5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Equity structures tailored to tech startups, manufacturing enterprises, founders and investors. Never a template.</w:t>
            </w:r>
          </w:p>
        </w:tc>
      </w:tr>
      <w:tr>
        <w:trPr>
          <w:cantSplit/>
        </w:trPr>
        <w:tc>
          <w:tcPr>
            <w:tcW w:type="dxa" w:w="9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02</w:t>
            </w:r>
          </w:p>
        </w:tc>
        <w:tc>
          <w:tcPr>
            <w:tcW w:type="dxa" w:w="2700"/>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Local regulatory alignment</w:t>
            </w:r>
          </w:p>
        </w:tc>
        <w:tc>
          <w:tcPr>
            <w:tcW w:type="dxa" w:w="5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Structures designed around Indian corporate and securities regulation, executed alongside the right licensed professionals.</w:t>
            </w:r>
          </w:p>
        </w:tc>
      </w:tr>
      <w:tr>
        <w:trPr>
          <w:cantSplit/>
        </w:trPr>
        <w:tc>
          <w:tcPr>
            <w:tcW w:type="dxa" w:w="9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03</w:t>
            </w:r>
          </w:p>
        </w:tc>
        <w:tc>
          <w:tcPr>
            <w:tcW w:type="dxa" w:w="2700"/>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Specialists, hands-on</w:t>
            </w:r>
          </w:p>
        </w:tc>
        <w:tc>
          <w:tcPr>
            <w:tcW w:type="dxa" w:w="5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Equity specialists who assist at every stage of your requirements, from first cap table to complex secondary.</w:t>
            </w:r>
          </w:p>
        </w:tc>
      </w:tr>
      <w:tr>
        <w:trPr>
          <w:cantSplit/>
        </w:trPr>
        <w:tc>
          <w:tcPr>
            <w:tcW w:type="dxa" w:w="9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04</w:t>
            </w:r>
          </w:p>
        </w:tc>
        <w:tc>
          <w:tcPr>
            <w:tcW w:type="dxa" w:w="2700"/>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Zero-error discipline</w:t>
            </w:r>
          </w:p>
        </w:tc>
        <w:tc>
          <w:tcPr>
            <w:tcW w:type="dxa" w:w="5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Reconciled records and rigorous review eliminate the human errors that fragmented spreadsheets invite.</w:t>
            </w:r>
          </w:p>
        </w:tc>
      </w:tr>
      <w:tr>
        <w:trPr>
          <w:cantSplit/>
        </w:trPr>
        <w:tc>
          <w:tcPr>
            <w:tcW w:type="dxa" w:w="9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05</w:t>
            </w:r>
          </w:p>
        </w:tc>
        <w:tc>
          <w:tcPr>
            <w:tcW w:type="dxa" w:w="2700"/>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Dedicated human support</w:t>
            </w:r>
          </w:p>
        </w:tc>
        <w:tc>
          <w:tcPr>
            <w:tcW w:type="dxa" w:w="5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A named team that guides complex transactions personally, not a ticket queue.</w:t>
            </w:r>
          </w:p>
        </w:tc>
      </w:tr>
    </w:tbl>
    <w:p>
      <w:pPr>
        <w:spacing w:after="160"/>
      </w:pPr>
    </w:p>
    <w:p>
      <w:pPr>
        <w:pStyle w:val="Heading2"/>
      </w:pPr>
      <w:bookmarkStart w:name="_Toc15" w:id="15"/>
      <w:r>
        <w:t xml:space="preserve">9. Frequently asked questions</w:t>
      </w:r>
      <w:bookmarkEnd w:id="15"/>
    </w:p>
    <w:p>
      <w:pPr>
        <w:pBdr>
          <w:left w:val="single" w:color="C6A15B" w:sz="18" w:space="8"/>
        </w:pBdr>
        <w:shd w:fill="F6F4EE" w:color="auto" w:val="clear"/>
        <w:spacing w:after="160"/>
        <w:ind w:left="120"/>
      </w:pPr>
      <w:r>
        <w:rPr>
          <w:b/>
          <w:bCs/>
          <w:color w:val="0B7A5A"/>
          <w:sz w:val="19"/>
          <w:szCs w:val="19"/>
        </w:rPr>
        <w:t xml:space="preserve">Where it appears: </w:t>
      </w:r>
      <w:r>
        <w:rPr>
          <w:color w:val="5E6663"/>
          <w:sz w:val="19"/>
          <w:szCs w:val="19"/>
        </w:rPr>
        <w:t xml:space="preserve">Heading on the left; questions on the right open and close when clicked. The first question is open by default.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6706"/>
      </w:tblGrid>
      <w:tr>
        <w:trPr>
          <w:tblHeader/>
        </w:trPr>
        <w:tc>
          <w:tcPr>
            <w:tcW w:type="dxa" w:w="26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Item</w:t>
            </w:r>
          </w:p>
        </w:tc>
        <w:tc>
          <w:tcPr>
            <w:tcW w:type="dxa" w:w="6706"/>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Text on the website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Eyebrow</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FAQ</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Headline</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pStyle w:val="ListParagraph"/>
              <w:numPr>
                <w:ilvl w:val="0"/>
                <w:numId w:val="2"/>
              </w:numPr>
              <w:spacing w:after="60"/>
            </w:pPr>
            <w:r>
              <w:t xml:space="preserve">Questions,</w:t>
            </w:r>
          </w:p>
          <w:p>
            <w:pPr>
              <w:pStyle w:val="ListParagraph"/>
              <w:numPr>
                <w:ilvl w:val="0"/>
                <w:numId w:val="2"/>
              </w:numPr>
              <w:spacing w:after="60"/>
            </w:pPr>
            <w:r>
              <w:rPr>
                <w:rFonts w:ascii="Georgia" w:cs="Georgia" w:eastAsia="Georgia" w:hAnsi="Georgia"/>
                <w:i/>
                <w:iCs/>
                <w:color w:val="0B7A5A"/>
              </w:rPr>
              <w:t xml:space="preserve">answered.</w:t>
            </w:r>
          </w:p>
        </w:tc>
      </w:tr>
    </w:tbl>
    <w:p>
      <w:pPr>
        <w:spacing w:after="160"/>
      </w:pPr>
    </w:p>
    <w:p>
      <w:pPr>
        <w:keepNext/>
        <w:spacing w:after="60" w:before="120"/>
      </w:pPr>
      <w:r>
        <w:rPr>
          <w:b/>
          <w:bCs/>
          <w:color w:val="C6A15B"/>
        </w:rPr>
        <w:t xml:space="preserve">Q1.  </w:t>
      </w:r>
      <w:r>
        <w:rPr>
          <w:b/>
          <w:bCs/>
          <w:color w:val="073D32"/>
        </w:rPr>
        <w:t xml:space="preserve">What does Universal Equity Management Solutions do?</w:t>
      </w:r>
    </w:p>
    <w:p>
      <w:pPr>
        <w:spacing w:after="120"/>
        <w:ind w:left="460"/>
      </w:pPr>
      <w:r>
        <w:t xml:space="preserve">We help businesses structure, manage and facilitate their ownership. That covers designing equity frameworks, maintaining cap tables and ESOPs, modelling dilution, and coordinating the equity transactions that let a company bring in capital or change its ownership.</w:t>
      </w:r>
    </w:p>
    <w:p>
      <w:pPr>
        <w:keepNext/>
        <w:spacing w:after="60" w:before="120"/>
      </w:pPr>
      <w:r>
        <w:rPr>
          <w:b/>
          <w:bCs/>
          <w:color w:val="C6A15B"/>
        </w:rPr>
        <w:t xml:space="preserve">Q2.  </w:t>
      </w:r>
      <w:r>
        <w:rPr>
          <w:b/>
          <w:bCs/>
          <w:color w:val="073D32"/>
        </w:rPr>
        <w:t xml:space="preserve">How is equity financing different from a bank loan?</w:t>
      </w:r>
    </w:p>
    <w:p>
      <w:pPr>
        <w:spacing w:after="120"/>
        <w:ind w:left="460"/>
      </w:pPr>
      <w:r>
        <w:t xml:space="preserve">A loan leaves ownership unchanged but must be repaid with interest. Equity financing brings in capital in exchange for shares. There is no repayment schedule, but ownership percentages change. For example, ₹10 Cr invested at a ₹40 Cr pre-money valuation buys 20% of a ₹50 Cr company. We help you understand and structure that trade-off.</w:t>
      </w:r>
    </w:p>
    <w:p>
      <w:pPr>
        <w:keepNext/>
        <w:spacing w:after="60" w:before="120"/>
      </w:pPr>
      <w:r>
        <w:rPr>
          <w:b/>
          <w:bCs/>
          <w:color w:val="C6A15B"/>
        </w:rPr>
        <w:t xml:space="preserve">Q3.  </w:t>
      </w:r>
      <w:r>
        <w:rPr>
          <w:b/>
          <w:bCs/>
          <w:color w:val="073D32"/>
        </w:rPr>
        <w:t xml:space="preserve">Are you an investment bank or a lender?</w:t>
      </w:r>
    </w:p>
    <w:p>
      <w:pPr>
        <w:spacing w:after="120"/>
        <w:ind w:left="460"/>
      </w:pPr>
      <w:r>
        <w:t xml:space="preserve">No. UEMS provides equity advisory, administration and transaction coordination. Where an activity requires a SEBI-registered merchant banker (for example, a public or rights issue), a registered valuer or legal counsel, we work alongside those licensed professionals rather than in place of them.</w:t>
      </w:r>
    </w:p>
    <w:p>
      <w:pPr>
        <w:keepNext/>
        <w:spacing w:after="60" w:before="120"/>
      </w:pPr>
      <w:r>
        <w:rPr>
          <w:b/>
          <w:bCs/>
          <w:color w:val="C6A15B"/>
        </w:rPr>
        <w:t xml:space="preserve">Q4.  </w:t>
      </w:r>
      <w:r>
        <w:rPr>
          <w:b/>
          <w:bCs/>
          <w:color w:val="073D32"/>
        </w:rPr>
        <w:t xml:space="preserve">Which businesses do you work with?</w:t>
      </w:r>
    </w:p>
    <w:p>
      <w:pPr>
        <w:spacing w:after="120"/>
        <w:ind w:left="460"/>
      </w:pPr>
      <w:r>
        <w:t xml:space="preserve">We are industry-agnostic: high-growth SaaS companies, asset-heavy manufacturers, multi-entity healthcare networks, franchise retail chains and professional-services firms, from founder-led startups to promoter-run family businesses.</w:t>
      </w:r>
    </w:p>
    <w:p>
      <w:pPr>
        <w:keepNext/>
        <w:spacing w:after="60" w:before="120"/>
      </w:pPr>
      <w:r>
        <w:rPr>
          <w:b/>
          <w:bCs/>
          <w:color w:val="C6A15B"/>
        </w:rPr>
        <w:t xml:space="preserve">Q5.  </w:t>
      </w:r>
      <w:r>
        <w:rPr>
          <w:b/>
          <w:bCs/>
          <w:color w:val="073D32"/>
        </w:rPr>
        <w:t xml:space="preserve">Where do you operate?</w:t>
      </w:r>
    </w:p>
    <w:p>
      <w:pPr>
        <w:spacing w:after="120"/>
        <w:ind w:left="460"/>
      </w:pPr>
      <w:r>
        <w:t xml:space="preserve">Our offices are in Hyderabad, Mumbai and Bangalore, and we support engagements across India.</w:t>
      </w:r>
    </w:p>
    <w:p>
      <w:pPr>
        <w:keepNext/>
        <w:spacing w:after="60" w:before="120"/>
      </w:pPr>
      <w:r>
        <w:rPr>
          <w:b/>
          <w:bCs/>
          <w:color w:val="C6A15B"/>
        </w:rPr>
        <w:t xml:space="preserve">Q6.  </w:t>
      </w:r>
      <w:r>
        <w:rPr>
          <w:b/>
          <w:bCs/>
          <w:color w:val="073D32"/>
        </w:rPr>
        <w:t xml:space="preserve">How do we get started?</w:t>
      </w:r>
    </w:p>
    <w:p>
      <w:pPr>
        <w:spacing w:after="120"/>
        <w:ind w:left="460"/>
      </w:pPr>
      <w:r>
        <w:t xml:space="preserve">Book a 15-minute introductory session with our equity specialists. We will understand your current ownership and capital needs, then propose a clear scope before any engagement begins.</w:t>
      </w:r>
    </w:p>
    <w:p>
      <w:pPr>
        <w:pStyle w:val="Heading2"/>
      </w:pPr>
      <w:bookmarkStart w:name="_Toc16" w:id="16"/>
      <w:r>
        <w:t xml:space="preserve">10. Closing call to action</w:t>
      </w:r>
      <w:bookmarkEnd w:id="16"/>
    </w:p>
    <w:p>
      <w:pPr>
        <w:pBdr>
          <w:left w:val="single" w:color="C6A15B" w:sz="18" w:space="8"/>
        </w:pBdr>
        <w:shd w:fill="F6F4EE" w:color="auto" w:val="clear"/>
        <w:spacing w:after="160"/>
        <w:ind w:left="120"/>
      </w:pPr>
      <w:r>
        <w:rPr>
          <w:b/>
          <w:bCs/>
          <w:color w:val="0B7A5A"/>
          <w:sz w:val="19"/>
          <w:szCs w:val="19"/>
        </w:rPr>
        <w:t xml:space="preserve">Where it appears: </w:t>
      </w:r>
      <w:r>
        <w:rPr>
          <w:color w:val="5E6663"/>
          <w:sz w:val="19"/>
          <w:szCs w:val="19"/>
        </w:rPr>
        <w:t xml:space="preserve">Dark green band at the end of the home page and About page, with a small animated network graphic above the headline.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6706"/>
      </w:tblGrid>
      <w:tr>
        <w:trPr>
          <w:tblHeader/>
        </w:trPr>
        <w:tc>
          <w:tcPr>
            <w:tcW w:type="dxa" w:w="26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Item</w:t>
            </w:r>
          </w:p>
        </w:tc>
        <w:tc>
          <w:tcPr>
            <w:tcW w:type="dxa" w:w="6706"/>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Text on the website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Eyebrow (home page)</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Contact &amp; next steps</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Headline</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pStyle w:val="ListParagraph"/>
              <w:numPr>
                <w:ilvl w:val="0"/>
                <w:numId w:val="2"/>
              </w:numPr>
              <w:spacing w:after="60"/>
            </w:pPr>
            <w:r>
              <w:t xml:space="preserve">Your equity.</w:t>
            </w:r>
          </w:p>
          <w:p>
            <w:pPr>
              <w:pStyle w:val="ListParagraph"/>
              <w:numPr>
                <w:ilvl w:val="0"/>
                <w:numId w:val="2"/>
              </w:numPr>
              <w:spacing w:after="60"/>
            </w:pPr>
            <w:r>
              <w:rPr>
                <w:rFonts w:ascii="Georgia" w:cs="Georgia" w:eastAsia="Georgia" w:hAnsi="Georgia"/>
                <w:i/>
                <w:iCs/>
                <w:color w:val="0B7A5A"/>
              </w:rPr>
              <w:t xml:space="preserve">Structured.</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Question</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Ready to build what’s next?</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Introduction</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Ready to centralise and secure your company’s ownership structure? Book a 15-minute introductory session with our equity specialists.</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Button</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Request a Consultation</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Email link</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contact@yourfirm.com</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Phone</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+1 (800) 555-0199</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Offices</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Hyderabad · Mumbai · Bangalore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Onboarding</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15-minute introductory session</w:t>
            </w:r>
          </w:p>
        </w:tc>
      </w:tr>
    </w:tbl>
    <w:p>
      <w:pPr>
        <w:spacing w:after="160"/>
      </w:pPr>
    </w:p>
    <w:p>
      <w:r>
        <w:br w:type="page"/>
      </w:r>
    </w:p>
    <w:p>
      <w:pPr>
        <w:spacing w:after="60"/>
      </w:pPr>
      <w:r>
        <w:rPr>
          <w:rFonts w:ascii="Arial" w:cs="Arial" w:eastAsia="Arial" w:hAnsi="Arial"/>
          <w:b/>
          <w:bCs/>
          <w:color w:val="C6A15B"/>
          <w:spacing w:val="40"/>
          <w:sz w:val="18"/>
          <w:szCs w:val="18"/>
        </w:rPr>
        <w:t xml:space="preserve">PAGE 2</w:t>
      </w:r>
    </w:p>
    <w:p>
      <w:pPr>
        <w:pStyle w:val="Heading1"/>
        <w:pBdr>
          <w:bottom w:val="single" w:color="C6A15B" w:sz="12" w:space="8"/>
        </w:pBdr>
      </w:pPr>
      <w:bookmarkStart w:name="_Toc17" w:id="17"/>
      <w:r>
        <w:t xml:space="preserve">About page</w:t>
      </w:r>
      <w:bookmarkEnd w:id="17"/>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6706"/>
      </w:tblGrid>
      <w:tr>
        <w:trPr>
          <w:tblHeader/>
        </w:trPr>
        <w:tc>
          <w:tcPr>
            <w:tcW w:type="dxa" w:w="26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Item</w:t>
            </w:r>
          </w:p>
        </w:tc>
        <w:tc>
          <w:tcPr>
            <w:tcW w:type="dxa" w:w="6706"/>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Text on the website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Browser tab title</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About | Universal Equity Management Solutions</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Search engine description</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UEMS bridges complex legal frameworks and seamless equity administration for companies of every scale and industry.</w:t>
            </w:r>
          </w:p>
        </w:tc>
      </w:tr>
    </w:tbl>
    <w:p>
      <w:pPr>
        <w:spacing w:after="160"/>
      </w:pPr>
    </w:p>
    <w:p>
      <w:pPr>
        <w:pStyle w:val="Heading2"/>
      </w:pPr>
      <w:bookmarkStart w:name="_Toc18" w:id="18"/>
      <w:r>
        <w:t xml:space="preserve">1. Introduction</w:t>
      </w:r>
      <w:bookmarkEnd w:id="18"/>
    </w:p>
    <w:p>
      <w:pPr>
        <w:pBdr>
          <w:left w:val="single" w:color="C6A15B" w:sz="18" w:space="8"/>
        </w:pBdr>
        <w:shd w:fill="F6F4EE" w:color="auto" w:val="clear"/>
        <w:spacing w:after="160"/>
        <w:ind w:left="120"/>
      </w:pPr>
      <w:r>
        <w:rPr>
          <w:b/>
          <w:bCs/>
          <w:color w:val="0B7A5A"/>
          <w:sz w:val="19"/>
          <w:szCs w:val="19"/>
        </w:rPr>
        <w:t xml:space="preserve">Where it appears: </w:t>
      </w:r>
      <w:r>
        <w:rPr>
          <w:color w:val="5E6663"/>
          <w:sz w:val="19"/>
          <w:szCs w:val="19"/>
        </w:rPr>
        <w:t xml:space="preserve">Top of the About page, with a slowly rotating emblem on the right.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6706"/>
      </w:tblGrid>
      <w:tr>
        <w:trPr>
          <w:tblHeader/>
        </w:trPr>
        <w:tc>
          <w:tcPr>
            <w:tcW w:type="dxa" w:w="26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Item</w:t>
            </w:r>
          </w:p>
        </w:tc>
        <w:tc>
          <w:tcPr>
            <w:tcW w:type="dxa" w:w="6706"/>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Text on the website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Eyebrow</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About UEMS</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Headline (3 lines)</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pStyle w:val="ListParagraph"/>
              <w:numPr>
                <w:ilvl w:val="0"/>
                <w:numId w:val="2"/>
              </w:numPr>
              <w:spacing w:after="60"/>
            </w:pPr>
            <w:r>
              <w:t xml:space="preserve">Empowering businesses</w:t>
            </w:r>
          </w:p>
          <w:p>
            <w:pPr>
              <w:pStyle w:val="ListParagraph"/>
              <w:numPr>
                <w:ilvl w:val="0"/>
                <w:numId w:val="2"/>
              </w:numPr>
              <w:spacing w:after="60"/>
            </w:pPr>
            <w:r>
              <w:t xml:space="preserve">with transparent,</w:t>
            </w:r>
          </w:p>
          <w:p>
            <w:pPr>
              <w:pStyle w:val="ListParagraph"/>
              <w:numPr>
                <w:ilvl w:val="0"/>
                <w:numId w:val="2"/>
              </w:numPr>
              <w:spacing w:after="60"/>
            </w:pPr>
            <w:r>
              <w:t xml:space="preserve">compliant </w:t>
            </w:r>
            <w:r>
              <w:rPr>
                <w:rFonts w:ascii="Georgia" w:cs="Georgia" w:eastAsia="Georgia" w:hAnsi="Georgia"/>
                <w:i/>
                <w:iCs/>
                <w:color w:val="0B7A5A"/>
              </w:rPr>
              <w:t xml:space="preserve">equity solutions.</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Introduction</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We bridge the gap between complex legal frameworks and seamless equity administration for companies of every scale and industry.</w:t>
            </w:r>
          </w:p>
        </w:tc>
      </w:tr>
    </w:tbl>
    <w:p>
      <w:pPr>
        <w:spacing w:after="160"/>
      </w:pPr>
    </w:p>
    <w:p>
      <w:pPr>
        <w:pStyle w:val="Heading2"/>
      </w:pPr>
      <w:bookmarkStart w:name="_Toc19" w:id="19"/>
      <w:r>
        <w:t xml:space="preserve">2. Our story &amp; mission</w:t>
      </w:r>
      <w:bookmarkEnd w:id="19"/>
    </w:p>
    <w:p>
      <w:pPr>
        <w:pBdr>
          <w:left w:val="single" w:color="C6A15B" w:sz="18" w:space="8"/>
        </w:pBdr>
        <w:shd w:fill="F6F4EE" w:color="auto" w:val="clear"/>
        <w:spacing w:after="160"/>
        <w:ind w:left="120"/>
      </w:pPr>
      <w:r>
        <w:rPr>
          <w:b/>
          <w:bCs/>
          <w:color w:val="0B7A5A"/>
          <w:sz w:val="19"/>
          <w:szCs w:val="19"/>
        </w:rPr>
        <w:t xml:space="preserve">Where it appears: </w:t>
      </w:r>
      <w:r>
        <w:rPr>
          <w:color w:val="5E6663"/>
          <w:sz w:val="19"/>
          <w:szCs w:val="19"/>
        </w:rPr>
        <w:t xml:space="preserve">Label on the left; a large statement followed by two short paragraphs on the right.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6706"/>
      </w:tblGrid>
      <w:tr>
        <w:trPr>
          <w:tblHeader/>
        </w:trPr>
        <w:tc>
          <w:tcPr>
            <w:tcW w:type="dxa" w:w="26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Item</w:t>
            </w:r>
          </w:p>
        </w:tc>
        <w:tc>
          <w:tcPr>
            <w:tcW w:type="dxa" w:w="6706"/>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Text on the website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Eyebrow</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Our story &amp; mission</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Large statement</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Managing equity shouldn’t be a web of fragmented spreadsheets, compliance risk and administrative friction.</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Paragraph 1</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Founded by industry experts in corporate finance and venture governance, UEMS was built to turn equity management into a strategic advantage, not an afterthought.</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Paragraph 2</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r>
              <w:rPr>
                <w:b/>
                <w:bCs/>
              </w:rPr>
              <w:t xml:space="preserve">Our mission</w:t>
            </w:r>
            <w:r>
              <w:t xml:space="preserve"> is to help founders and investors navigate capitalisation with confidence: the right structure, the right records, and the right people around every transaction.</w:t>
            </w:r>
          </w:p>
        </w:tc>
      </w:tr>
    </w:tbl>
    <w:p>
      <w:pPr>
        <w:spacing w:after="160"/>
      </w:pPr>
    </w:p>
    <w:p>
      <w:pPr>
        <w:pStyle w:val="Heading2"/>
      </w:pPr>
      <w:bookmarkStart w:name="_Toc20" w:id="20"/>
      <w:r>
        <w:t xml:space="preserve">3. How we work</w:t>
      </w:r>
      <w:bookmarkEnd w:id="20"/>
    </w:p>
    <w:p>
      <w:pPr>
        <w:pBdr>
          <w:left w:val="single" w:color="C6A15B" w:sz="18" w:space="8"/>
        </w:pBdr>
        <w:shd w:fill="F6F4EE" w:color="auto" w:val="clear"/>
        <w:spacing w:after="160"/>
        <w:ind w:left="120"/>
      </w:pPr>
      <w:r>
        <w:rPr>
          <w:b/>
          <w:bCs/>
          <w:color w:val="0B7A5A"/>
          <w:sz w:val="19"/>
          <w:szCs w:val="19"/>
        </w:rPr>
        <w:t xml:space="preserve">Where it appears: </w:t>
      </w:r>
      <w:r>
        <w:rPr>
          <w:color w:val="5E6663"/>
          <w:sz w:val="19"/>
          <w:szCs w:val="19"/>
        </w:rPr>
        <w:t xml:space="preserve">Dark green section with three numbered layers side by side.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6706"/>
      </w:tblGrid>
      <w:tr>
        <w:trPr>
          <w:tblHeader/>
        </w:trPr>
        <w:tc>
          <w:tcPr>
            <w:tcW w:type="dxa" w:w="26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Item</w:t>
            </w:r>
          </w:p>
        </w:tc>
        <w:tc>
          <w:tcPr>
            <w:tcW w:type="dxa" w:w="6706"/>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Text on the website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Eyebrow</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How we work</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Headline</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pStyle w:val="ListParagraph"/>
              <w:numPr>
                <w:ilvl w:val="0"/>
                <w:numId w:val="2"/>
              </w:numPr>
              <w:spacing w:after="60"/>
            </w:pPr>
            <w:r>
              <w:t xml:space="preserve">Three layers,</w:t>
            </w:r>
          </w:p>
          <w:p>
            <w:pPr>
              <w:pStyle w:val="ListParagraph"/>
              <w:numPr>
                <w:ilvl w:val="0"/>
                <w:numId w:val="2"/>
              </w:numPr>
              <w:spacing w:after="60"/>
            </w:pPr>
            <w:r>
              <w:rPr>
                <w:rFonts w:ascii="Georgia" w:cs="Georgia" w:eastAsia="Georgia" w:hAnsi="Georgia"/>
                <w:i/>
                <w:iCs/>
                <w:color w:val="0B7A5A"/>
              </w:rPr>
              <w:t xml:space="preserve">one lifecycle.</w:t>
            </w:r>
          </w:p>
        </w:tc>
      </w:tr>
    </w:tbl>
    <w:p>
      <w:pPr>
        <w:spacing w:after="16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706"/>
      </w:tblGrid>
      <w:tr>
        <w:trPr>
          <w:tblHeader/>
        </w:trPr>
        <w:tc>
          <w:tcPr>
            <w:tcW w:type="dxa" w:w="9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No.</w:t>
            </w:r>
          </w:p>
        </w:tc>
        <w:tc>
          <w:tcPr>
            <w:tcW w:type="dxa" w:w="27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Layer</w:t>
            </w:r>
          </w:p>
        </w:tc>
        <w:tc>
          <w:tcPr>
            <w:tcW w:type="dxa" w:w="5706"/>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Description</w:t>
            </w:r>
          </w:p>
        </w:tc>
      </w:tr>
      <w:tr>
        <w:trPr>
          <w:cantSplit/>
        </w:trPr>
        <w:tc>
          <w:tcPr>
            <w:tcW w:type="dxa" w:w="9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01</w:t>
            </w:r>
          </w:p>
        </w:tc>
        <w:tc>
          <w:tcPr>
            <w:tcW w:type="dxa" w:w="2700"/>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Equity Advisory</w:t>
            </w:r>
          </w:p>
        </w:tc>
        <w:tc>
          <w:tcPr>
            <w:tcW w:type="dxa" w:w="5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Capital-structure strategy, valuation scenarios, dilution and restructuring.</w:t>
            </w:r>
          </w:p>
        </w:tc>
      </w:tr>
      <w:tr>
        <w:trPr>
          <w:cantSplit/>
        </w:trPr>
        <w:tc>
          <w:tcPr>
            <w:tcW w:type="dxa" w:w="9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02</w:t>
            </w:r>
          </w:p>
        </w:tc>
        <w:tc>
          <w:tcPr>
            <w:tcW w:type="dxa" w:w="2700"/>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Equity Management</w:t>
            </w:r>
          </w:p>
        </w:tc>
        <w:tc>
          <w:tcPr>
            <w:tcW w:type="dxa" w:w="5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Cap tables, shareholder records, ESOPs, round history and investor reporting.</w:t>
            </w:r>
          </w:p>
        </w:tc>
      </w:tr>
      <w:tr>
        <w:trPr>
          <w:cantSplit/>
        </w:trPr>
        <w:tc>
          <w:tcPr>
            <w:tcW w:type="dxa" w:w="9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03</w:t>
            </w:r>
          </w:p>
        </w:tc>
        <w:tc>
          <w:tcPr>
            <w:tcW w:type="dxa" w:w="2700"/>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Transaction Facilitation</w:t>
            </w:r>
          </w:p>
        </w:tc>
        <w:tc>
          <w:tcPr>
            <w:tcW w:type="dxa" w:w="5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Coordinating CA, CS, legal counsel, valuers and regulated intermediaries where required.</w:t>
            </w:r>
          </w:p>
        </w:tc>
      </w:tr>
    </w:tbl>
    <w:p>
      <w:pPr>
        <w:spacing w:after="160"/>
      </w:pPr>
    </w:p>
    <w:p>
      <w:pPr>
        <w:pStyle w:val="Heading2"/>
      </w:pPr>
      <w:bookmarkStart w:name="_Toc21" w:id="21"/>
      <w:r>
        <w:t xml:space="preserve">4. Industry-agnostic equity management</w:t>
      </w:r>
      <w:bookmarkEnd w:id="21"/>
    </w:p>
    <w:p>
      <w:pPr>
        <w:pBdr>
          <w:left w:val="single" w:color="C6A15B" w:sz="18" w:space="8"/>
        </w:pBdr>
        <w:shd w:fill="F6F4EE" w:color="auto" w:val="clear"/>
        <w:spacing w:after="160"/>
        <w:ind w:left="120"/>
      </w:pPr>
      <w:r>
        <w:rPr>
          <w:b/>
          <w:bCs/>
          <w:color w:val="0B7A5A"/>
          <w:sz w:val="19"/>
          <w:szCs w:val="19"/>
        </w:rPr>
        <w:t xml:space="preserve">Where it appears: </w:t>
      </w:r>
      <w:r>
        <w:rPr>
          <w:color w:val="5E6663"/>
          <w:sz w:val="19"/>
          <w:szCs w:val="19"/>
        </w:rPr>
        <w:t xml:space="preserve">Light green section: statement on the left, list of example industries on the right.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6706"/>
      </w:tblGrid>
      <w:tr>
        <w:trPr>
          <w:tblHeader/>
        </w:trPr>
        <w:tc>
          <w:tcPr>
            <w:tcW w:type="dxa" w:w="26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Item</w:t>
            </w:r>
          </w:p>
        </w:tc>
        <w:tc>
          <w:tcPr>
            <w:tcW w:type="dxa" w:w="6706"/>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Text on the website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Eyebrow</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Industry-agnostic equity management</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Headline</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Equity structure is the backbone of your ownership governance.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Introduction</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Our facilitation service creates transparent liquidity pathways for all stakeholders, whatever you build.</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Industries listed</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pStyle w:val="ListParagraph"/>
              <w:numPr>
                <w:ilvl w:val="0"/>
                <w:numId w:val="2"/>
              </w:numPr>
              <w:spacing w:after="60"/>
            </w:pPr>
            <w:r>
              <w:t xml:space="preserve">High-growth SaaS</w:t>
            </w:r>
          </w:p>
          <w:p>
            <w:pPr>
              <w:pStyle w:val="ListParagraph"/>
              <w:numPr>
                <w:ilvl w:val="0"/>
                <w:numId w:val="2"/>
              </w:numPr>
              <w:spacing w:after="60"/>
            </w:pPr>
            <w:r>
              <w:t xml:space="preserve">Asset-heavy manufacturing</w:t>
            </w:r>
          </w:p>
          <w:p>
            <w:pPr>
              <w:pStyle w:val="ListParagraph"/>
              <w:numPr>
                <w:ilvl w:val="0"/>
                <w:numId w:val="2"/>
              </w:numPr>
              <w:spacing w:after="60"/>
            </w:pPr>
            <w:r>
              <w:t xml:space="preserve">Multi-entity healthcare</w:t>
            </w:r>
          </w:p>
          <w:p>
            <w:pPr>
              <w:pStyle w:val="ListParagraph"/>
              <w:numPr>
                <w:ilvl w:val="0"/>
                <w:numId w:val="2"/>
              </w:numPr>
              <w:spacing w:after="60"/>
            </w:pPr>
            <w:r>
              <w:t xml:space="preserve">Franchise retail chains</w:t>
            </w:r>
          </w:p>
        </w:tc>
      </w:tr>
    </w:tbl>
    <w:p>
      <w:pPr>
        <w:spacing w:after="160"/>
      </w:pPr>
    </w:p>
    <w:p>
      <w:pPr>
        <w:pStyle w:val="Heading2"/>
      </w:pPr>
      <w:bookmarkStart w:name="_Toc22" w:id="22"/>
      <w:r>
        <w:t xml:space="preserve">5. Leadership &amp; values</w:t>
      </w:r>
      <w:bookmarkEnd w:id="22"/>
    </w:p>
    <w:p>
      <w:pPr>
        <w:pBdr>
          <w:left w:val="single" w:color="C6A15B" w:sz="18" w:space="8"/>
        </w:pBdr>
        <w:shd w:fill="F6F4EE" w:color="auto" w:val="clear"/>
        <w:spacing w:after="160"/>
        <w:ind w:left="120"/>
      </w:pPr>
      <w:r>
        <w:rPr>
          <w:b/>
          <w:bCs/>
          <w:color w:val="0B7A5A"/>
          <w:sz w:val="19"/>
          <w:szCs w:val="19"/>
        </w:rPr>
        <w:t xml:space="preserve">Where it appears: </w:t>
      </w:r>
      <w:r>
        <w:rPr>
          <w:color w:val="5E6663"/>
          <w:sz w:val="19"/>
          <w:szCs w:val="19"/>
        </w:rPr>
        <w:t xml:space="preserve">Three cards, each with a small icon (tick, target, padlock), followed by a numbered list.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6706"/>
      </w:tblGrid>
      <w:tr>
        <w:trPr>
          <w:tblHeader/>
        </w:trPr>
        <w:tc>
          <w:tcPr>
            <w:tcW w:type="dxa" w:w="26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Item</w:t>
            </w:r>
          </w:p>
        </w:tc>
        <w:tc>
          <w:tcPr>
            <w:tcW w:type="dxa" w:w="6706"/>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Text on the website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Eyebrow</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Leadership &amp; values</w:t>
            </w:r>
          </w:p>
        </w:tc>
      </w:tr>
    </w:tbl>
    <w:p>
      <w:pPr>
        <w:spacing w:after="16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5506"/>
      </w:tblGrid>
      <w:tr>
        <w:trPr>
          <w:tblHeader/>
        </w:trPr>
        <w:tc>
          <w:tcPr>
            <w:tcW w:type="dxa" w:w="13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Icon</w:t>
            </w:r>
          </w:p>
        </w:tc>
        <w:tc>
          <w:tcPr>
            <w:tcW w:type="dxa" w:w="25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Value</w:t>
            </w:r>
          </w:p>
        </w:tc>
        <w:tc>
          <w:tcPr>
            <w:tcW w:type="dxa" w:w="5506"/>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Description</w:t>
            </w:r>
          </w:p>
        </w:tc>
      </w:tr>
      <w:tr>
        <w:trPr>
          <w:cantSplit/>
        </w:trPr>
        <w:tc>
          <w:tcPr>
            <w:tcW w:type="dxa" w:w="13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Tick</w:t>
            </w:r>
          </w:p>
        </w:tc>
        <w:tc>
          <w:tcPr>
            <w:tcW w:type="dxa" w:w="2500"/>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Integrity &amp; Accuracy</w:t>
            </w:r>
          </w:p>
        </w:tc>
        <w:tc>
          <w:tcPr>
            <w:tcW w:type="dxa" w:w="55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A zero-tolerance approach to capitalisation errors and governance oversights. Every share, every percentage, reconciled.</w:t>
            </w:r>
          </w:p>
        </w:tc>
      </w:tr>
      <w:tr>
        <w:trPr>
          <w:cantSplit/>
        </w:trPr>
        <w:tc>
          <w:tcPr>
            <w:tcW w:type="dxa" w:w="13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Target</w:t>
            </w:r>
          </w:p>
        </w:tc>
        <w:tc>
          <w:tcPr>
            <w:tcW w:type="dxa" w:w="2500"/>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Transparency</w:t>
            </w:r>
          </w:p>
        </w:tc>
        <w:tc>
          <w:tcPr>
            <w:tcW w:type="dxa" w:w="55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Clear ownership visualisation for all stakeholders, fostering long-term trust between founders, investors and teams.</w:t>
            </w:r>
          </w:p>
        </w:tc>
      </w:tr>
      <w:tr>
        <w:trPr>
          <w:cantSplit/>
        </w:trPr>
        <w:tc>
          <w:tcPr>
            <w:tcW w:type="dxa" w:w="13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Padlock</w:t>
            </w:r>
          </w:p>
        </w:tc>
        <w:tc>
          <w:tcPr>
            <w:tcW w:type="dxa" w:w="2500"/>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Security</w:t>
            </w:r>
          </w:p>
        </w:tc>
        <w:tc>
          <w:tcPr>
            <w:tcW w:type="dxa" w:w="55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Strict access controls and confidential handling safeguard your sensitive financial and ownership data.</w:t>
            </w:r>
          </w:p>
        </w:tc>
      </w:tr>
    </w:tbl>
    <w:p>
      <w:pPr>
        <w:spacing w:after="160"/>
      </w:pPr>
    </w:p>
    <w:p>
      <w:pPr>
        <w:pStyle w:val="Heading3"/>
      </w:pPr>
      <w:r>
        <w:t xml:space="preserve">Why work with us?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00"/>
        <w:gridCol w:w="8406"/>
      </w:tblGrid>
      <w:tr>
        <w:trPr>
          <w:tblHeader/>
        </w:trPr>
        <w:tc>
          <w:tcPr>
            <w:tcW w:type="dxa" w:w="9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No.</w:t>
            </w:r>
          </w:p>
        </w:tc>
        <w:tc>
          <w:tcPr>
            <w:tcW w:type="dxa" w:w="8406"/>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Reason</w:t>
            </w:r>
          </w:p>
        </w:tc>
      </w:tr>
      <w:tr>
        <w:trPr>
          <w:cantSplit/>
        </w:trPr>
        <w:tc>
          <w:tcPr>
            <w:tcW w:type="dxa" w:w="9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01</w:t>
            </w:r>
          </w:p>
        </w:tc>
        <w:tc>
          <w:tcPr>
            <w:tcW w:type="dxa" w:w="84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Custom equity frameworks tailored to tech startups, manufacturing enterprises, founders &amp; investors.</w:t>
            </w:r>
          </w:p>
        </w:tc>
      </w:tr>
      <w:tr>
        <w:trPr>
          <w:cantSplit/>
        </w:trPr>
        <w:tc>
          <w:tcPr>
            <w:tcW w:type="dxa" w:w="9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02</w:t>
            </w:r>
          </w:p>
        </w:tc>
        <w:tc>
          <w:tcPr>
            <w:tcW w:type="dxa" w:w="84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Local regulatory alignment, executed alongside licensed CA, CS and legal professionals.</w:t>
            </w:r>
          </w:p>
        </w:tc>
      </w:tr>
      <w:tr>
        <w:trPr>
          <w:cantSplit/>
        </w:trPr>
        <w:tc>
          <w:tcPr>
            <w:tcW w:type="dxa" w:w="9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tcPr>
          <w:p>
            <w:r>
              <w:rPr>
                <w:b/>
                <w:bCs/>
                <w:color w:val="073D32"/>
                <w:sz w:val="19"/>
                <w:szCs w:val="19"/>
              </w:rPr>
              <w:t xml:space="preserve">03</w:t>
            </w:r>
          </w:p>
        </w:tc>
        <w:tc>
          <w:tcPr>
            <w:tcW w:type="dxa" w:w="84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Hands-on guidance from equity specialists who assist at every stage of your requirements.</w:t>
            </w:r>
          </w:p>
        </w:tc>
      </w:tr>
    </w:tbl>
    <w:p>
      <w:pPr>
        <w:spacing w:after="160"/>
      </w:pPr>
    </w:p>
    <w:p>
      <w:pPr>
        <w:pStyle w:val="Heading2"/>
      </w:pPr>
      <w:bookmarkStart w:name="_Toc23" w:id="23"/>
      <w:r>
        <w:t xml:space="preserve">6. Closing call to action</w:t>
      </w:r>
      <w:bookmarkEnd w:id="23"/>
    </w:p>
    <w:p>
      <w:pPr>
        <w:pBdr>
          <w:left w:val="single" w:color="C6A15B" w:sz="18" w:space="8"/>
        </w:pBdr>
        <w:shd w:fill="F6F4EE" w:color="auto" w:val="clear"/>
        <w:spacing w:after="160"/>
        <w:ind w:left="120"/>
      </w:pPr>
      <w:r>
        <w:rPr>
          <w:b/>
          <w:bCs/>
          <w:color w:val="0B7A5A"/>
          <w:sz w:val="19"/>
          <w:szCs w:val="19"/>
        </w:rPr>
        <w:t xml:space="preserve">Where it appears: </w:t>
      </w:r>
      <w:r>
        <w:rPr>
          <w:color w:val="5E6663"/>
          <w:sz w:val="19"/>
          <w:szCs w:val="19"/>
        </w:rPr>
        <w:t xml:space="preserve">Same closing block as the home page (see Home page, section 10), with a different eyebrow.</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6706"/>
      </w:tblGrid>
      <w:tr>
        <w:trPr>
          <w:tblHeader/>
        </w:trPr>
        <w:tc>
          <w:tcPr>
            <w:tcW w:type="dxa" w:w="26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Item</w:t>
            </w:r>
          </w:p>
        </w:tc>
        <w:tc>
          <w:tcPr>
            <w:tcW w:type="dxa" w:w="6706"/>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Text on the website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Eyebrow (About page)</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Contact &amp; consultation</w:t>
            </w:r>
          </w:p>
        </w:tc>
      </w:tr>
    </w:tbl>
    <w:p>
      <w:pPr>
        <w:spacing w:after="160"/>
      </w:pPr>
    </w:p>
    <w:p>
      <w:r>
        <w:br w:type="page"/>
      </w:r>
    </w:p>
    <w:p>
      <w:pPr>
        <w:spacing w:after="60"/>
      </w:pPr>
      <w:r>
        <w:rPr>
          <w:rFonts w:ascii="Arial" w:cs="Arial" w:eastAsia="Arial" w:hAnsi="Arial"/>
          <w:b/>
          <w:bCs/>
          <w:color w:val="C6A15B"/>
          <w:spacing w:val="40"/>
          <w:sz w:val="18"/>
          <w:szCs w:val="18"/>
        </w:rPr>
        <w:t xml:space="preserve">PAGE 3</w:t>
      </w:r>
    </w:p>
    <w:p>
      <w:pPr>
        <w:pStyle w:val="Heading1"/>
        <w:pBdr>
          <w:bottom w:val="single" w:color="C6A15B" w:sz="12" w:space="8"/>
        </w:pBdr>
      </w:pPr>
      <w:bookmarkStart w:name="_Toc24" w:id="24"/>
      <w:r>
        <w:t xml:space="preserve">Contact page</w:t>
      </w:r>
      <w:bookmarkEnd w:id="24"/>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6706"/>
      </w:tblGrid>
      <w:tr>
        <w:trPr>
          <w:tblHeader/>
        </w:trPr>
        <w:tc>
          <w:tcPr>
            <w:tcW w:type="dxa" w:w="26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Item</w:t>
            </w:r>
          </w:p>
        </w:tc>
        <w:tc>
          <w:tcPr>
            <w:tcW w:type="dxa" w:w="6706"/>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Text on the website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Browser tab title</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Request a Consultation | Universal Equity Management Solutions</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Search engine description</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Book a 15-minute introductory session with UEMS equity specialists. Offices in Hyderabad, Mumbai and Bangalore.</w:t>
            </w:r>
          </w:p>
        </w:tc>
      </w:tr>
    </w:tbl>
    <w:p>
      <w:pPr>
        <w:spacing w:after="160"/>
      </w:pPr>
    </w:p>
    <w:p>
      <w:pPr>
        <w:pStyle w:val="Heading2"/>
      </w:pPr>
      <w:bookmarkStart w:name="_Toc25" w:id="25"/>
      <w:r>
        <w:t xml:space="preserve">1. Introduction &amp; details</w:t>
      </w:r>
      <w:bookmarkEnd w:id="25"/>
    </w:p>
    <w:p>
      <w:pPr>
        <w:pBdr>
          <w:left w:val="single" w:color="C6A15B" w:sz="18" w:space="8"/>
        </w:pBdr>
        <w:shd w:fill="F6F4EE" w:color="auto" w:val="clear"/>
        <w:spacing w:after="160"/>
        <w:ind w:left="120"/>
      </w:pPr>
      <w:r>
        <w:rPr>
          <w:b/>
          <w:bCs/>
          <w:color w:val="0B7A5A"/>
          <w:sz w:val="19"/>
          <w:szCs w:val="19"/>
        </w:rPr>
        <w:t xml:space="preserve">Where it appears: </w:t>
      </w:r>
      <w:r>
        <w:rPr>
          <w:color w:val="5E6663"/>
          <w:sz w:val="19"/>
          <w:szCs w:val="19"/>
        </w:rPr>
        <w:t xml:space="preserve">Left half of the page.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6706"/>
      </w:tblGrid>
      <w:tr>
        <w:trPr>
          <w:tblHeader/>
        </w:trPr>
        <w:tc>
          <w:tcPr>
            <w:tcW w:type="dxa" w:w="26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Item</w:t>
            </w:r>
          </w:p>
        </w:tc>
        <w:tc>
          <w:tcPr>
            <w:tcW w:type="dxa" w:w="6706"/>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Text on the website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Eyebrow</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Contact &amp; consultation</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Headline</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pStyle w:val="ListParagraph"/>
              <w:numPr>
                <w:ilvl w:val="0"/>
                <w:numId w:val="2"/>
              </w:numPr>
              <w:spacing w:after="60"/>
            </w:pPr>
            <w:r>
              <w:t xml:space="preserve">Let’s structure</w:t>
            </w:r>
          </w:p>
          <w:p>
            <w:pPr>
              <w:pStyle w:val="ListParagraph"/>
              <w:numPr>
                <w:ilvl w:val="0"/>
                <w:numId w:val="2"/>
              </w:numPr>
              <w:spacing w:after="60"/>
            </w:pPr>
            <w:r>
              <w:rPr>
                <w:rFonts w:ascii="Georgia" w:cs="Georgia" w:eastAsia="Georgia" w:hAnsi="Georgia"/>
                <w:i/>
                <w:iCs/>
                <w:color w:val="0B7A5A"/>
              </w:rPr>
              <w:t xml:space="preserve">what’s next.</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Introduction</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Ready to digitise and optimise your corporate equity structure? Schedule a 15-minute introductory session with our equity specialists.</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Email</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contact@yourfirm.com</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Phone</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+1 (800) 555-0199</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Offices</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Hyderabad · Mumbai · Bangalore</w:t>
            </w:r>
          </w:p>
        </w:tc>
      </w:tr>
    </w:tbl>
    <w:p>
      <w:pPr>
        <w:spacing w:after="160"/>
      </w:pPr>
    </w:p>
    <w:p>
      <w:pPr>
        <w:pStyle w:val="Heading2"/>
      </w:pPr>
      <w:bookmarkStart w:name="_Toc26" w:id="26"/>
      <w:r>
        <w:t xml:space="preserve">2. Consultation request form</w:t>
      </w:r>
      <w:bookmarkEnd w:id="26"/>
    </w:p>
    <w:p>
      <w:pPr>
        <w:pBdr>
          <w:left w:val="single" w:color="C6A15B" w:sz="18" w:space="8"/>
        </w:pBdr>
        <w:shd w:fill="F6F4EE" w:color="auto" w:val="clear"/>
        <w:spacing w:after="160"/>
        <w:ind w:left="120"/>
      </w:pPr>
      <w:r>
        <w:rPr>
          <w:b/>
          <w:bCs/>
          <w:color w:val="0B7A5A"/>
          <w:sz w:val="19"/>
          <w:szCs w:val="19"/>
        </w:rPr>
        <w:t xml:space="preserve">Where it appears: </w:t>
      </w:r>
      <w:r>
        <w:rPr>
          <w:color w:val="5E6663"/>
          <w:sz w:val="19"/>
          <w:szCs w:val="19"/>
        </w:rPr>
        <w:t xml:space="preserve">Right half of the page. Submitting opens the visitor’s email app with a pre-filled message to the company email.</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6706"/>
      </w:tblGrid>
      <w:tr>
        <w:trPr>
          <w:tblHeader/>
        </w:trPr>
        <w:tc>
          <w:tcPr>
            <w:tcW w:type="dxa" w:w="2600"/>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Item</w:t>
            </w:r>
          </w:p>
        </w:tc>
        <w:tc>
          <w:tcPr>
            <w:tcW w:type="dxa" w:w="6706"/>
            <w:tcBorders>
              <w:top w:val="single" w:color="D5DAD7" w:sz="4"/>
              <w:left w:val="single" w:color="D5DAD7" w:sz="4"/>
              <w:bottom w:val="single" w:color="D5DAD7" w:sz="4"/>
              <w:right w:val="single" w:color="D5DAD7" w:sz="4"/>
            </w:tcBorders>
            <w:shd w:fill="073D32" w:color="auto" w:val="clear"/>
            <w:tcMar>
              <w:top w:type="dxa" w:w="100"/>
              <w:left w:type="dxa" w:w="140"/>
              <w:bottom w:type="dxa" w:w="100"/>
              <w:right w:type="dxa" w:w="140"/>
            </w:tcMar>
          </w:tcPr>
          <w:p>
            <w:r>
              <w:rPr>
                <w:b/>
                <w:bCs/>
                <w:color w:val="FFFFFF"/>
                <w:sz w:val="19"/>
                <w:szCs w:val="19"/>
              </w:rPr>
              <w:t xml:space="preserve">Text on the website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Form heading</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Request a consultation</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Field 1</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Full name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Field 2</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Company</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Field 3</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Work email</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Question</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What do you need help with?</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Options (tick boxes)</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pStyle w:val="ListParagraph"/>
              <w:numPr>
                <w:ilvl w:val="0"/>
                <w:numId w:val="2"/>
              </w:numPr>
              <w:spacing w:after="60"/>
            </w:pPr>
            <w:r>
              <w:t xml:space="preserve">Equity structuring</w:t>
            </w:r>
          </w:p>
          <w:p>
            <w:pPr>
              <w:pStyle w:val="ListParagraph"/>
              <w:numPr>
                <w:ilvl w:val="0"/>
                <w:numId w:val="2"/>
              </w:numPr>
              <w:spacing w:after="60"/>
            </w:pPr>
            <w:r>
              <w:t xml:space="preserve">Capital facilitation</w:t>
            </w:r>
          </w:p>
          <w:p>
            <w:pPr>
              <w:pStyle w:val="ListParagraph"/>
              <w:numPr>
                <w:ilvl w:val="0"/>
                <w:numId w:val="2"/>
              </w:numPr>
              <w:spacing w:after="60"/>
            </w:pPr>
            <w:r>
              <w:t xml:space="preserve">Cap-table management</w:t>
            </w:r>
          </w:p>
          <w:p>
            <w:pPr>
              <w:pStyle w:val="ListParagraph"/>
              <w:numPr>
                <w:ilvl w:val="0"/>
                <w:numId w:val="2"/>
              </w:numPr>
              <w:spacing w:after="60"/>
            </w:pPr>
            <w:r>
              <w:t xml:space="preserve">ESOP</w:t>
            </w:r>
          </w:p>
          <w:p>
            <w:pPr>
              <w:pStyle w:val="ListParagraph"/>
              <w:numPr>
                <w:ilvl w:val="0"/>
                <w:numId w:val="2"/>
              </w:numPr>
              <w:spacing w:after="60"/>
            </w:pPr>
            <w:r>
              <w:t xml:space="preserve">Transaction support</w:t>
            </w:r>
          </w:p>
          <w:p>
            <w:pPr>
              <w:pStyle w:val="ListParagraph"/>
              <w:numPr>
                <w:ilvl w:val="0"/>
                <w:numId w:val="2"/>
              </w:numPr>
              <w:spacing w:after="60"/>
            </w:pPr>
            <w:r>
              <w:t xml:space="preserve">Not sure yet</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Field 4</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Anything we should know?</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Send button</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Send request</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Note under the button</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Opens your email client with the details filled in.</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Message if details are missing</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Please add your name, company and email.</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Message after sending</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Your email client should open now. Thank you.</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Email subject line</w:t>
            </w:r>
          </w:p>
        </w:tc>
        <w:tc>
          <w:tcPr>
            <w:tcW w:type="dxa" w:w="6706"/>
            <w:tcBorders>
              <w:top w:val="single" w:color="D5DAD7" w:sz="4"/>
              <w:left w:val="single" w:color="D5DAD7" w:sz="4"/>
              <w:bottom w:val="single" w:color="D5DAD7" w:sz="4"/>
              <w:right w:val="single" w:color="D5DAD7" w:sz="4"/>
            </w:tcBorders>
            <w:shd w:fill="FBFAF7" w:color="auto" w:val="clear"/>
            <w:tcMar>
              <w:top w:type="dxa" w:w="100"/>
              <w:left w:type="dxa" w:w="140"/>
              <w:bottom w:type="dxa" w:w="100"/>
              <w:right w:type="dxa" w:w="140"/>
            </w:tcMar>
          </w:tcPr>
          <w:p>
            <w:pPr>
              <w:spacing w:after="0"/>
            </w:pPr>
            <w:r>
              <w:t xml:space="preserve">Consultation request: [company name]</w:t>
            </w:r>
          </w:p>
        </w:tc>
      </w:tr>
      <w:tr>
        <w:trPr>
          <w:cantSplit/>
        </w:trPr>
        <w:tc>
          <w:tcPr>
            <w:tcW w:type="dxa" w:w="2600"/>
            <w:tcBorders>
              <w:top w:val="single" w:color="D5DAD7" w:sz="4"/>
              <w:left w:val="single" w:color="D5DAD7" w:sz="4"/>
              <w:bottom w:val="single" w:color="D5DAD7" w:sz="4"/>
              <w:right w:val="single" w:color="D5DAD7" w:sz="4"/>
            </w:tcBorders>
            <w:shd w:fill="E6EEE8" w:color="auto" w:val="clear"/>
            <w:tcMar>
              <w:top w:type="dxa" w:w="100"/>
              <w:left w:type="dxa" w:w="140"/>
              <w:bottom w:type="dxa" w:w="100"/>
              <w:right w:type="dxa" w:w="140"/>
            </w:tcMar>
            <w:vAlign w:val="top"/>
          </w:tcPr>
          <w:p>
            <w:r>
              <w:rPr>
                <w:b/>
                <w:bCs/>
                <w:color w:val="073D32"/>
                <w:sz w:val="19"/>
                <w:szCs w:val="19"/>
              </w:rPr>
              <w:t xml:space="preserve">Email sent to</w:t>
            </w:r>
          </w:p>
        </w:tc>
        <w:tc>
          <w:tcPr>
            <w:tcW w:type="dxa" w:w="6706"/>
            <w:tcBorders>
              <w:top w:val="single" w:color="D5DAD7" w:sz="4"/>
              <w:left w:val="single" w:color="D5DAD7" w:sz="4"/>
              <w:bottom w:val="single" w:color="D5DAD7" w:sz="4"/>
              <w:right w:val="single" w:color="D5DAD7" w:sz="4"/>
            </w:tcBorders>
            <w:shd w:fill="FFFFFF" w:color="auto" w:val="clear"/>
            <w:tcMar>
              <w:top w:type="dxa" w:w="100"/>
              <w:left w:type="dxa" w:w="140"/>
              <w:bottom w:type="dxa" w:w="100"/>
              <w:right w:type="dxa" w:w="140"/>
            </w:tcMar>
          </w:tcPr>
          <w:p>
            <w:pPr>
              <w:spacing w:after="0"/>
            </w:pPr>
            <w:r>
              <w:t xml:space="preserve">contact@yourfirm.com</w:t>
            </w:r>
          </w:p>
        </w:tc>
      </w:tr>
    </w:tbl>
    <w:p>
      <w:pPr>
        <w:spacing w:after="160"/>
      </w:pPr>
    </w:p>
    <w:sectPr>
      <w:headerReference w:type="default" r:id="rId6"/>
      <w:headerReference w:type="first" r:id="rId7"/>
      <w:footerReference w:type="default" r:id="rId8"/>
      <w:footerReference w:type="first" r:id="rId9"/>
      <w:pgSz w:w="11906" w:h="16838" w:orient="portrait"/>
      <w:pgMar w:top="1300" w:right="1300" w:bottom="1300" w:left="130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06"/>
      </w:tabs>
    </w:pPr>
    <w:r>
      <w:rPr>
        <w:color w:val="5E6663"/>
        <w:sz w:val="16"/>
        <w:szCs w:val="16"/>
      </w:rPr>
      <w:t xml:space="preserve">Universal Equity Management Solutions</w:t>
    </w:r>
    <w:r>
      <w:t xml:space="preserve">	</w:t>
    </w:r>
    <w:r>
      <w:rPr>
        <w:color w:val="5E6663"/>
        <w:sz w:val="16"/>
        <w:szCs w:val="16"/>
      </w:rPr>
      <w:t xml:space="preserve">Page </w:t>
    </w:r>
    <w:r>
      <w:rPr>
        <w:b/>
        <w:bCs/>
        <w:color w:val="073D32"/>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CF9F" w:sz="6" w:space="6"/>
      </w:pBdr>
      <w:tabs>
        <w:tab w:val="right" w:pos="9306"/>
      </w:tabs>
    </w:pPr>
    <w:r>
      <w:rPr>
        <w:color w:val="5E6663"/>
        <w:sz w:val="16"/>
        <w:szCs w:val="16"/>
      </w:rPr>
      <w:t xml:space="preserve">UEMS  ·  Website Content</w:t>
    </w:r>
    <w:r>
      <w:t xml:space="preserve">	</w:t>
    </w:r>
    <w:r>
      <w:rPr>
        <w:color w:val="C6A15B"/>
        <w:sz w:val="16"/>
        <w:szCs w:val="16"/>
      </w:rPr>
      <w:t xml:space="preserve">Hyderabad  ·  Mumbai  ·  Bangalore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C6A15B"/>
      </w:rPr>
    </w:lvl>
    <w:lvl w:ilvl="1" w:tentative="1">
      <w:start w:val="1"/>
      <w:numFmt w:val="bullet"/>
      <w:lvlText w:val="–"/>
      <w:lvlJc w:val="left"/>
      <w:pPr>
        <w:ind w:left="720" w:hanging="240"/>
      </w:pPr>
      <w:rPr>
        <w:color w:val="C6A15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201D"/>
        <w:sz w:val="21"/>
        <w:szCs w:val="21"/>
      </w:rPr>
    </w:rPrDefault>
    <w:pPrDefault>
      <w:pPr>
        <w:spacing w:line="300"/>
      </w:pPr>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qFormat/>
    <w:pPr>
      <w:spacing w:line="300"/>
    </w:pPr>
    <w:rPr>
      <w:rFonts w:ascii="Arial" w:cs="Arial" w:eastAsia="Arial" w:hAnsi="Arial"/>
      <w:color w:val="17201D"/>
      <w:sz w:val="21"/>
      <w:szCs w:val="21"/>
    </w:rPr>
  </w:style>
  <w:style w:type="paragraph" w:styleId="Heading1">
    <w:name w:val="Heading 1"/>
    <w:basedOn w:val="Normal"/>
    <w:next w:val="Normal"/>
    <w:qFormat/>
    <w:pPr>
      <w:spacing w:after="240" w:before="0"/>
      <w:outlineLvl w:val="0"/>
    </w:pPr>
    <w:rPr>
      <w:rFonts w:ascii="Georgia" w:cs="Georgia" w:eastAsia="Georgia" w:hAnsi="Georgia"/>
      <w:color w:val="073D32"/>
      <w:sz w:val="48"/>
      <w:szCs w:val="48"/>
    </w:rPr>
  </w:style>
  <w:style w:type="paragraph" w:styleId="Heading2">
    <w:name w:val="Heading 2"/>
    <w:basedOn w:val="Normal"/>
    <w:next w:val="Normal"/>
    <w:qFormat/>
    <w:pPr>
      <w:keepNext/>
      <w:spacing w:after="120" w:before="420"/>
      <w:outlineLvl w:val="1"/>
    </w:pPr>
    <w:rPr>
      <w:rFonts w:ascii="Georgia" w:cs="Georgia" w:eastAsia="Georgia" w:hAnsi="Georgia"/>
      <w:color w:val="073D32"/>
      <w:sz w:val="32"/>
      <w:szCs w:val="32"/>
    </w:rPr>
  </w:style>
  <w:style w:type="paragraph" w:styleId="Heading3">
    <w:name w:val="Heading 3"/>
    <w:basedOn w:val="Normal"/>
    <w:next w:val="Normal"/>
    <w:qFormat/>
    <w:pPr>
      <w:keepNext/>
      <w:spacing w:after="100" w:before="240"/>
      <w:outlineLvl w:val="2"/>
    </w:pPr>
    <w:rPr>
      <w:rFonts w:ascii="Arial" w:cs="Arial" w:eastAsia="Arial" w:hAnsi="Arial"/>
      <w:b/>
      <w:bCs/>
      <w:color w:val="0B7A5A"/>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UEMS Website Content</dc:title>
  <dc:creator>Universal Equity Management Solutions</dc:creator>
  <dc:description>All text on the UEMS website, page by page.</dc:description>
  <cp:lastModifiedBy>Un-named</cp:lastModifiedBy>
  <cp:revision>1</cp:revision>
  <dcterms:created xsi:type="dcterms:W3CDTF">2026-10-09T09:19:03.692Z</dcterms:created>
  <dcterms:modified xsi:type="dcterms:W3CDTF">2026-10-09T09:19:03.692Z</dcterms:modified>
</cp:coreProperties>
</file>

<file path=docProps/custom.xml><?xml version="1.0" encoding="utf-8"?>
<Properties xmlns="http://schemas.openxmlformats.org/officeDocument/2006/custom-properties" xmlns:vt="http://schemas.openxmlformats.org/officeDocument/2006/docPropsVTypes"/>
</file>