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Quantifying Agricultural Resilience: A Geospatial Analysis of Drought, Soil Type, and the Mitigating Effect of Irrigation on Soybean Yield Disparity in Maryland</w:t>
      </w:r>
    </w:p>
    <w:p/>
    <w:p>
      <w:pPr>
        <w:jc w:val="both"/>
      </w:pPr>
      <w:r>
        <w:rPr>
          <w:rFonts w:ascii="Times New Roman" w:hAnsi="Times New Roman"/>
          <w:sz w:val="22"/>
        </w:rPr>
        <w:t>While the U.S. Midwest sets the global standard for soybean (Glycine max) productivity, Maryland consistently underperforms relative to the national benchmark. This state-level deficit, however, masks a critical intra-state disparity between the sandy Atlantic Coastal Plain (Eastern Shore) and the silt-loam Piedmont (North Central). This study quantifies agricultural resilience across these regions by investigating how drought exposure, soil type, and irrigation jointly shape soybean yield outcomes, with the central hypothesis that divergent resilience to hydrological stress is the primary driver of the yield gap. We employ a multi-factor geospatial framework integrating USDA NASS yield statistics, NOAA climate records, SSURGO soil data, and high-resolution Sentinel-2 imagery processed via Google Earth Engine. Focusing on the critical reproductive window (R4–R6), we analyze relationships between yield and satellite-derived vegetation and water indices (NDVI, NDWI) across five agricultural districts from 2017 to 2024. Results reveal a pedological paradox: districts on the Eastern Shore, characterized by coarse-textured soils with low water-holding capacity, exhibit greater yield stability than traditionally more favorable silt-loam districts, primarily due to more extensive irrigation infrastructure. These findings indicate that while soil texture historically conditioned drought vulnerability, active water management has begun to decouple production from climate variability in the Coastal Plain, leaving nominally stable rainfed zones increasingly exposed to seasonal flash droughts and reinforcing the need for targeted irrigation and drought-adaptation strategies in Maryland.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