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E293B"/>
          <w:sz w:val="52"/>
        </w:rPr>
        <w:t>Customer Churn Prediction</w:t>
        <w:br/>
        <w:t>and Retention Intelligence System</w:t>
      </w:r>
    </w:p>
    <w:p>
      <w:pPr>
        <w:jc w:val="center"/>
      </w:pPr>
      <w:r>
        <w:rPr>
          <w:color w:val="64748B"/>
          <w:sz w:val="28"/>
        </w:rPr>
        <w:br/>
        <w:t>End-to-End Machine Learning Project</w:t>
        <w:br/>
        <w:t>Internship Evaluation Submission</w:t>
      </w:r>
    </w:p>
    <w:p>
      <w:r>
        <w:br w:type="page"/>
      </w:r>
    </w:p>
    <w:p>
      <w:pPr>
        <w:pStyle w:val="Heading1"/>
      </w:pPr>
      <w:r>
        <w:rPr>
          <w:color w:val="1E293B"/>
        </w:rPr>
        <w:t>1. Abstract</w:t>
      </w:r>
    </w:p>
    <w:p>
      <w:r>
        <w:rPr>
          <w:b w:val="0"/>
          <w:i w:val="0"/>
          <w:sz w:val="22"/>
        </w:rPr>
        <w:t>This project presents a complete end-to-end machine learning system for predicting customer churn in a telecommunications company. Using the publicly available Telco Customer Churn dataset from Kaggle (7,043 customers, 21 features), the system implements data cleaning, exploratory data analysis, business KPI calculation, feature engineering, multiple classification models, hyperparameter tuning, customer risk segmentation, and a rule-based business recommendation engine. The final XGBoost (Tuned) model achieves ~84% ROC-AUC and ~81% Recall.</w:t>
      </w:r>
    </w:p>
    <w:p>
      <w:pPr>
        <w:pStyle w:val="Heading1"/>
      </w:pPr>
      <w:r>
        <w:rPr>
          <w:color w:val="1E293B"/>
        </w:rPr>
        <w:t>2. Business Problem</w:t>
      </w:r>
    </w:p>
    <w:p>
      <w:r>
        <w:rPr>
          <w:b w:val="0"/>
          <w:i w:val="0"/>
          <w:sz w:val="22"/>
        </w:rPr>
        <w:t>The business wants to identify customers who are at risk of leaving and answer:</w:t>
        <w:br/>
        <w:t>• What is the overall churn rate?</w:t>
        <w:br/>
        <w:t>• Which customer groups have higher churn?</w:t>
        <w:br/>
        <w:t>• What factors are associated with churn?</w:t>
        <w:br/>
        <w:t>• Which customers are predicted to be at high risk?</w:t>
        <w:br/>
      </w:r>
    </w:p>
    <w:p>
      <w:pPr>
        <w:pStyle w:val="Heading1"/>
      </w:pPr>
      <w:r>
        <w:rPr>
          <w:color w:val="1E293B"/>
        </w:rPr>
        <w:t>3. Dataset Description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Value</w:t>
            </w:r>
          </w:p>
        </w:tc>
      </w:tr>
      <w:tr>
        <w:tc>
          <w:tcPr>
            <w:tcW w:type="dxa" w:w="4320"/>
          </w:tcPr>
          <w:p>
            <w:r>
              <w:rPr>
                <w:sz w:val="18"/>
              </w:rPr>
              <w:t>Rows</w:t>
            </w:r>
          </w:p>
        </w:tc>
        <w:tc>
          <w:tcPr>
            <w:tcW w:type="dxa" w:w="4320"/>
          </w:tcPr>
          <w:p>
            <w:r>
              <w:rPr>
                <w:sz w:val="18"/>
              </w:rPr>
              <w:t>7,043</w:t>
            </w:r>
          </w:p>
        </w:tc>
      </w:tr>
      <w:tr>
        <w:tc>
          <w:tcPr>
            <w:tcW w:type="dxa" w:w="4320"/>
          </w:tcPr>
          <w:p>
            <w:r>
              <w:rPr>
                <w:sz w:val="18"/>
              </w:rPr>
              <w:t>Columns</w:t>
            </w:r>
          </w:p>
        </w:tc>
        <w:tc>
          <w:tcPr>
            <w:tcW w:type="dxa" w:w="4320"/>
          </w:tcPr>
          <w:p>
            <w:r>
              <w:rPr>
                <w:sz w:val="18"/>
              </w:rPr>
              <w:t>21</w:t>
            </w:r>
          </w:p>
        </w:tc>
      </w:tr>
      <w:tr>
        <w:tc>
          <w:tcPr>
            <w:tcW w:type="dxa" w:w="4320"/>
          </w:tcPr>
          <w:p>
            <w:r>
              <w:rPr>
                <w:sz w:val="18"/>
              </w:rPr>
              <w:t>Target Column</w:t>
            </w:r>
          </w:p>
        </w:tc>
        <w:tc>
          <w:tcPr>
            <w:tcW w:type="dxa" w:w="4320"/>
          </w:tcPr>
          <w:p>
            <w:r>
              <w:rPr>
                <w:sz w:val="18"/>
              </w:rPr>
              <w:t>Churn (Yes/No)</w:t>
            </w:r>
          </w:p>
        </w:tc>
      </w:tr>
      <w:tr>
        <w:tc>
          <w:tcPr>
            <w:tcW w:type="dxa" w:w="4320"/>
          </w:tcPr>
          <w:p>
            <w:r>
              <w:rPr>
                <w:sz w:val="18"/>
              </w:rPr>
              <w:t>Target Distribution</w:t>
            </w:r>
          </w:p>
        </w:tc>
        <w:tc>
          <w:tcPr>
            <w:tcW w:type="dxa" w:w="4320"/>
          </w:tcPr>
          <w:p>
            <w:r>
              <w:rPr>
                <w:sz w:val="18"/>
              </w:rPr>
              <w:t>No: 5,174 (73.46%) | Yes: 1,869 (26.54%)</w:t>
            </w:r>
          </w:p>
        </w:tc>
      </w:tr>
    </w:tbl>
    <w:p>
      <w:pPr>
        <w:pStyle w:val="Heading1"/>
      </w:pPr>
      <w:r>
        <w:rPr>
          <w:color w:val="1E293B"/>
        </w:rPr>
        <w:t>4. Exploratory Data Analysis</w:t>
      </w:r>
    </w:p>
    <w:p>
      <w:r>
        <w:rPr>
          <w:b w:val="0"/>
          <w:i w:val="0"/>
          <w:sz w:val="22"/>
        </w:rPr>
        <w:t>Comprehensive EDA was performed to understand churn patterns:</w:t>
      </w:r>
    </w:p>
    <w:p>
      <w:pPr>
        <w:jc w:val="center"/>
      </w:pPr>
      <w:r>
        <w:drawing>
          <wp:inline xmlns:a="http://schemas.openxmlformats.org/drawingml/2006/main" xmlns:pic="http://schemas.openxmlformats.org/drawingml/2006/picture">
            <wp:extent cx="4572000" cy="4869971"/>
            <wp:docPr id="1" name="Picture 1"/>
            <wp:cNvGraphicFramePr>
              <a:graphicFrameLocks noChangeAspect="1"/>
            </wp:cNvGraphicFramePr>
            <a:graphic>
              <a:graphicData uri="http://schemas.openxmlformats.org/drawingml/2006/picture">
                <pic:pic>
                  <pic:nvPicPr>
                    <pic:cNvPr id="0" name="churn_dist.png"/>
                    <pic:cNvPicPr/>
                  </pic:nvPicPr>
                  <pic:blipFill>
                    <a:blip r:embed="rId9"/>
                    <a:stretch>
                      <a:fillRect/>
                    </a:stretch>
                  </pic:blipFill>
                  <pic:spPr>
                    <a:xfrm>
                      <a:off x="0" y="0"/>
                      <a:ext cx="4572000" cy="4869971"/>
                    </a:xfrm>
                    <a:prstGeom prst="rect"/>
                  </pic:spPr>
                </pic:pic>
              </a:graphicData>
            </a:graphic>
          </wp:inline>
        </w:drawing>
      </w:r>
    </w:p>
    <w:p>
      <w:pPr>
        <w:jc w:val="center"/>
      </w:pPr>
      <w:r>
        <w:drawing>
          <wp:inline xmlns:a="http://schemas.openxmlformats.org/drawingml/2006/main" xmlns:pic="http://schemas.openxmlformats.org/drawingml/2006/picture">
            <wp:extent cx="5486400" cy="3353134"/>
            <wp:docPr id="2" name="Picture 2"/>
            <wp:cNvGraphicFramePr>
              <a:graphicFrameLocks noChangeAspect="1"/>
            </wp:cNvGraphicFramePr>
            <a:graphic>
              <a:graphicData uri="http://schemas.openxmlformats.org/drawingml/2006/picture">
                <pic:pic>
                  <pic:nvPicPr>
                    <pic:cNvPr id="0" name="churn_contract.png"/>
                    <pic:cNvPicPr/>
                  </pic:nvPicPr>
                  <pic:blipFill>
                    <a:blip r:embed="rId10"/>
                    <a:stretch>
                      <a:fillRect/>
                    </a:stretch>
                  </pic:blipFill>
                  <pic:spPr>
                    <a:xfrm>
                      <a:off x="0" y="0"/>
                      <a:ext cx="5486400" cy="3353134"/>
                    </a:xfrm>
                    <a:prstGeom prst="rect"/>
                  </pic:spPr>
                </pic:pic>
              </a:graphicData>
            </a:graphic>
          </wp:inline>
        </w:drawing>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Analysis</w:t>
            </w:r>
          </w:p>
        </w:tc>
        <w:tc>
          <w:tcPr>
            <w:tcW w:type="dxa" w:w="4320"/>
          </w:tcPr>
          <w:p>
            <w:r>
              <w:rPr>
                <w:b/>
                <w:sz w:val="18"/>
              </w:rPr>
              <w:t>Finding</w:t>
            </w:r>
          </w:p>
        </w:tc>
      </w:tr>
      <w:tr>
        <w:tc>
          <w:tcPr>
            <w:tcW w:type="dxa" w:w="4320"/>
          </w:tcPr>
          <w:p>
            <w:r>
              <w:rPr>
                <w:sz w:val="18"/>
              </w:rPr>
              <w:t>Overall Churn</w:t>
            </w:r>
          </w:p>
        </w:tc>
        <w:tc>
          <w:tcPr>
            <w:tcW w:type="dxa" w:w="4320"/>
          </w:tcPr>
          <w:p>
            <w:r>
              <w:rPr>
                <w:sz w:val="18"/>
              </w:rPr>
              <w:t>26.54% churn rate (1,869 out of 7,043)</w:t>
            </w:r>
          </w:p>
        </w:tc>
      </w:tr>
      <w:tr>
        <w:tc>
          <w:tcPr>
            <w:tcW w:type="dxa" w:w="4320"/>
          </w:tcPr>
          <w:p>
            <w:r>
              <w:rPr>
                <w:sz w:val="18"/>
              </w:rPr>
              <w:t>Contract Type</w:t>
            </w:r>
          </w:p>
        </w:tc>
        <w:tc>
          <w:tcPr>
            <w:tcW w:type="dxa" w:w="4320"/>
          </w:tcPr>
          <w:p>
            <w:r>
              <w:rPr>
                <w:sz w:val="18"/>
              </w:rPr>
              <w:t>Month-to-month: 42.7% churn | One year: 11.3% | Two year: 2.8%</w:t>
            </w:r>
          </w:p>
        </w:tc>
      </w:tr>
      <w:tr>
        <w:tc>
          <w:tcPr>
            <w:tcW w:type="dxa" w:w="4320"/>
          </w:tcPr>
          <w:p>
            <w:r>
              <w:rPr>
                <w:sz w:val="18"/>
              </w:rPr>
              <w:t>Internet Service</w:t>
            </w:r>
          </w:p>
        </w:tc>
        <w:tc>
          <w:tcPr>
            <w:tcW w:type="dxa" w:w="4320"/>
          </w:tcPr>
          <w:p>
            <w:r>
              <w:rPr>
                <w:sz w:val="18"/>
              </w:rPr>
              <w:t>Fiber optic: 41.9% | DSL: 19.0% | No internet: 7.4%</w:t>
            </w:r>
          </w:p>
        </w:tc>
      </w:tr>
      <w:tr>
        <w:tc>
          <w:tcPr>
            <w:tcW w:type="dxa" w:w="4320"/>
          </w:tcPr>
          <w:p>
            <w:r>
              <w:rPr>
                <w:sz w:val="18"/>
              </w:rPr>
              <w:t>Payment Method</w:t>
            </w:r>
          </w:p>
        </w:tc>
        <w:tc>
          <w:tcPr>
            <w:tcW w:type="dxa" w:w="4320"/>
          </w:tcPr>
          <w:p>
            <w:r>
              <w:rPr>
                <w:sz w:val="18"/>
              </w:rPr>
              <w:t>Electronic check: 45.3% (highest)</w:t>
            </w:r>
          </w:p>
        </w:tc>
      </w:tr>
    </w:tbl>
    <w:p>
      <w:pPr>
        <w:pStyle w:val="Heading1"/>
      </w:pPr>
      <w:r>
        <w:rPr>
          <w:color w:val="1E293B"/>
        </w:rPr>
        <w:t>5. Machine Learning Models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Model</w:t>
            </w:r>
          </w:p>
        </w:tc>
        <w:tc>
          <w:tcPr>
            <w:tcW w:type="dxa" w:w="1440"/>
          </w:tcPr>
          <w:p>
            <w:r>
              <w:rPr>
                <w:b/>
                <w:sz w:val="18"/>
              </w:rPr>
              <w:t>Accuracy</w:t>
            </w:r>
          </w:p>
        </w:tc>
        <w:tc>
          <w:tcPr>
            <w:tcW w:type="dxa" w:w="1440"/>
          </w:tcPr>
          <w:p>
            <w:r>
              <w:rPr>
                <w:b/>
                <w:sz w:val="18"/>
              </w:rPr>
              <w:t>Precision</w:t>
            </w:r>
          </w:p>
        </w:tc>
        <w:tc>
          <w:tcPr>
            <w:tcW w:type="dxa" w:w="1440"/>
          </w:tcPr>
          <w:p>
            <w:r>
              <w:rPr>
                <w:b/>
                <w:sz w:val="18"/>
              </w:rPr>
              <w:t>Recall</w:t>
            </w:r>
          </w:p>
        </w:tc>
        <w:tc>
          <w:tcPr>
            <w:tcW w:type="dxa" w:w="1440"/>
          </w:tcPr>
          <w:p>
            <w:r>
              <w:rPr>
                <w:b/>
                <w:sz w:val="18"/>
              </w:rPr>
              <w:t>F1</w:t>
            </w:r>
          </w:p>
        </w:tc>
        <w:tc>
          <w:tcPr>
            <w:tcW w:type="dxa" w:w="1440"/>
          </w:tcPr>
          <w:p>
            <w:r>
              <w:rPr>
                <w:b/>
                <w:sz w:val="18"/>
              </w:rPr>
              <w:t>ROC-AUC</w:t>
            </w:r>
          </w:p>
        </w:tc>
      </w:tr>
      <w:tr>
        <w:tc>
          <w:tcPr>
            <w:tcW w:type="dxa" w:w="1440"/>
          </w:tcPr>
          <w:p>
            <w:r>
              <w:rPr>
                <w:sz w:val="18"/>
              </w:rPr>
              <w:t>Logistic Regression</w:t>
            </w:r>
          </w:p>
        </w:tc>
        <w:tc>
          <w:tcPr>
            <w:tcW w:type="dxa" w:w="1440"/>
          </w:tcPr>
          <w:p>
            <w:r>
              <w:rPr>
                <w:sz w:val="18"/>
              </w:rPr>
              <w:t>74.24%</w:t>
            </w:r>
          </w:p>
        </w:tc>
        <w:tc>
          <w:tcPr>
            <w:tcW w:type="dxa" w:w="1440"/>
          </w:tcPr>
          <w:p>
            <w:r>
              <w:rPr>
                <w:sz w:val="18"/>
              </w:rPr>
              <w:t>50.96%</w:t>
            </w:r>
          </w:p>
        </w:tc>
        <w:tc>
          <w:tcPr>
            <w:tcW w:type="dxa" w:w="1440"/>
          </w:tcPr>
          <w:p>
            <w:r>
              <w:rPr>
                <w:sz w:val="18"/>
              </w:rPr>
              <w:t>78.34%</w:t>
            </w:r>
          </w:p>
        </w:tc>
        <w:tc>
          <w:tcPr>
            <w:tcW w:type="dxa" w:w="1440"/>
          </w:tcPr>
          <w:p>
            <w:r>
              <w:rPr>
                <w:sz w:val="18"/>
              </w:rPr>
              <w:t>61.75%</w:t>
            </w:r>
          </w:p>
        </w:tc>
        <w:tc>
          <w:tcPr>
            <w:tcW w:type="dxa" w:w="1440"/>
          </w:tcPr>
          <w:p>
            <w:r>
              <w:rPr>
                <w:sz w:val="18"/>
              </w:rPr>
              <w:t>84.20%</w:t>
            </w:r>
          </w:p>
        </w:tc>
      </w:tr>
      <w:tr>
        <w:tc>
          <w:tcPr>
            <w:tcW w:type="dxa" w:w="1440"/>
          </w:tcPr>
          <w:p>
            <w:r>
              <w:rPr>
                <w:sz w:val="18"/>
              </w:rPr>
              <w:t>Random Forest</w:t>
            </w:r>
          </w:p>
        </w:tc>
        <w:tc>
          <w:tcPr>
            <w:tcW w:type="dxa" w:w="1440"/>
          </w:tcPr>
          <w:p>
            <w:r>
              <w:rPr>
                <w:sz w:val="18"/>
              </w:rPr>
              <w:t>77.71%</w:t>
            </w:r>
          </w:p>
        </w:tc>
        <w:tc>
          <w:tcPr>
            <w:tcW w:type="dxa" w:w="1440"/>
          </w:tcPr>
          <w:p>
            <w:r>
              <w:rPr>
                <w:sz w:val="18"/>
              </w:rPr>
              <w:t>60.27%</w:t>
            </w:r>
          </w:p>
        </w:tc>
        <w:tc>
          <w:tcPr>
            <w:tcW w:type="dxa" w:w="1440"/>
          </w:tcPr>
          <w:p>
            <w:r>
              <w:rPr>
                <w:sz w:val="18"/>
              </w:rPr>
              <w:t>47.06%</w:t>
            </w:r>
          </w:p>
        </w:tc>
        <w:tc>
          <w:tcPr>
            <w:tcW w:type="dxa" w:w="1440"/>
          </w:tcPr>
          <w:p>
            <w:r>
              <w:rPr>
                <w:sz w:val="18"/>
              </w:rPr>
              <w:t>52.85%</w:t>
            </w:r>
          </w:p>
        </w:tc>
        <w:tc>
          <w:tcPr>
            <w:tcW w:type="dxa" w:w="1440"/>
          </w:tcPr>
          <w:p>
            <w:r>
              <w:rPr>
                <w:sz w:val="18"/>
              </w:rPr>
              <w:t>82.12%</w:t>
            </w:r>
          </w:p>
        </w:tc>
      </w:tr>
      <w:tr>
        <w:tc>
          <w:tcPr>
            <w:tcW w:type="dxa" w:w="1440"/>
          </w:tcPr>
          <w:p>
            <w:r>
              <w:rPr>
                <w:sz w:val="18"/>
              </w:rPr>
              <w:t>Gradient Boosting</w:t>
            </w:r>
          </w:p>
        </w:tc>
        <w:tc>
          <w:tcPr>
            <w:tcW w:type="dxa" w:w="1440"/>
          </w:tcPr>
          <w:p>
            <w:r>
              <w:rPr>
                <w:sz w:val="18"/>
              </w:rPr>
              <w:t>79.21%</w:t>
            </w:r>
          </w:p>
        </w:tc>
        <w:tc>
          <w:tcPr>
            <w:tcW w:type="dxa" w:w="1440"/>
          </w:tcPr>
          <w:p>
            <w:r>
              <w:rPr>
                <w:sz w:val="18"/>
              </w:rPr>
              <w:t>63.11%</w:t>
            </w:r>
          </w:p>
        </w:tc>
        <w:tc>
          <w:tcPr>
            <w:tcW w:type="dxa" w:w="1440"/>
          </w:tcPr>
          <w:p>
            <w:r>
              <w:rPr>
                <w:sz w:val="18"/>
              </w:rPr>
              <w:t>52.14%</w:t>
            </w:r>
          </w:p>
        </w:tc>
        <w:tc>
          <w:tcPr>
            <w:tcW w:type="dxa" w:w="1440"/>
          </w:tcPr>
          <w:p>
            <w:r>
              <w:rPr>
                <w:sz w:val="18"/>
              </w:rPr>
              <w:t>57.10%</w:t>
            </w:r>
          </w:p>
        </w:tc>
        <w:tc>
          <w:tcPr>
            <w:tcW w:type="dxa" w:w="1440"/>
          </w:tcPr>
          <w:p>
            <w:r>
              <w:rPr>
                <w:sz w:val="18"/>
              </w:rPr>
              <w:t>83.52%</w:t>
            </w:r>
          </w:p>
        </w:tc>
      </w:tr>
      <w:tr>
        <w:tc>
          <w:tcPr>
            <w:tcW w:type="dxa" w:w="1440"/>
          </w:tcPr>
          <w:p>
            <w:r>
              <w:rPr>
                <w:sz w:val="18"/>
              </w:rPr>
              <w:t>XGBoost</w:t>
            </w:r>
          </w:p>
        </w:tc>
        <w:tc>
          <w:tcPr>
            <w:tcW w:type="dxa" w:w="1440"/>
          </w:tcPr>
          <w:p>
            <w:r>
              <w:rPr>
                <w:sz w:val="18"/>
              </w:rPr>
              <w:t>75.51%</w:t>
            </w:r>
          </w:p>
        </w:tc>
        <w:tc>
          <w:tcPr>
            <w:tcW w:type="dxa" w:w="1440"/>
          </w:tcPr>
          <w:p>
            <w:r>
              <w:rPr>
                <w:sz w:val="18"/>
              </w:rPr>
              <w:t>52.64%</w:t>
            </w:r>
          </w:p>
        </w:tc>
        <w:tc>
          <w:tcPr>
            <w:tcW w:type="dxa" w:w="1440"/>
          </w:tcPr>
          <w:p>
            <w:r>
              <w:rPr>
                <w:sz w:val="18"/>
              </w:rPr>
              <w:t>77.27%</w:t>
            </w:r>
          </w:p>
        </w:tc>
        <w:tc>
          <w:tcPr>
            <w:tcW w:type="dxa" w:w="1440"/>
          </w:tcPr>
          <w:p>
            <w:r>
              <w:rPr>
                <w:sz w:val="18"/>
              </w:rPr>
              <w:t>62.62%</w:t>
            </w:r>
          </w:p>
        </w:tc>
        <w:tc>
          <w:tcPr>
            <w:tcW w:type="dxa" w:w="1440"/>
          </w:tcPr>
          <w:p>
            <w:r>
              <w:rPr>
                <w:sz w:val="18"/>
              </w:rPr>
              <w:t>83.72%</w:t>
            </w:r>
          </w:p>
        </w:tc>
      </w:tr>
      <w:tr>
        <w:tc>
          <w:tcPr>
            <w:tcW w:type="dxa" w:w="1440"/>
          </w:tcPr>
          <w:p>
            <w:r>
              <w:rPr>
                <w:sz w:val="18"/>
              </w:rPr>
              <w:t>XGBoost (Tuned)</w:t>
            </w:r>
          </w:p>
        </w:tc>
        <w:tc>
          <w:tcPr>
            <w:tcW w:type="dxa" w:w="1440"/>
          </w:tcPr>
          <w:p>
            <w:r>
              <w:rPr>
                <w:sz w:val="18"/>
              </w:rPr>
              <w:t>75.66%</w:t>
            </w:r>
          </w:p>
        </w:tc>
        <w:tc>
          <w:tcPr>
            <w:tcW w:type="dxa" w:w="1440"/>
          </w:tcPr>
          <w:p>
            <w:r>
              <w:rPr>
                <w:sz w:val="18"/>
              </w:rPr>
              <w:t>52.70%</w:t>
            </w:r>
          </w:p>
        </w:tc>
        <w:tc>
          <w:tcPr>
            <w:tcW w:type="dxa" w:w="1440"/>
          </w:tcPr>
          <w:p>
            <w:r>
              <w:rPr>
                <w:sz w:val="18"/>
              </w:rPr>
              <w:t>81.02%</w:t>
            </w:r>
          </w:p>
        </w:tc>
        <w:tc>
          <w:tcPr>
            <w:tcW w:type="dxa" w:w="1440"/>
          </w:tcPr>
          <w:p>
            <w:r>
              <w:rPr>
                <w:sz w:val="18"/>
              </w:rPr>
              <w:t>63.86%</w:t>
            </w:r>
          </w:p>
        </w:tc>
        <w:tc>
          <w:tcPr>
            <w:tcW w:type="dxa" w:w="1440"/>
          </w:tcPr>
          <w:p>
            <w:r>
              <w:rPr>
                <w:sz w:val="18"/>
              </w:rPr>
              <w:t>84.71%</w:t>
            </w:r>
          </w:p>
        </w:tc>
      </w:tr>
    </w:tbl>
    <w:p/>
    <w:p>
      <w:r>
        <w:rPr>
          <w:b w:val="0"/>
          <w:i w:val="0"/>
          <w:sz w:val="22"/>
        </w:rPr>
        <w:t>ROC Curves of all trained models:</w:t>
      </w:r>
    </w:p>
    <w:p>
      <w:pPr>
        <w:jc w:val="center"/>
      </w:pPr>
      <w:r>
        <w:drawing>
          <wp:inline xmlns:a="http://schemas.openxmlformats.org/drawingml/2006/main" xmlns:pic="http://schemas.openxmlformats.org/drawingml/2006/picture">
            <wp:extent cx="5486400" cy="4184947"/>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5486400" cy="4184947"/>
                    </a:xfrm>
                    <a:prstGeom prst="rect"/>
                  </pic:spPr>
                </pic:pic>
              </a:graphicData>
            </a:graphic>
          </wp:inline>
        </w:drawing>
      </w:r>
    </w:p>
    <w:p>
      <w:pPr>
        <w:pStyle w:val="Heading1"/>
      </w:pPr>
      <w:r>
        <w:rPr>
          <w:color w:val="1E293B"/>
        </w:rPr>
        <w:t>6. Feature Importance</w:t>
      </w:r>
    </w:p>
    <w:p>
      <w:r>
        <w:rPr>
          <w:b w:val="0"/>
          <w:i w:val="0"/>
          <w:sz w:val="22"/>
        </w:rPr>
        <w:t>The final XGBoost model identified the following features as most predictive of churn:</w:t>
      </w:r>
    </w:p>
    <w:p>
      <w:pPr>
        <w:jc w:val="center"/>
      </w:pPr>
      <w:r>
        <w:drawing>
          <wp:inline xmlns:a="http://schemas.openxmlformats.org/drawingml/2006/main" xmlns:pic="http://schemas.openxmlformats.org/drawingml/2006/picture">
            <wp:extent cx="5486400" cy="338549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486400" cy="3385490"/>
                    </a:xfrm>
                    <a:prstGeom prst="rect"/>
                  </pic:spPr>
                </pic:pic>
              </a:graphicData>
            </a:graphic>
          </wp:inline>
        </w:drawing>
      </w:r>
    </w:p>
    <w:p>
      <w:pPr>
        <w:pStyle w:val="Heading1"/>
      </w:pPr>
      <w:r>
        <w:rPr>
          <w:color w:val="1E293B"/>
        </w:rPr>
        <w:t>7. Business Insights &amp; Recommendations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Condition</w:t>
            </w:r>
          </w:p>
        </w:tc>
        <w:tc>
          <w:tcPr>
            <w:tcW w:type="dxa" w:w="4320"/>
          </w:tcPr>
          <w:p>
            <w:r>
              <w:rPr>
                <w:b/>
                <w:sz w:val="18"/>
              </w:rPr>
              <w:t>Action</w:t>
            </w:r>
          </w:p>
        </w:tc>
      </w:tr>
      <w:tr>
        <w:tc>
          <w:tcPr>
            <w:tcW w:type="dxa" w:w="4320"/>
          </w:tcPr>
          <w:p>
            <w:r>
              <w:rPr>
                <w:sz w:val="18"/>
              </w:rPr>
              <w:t>High risk + MTM contract</w:t>
            </w:r>
          </w:p>
        </w:tc>
        <w:tc>
          <w:tcPr>
            <w:tcW w:type="dxa" w:w="4320"/>
          </w:tcPr>
          <w:p>
            <w:r>
              <w:rPr>
                <w:sz w:val="18"/>
              </w:rPr>
              <w:t>Offer incentivised annual or 2-year contract upgrade</w:t>
            </w:r>
          </w:p>
        </w:tc>
      </w:tr>
      <w:tr>
        <w:tc>
          <w:tcPr>
            <w:tcW w:type="dxa" w:w="4320"/>
          </w:tcPr>
          <w:p>
            <w:r>
              <w:rPr>
                <w:sz w:val="18"/>
              </w:rPr>
              <w:t>High risk + Short tenure</w:t>
            </w:r>
          </w:p>
        </w:tc>
        <w:tc>
          <w:tcPr>
            <w:tcW w:type="dxa" w:w="4320"/>
          </w:tcPr>
          <w:p>
            <w:r>
              <w:rPr>
                <w:sz w:val="18"/>
              </w:rPr>
              <w:t>Proactive onboarding check-in, welcome discount, dedicated support</w:t>
            </w:r>
          </w:p>
        </w:tc>
      </w:tr>
      <w:tr>
        <w:tc>
          <w:tcPr>
            <w:tcW w:type="dxa" w:w="4320"/>
          </w:tcPr>
          <w:p>
            <w:r>
              <w:rPr>
                <w:sz w:val="18"/>
              </w:rPr>
              <w:t>High risk + High charges</w:t>
            </w:r>
          </w:p>
        </w:tc>
        <w:tc>
          <w:tcPr>
            <w:tcW w:type="dxa" w:w="4320"/>
          </w:tcPr>
          <w:p>
            <w:r>
              <w:rPr>
                <w:sz w:val="18"/>
              </w:rPr>
              <w:t>Personalised bundle offers or loyalty discounts</w:t>
            </w:r>
          </w:p>
        </w:tc>
      </w:tr>
      <w:tr>
        <w:tc>
          <w:tcPr>
            <w:tcW w:type="dxa" w:w="4320"/>
          </w:tcPr>
          <w:p>
            <w:r>
              <w:rPr>
                <w:sz w:val="18"/>
              </w:rPr>
              <w:t>High risk + Fiber optic</w:t>
            </w:r>
          </w:p>
        </w:tc>
        <w:tc>
          <w:tcPr>
            <w:tcW w:type="dxa" w:w="4320"/>
          </w:tcPr>
          <w:p>
            <w:r>
              <w:rPr>
                <w:sz w:val="18"/>
              </w:rPr>
              <w:t>Investigate service quality; offer proactive technical support</w:t>
            </w:r>
          </w:p>
        </w:tc>
      </w:tr>
      <w:tr>
        <w:tc>
          <w:tcPr>
            <w:tcW w:type="dxa" w:w="4320"/>
          </w:tcPr>
          <w:p>
            <w:r>
              <w:rPr>
                <w:sz w:val="18"/>
              </w:rPr>
              <w:t>High risk + Electronic check</w:t>
            </w:r>
          </w:p>
        </w:tc>
        <w:tc>
          <w:tcPr>
            <w:tcW w:type="dxa" w:w="4320"/>
          </w:tcPr>
          <w:p>
            <w:r>
              <w:rPr>
                <w:sz w:val="18"/>
              </w:rPr>
              <w:t>Encourage auto-pay with a small incentive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