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</w:t>
      </w:r>
    </w:p>
    <w:p>
      <w:r>
        <w:t>Project: HHOBI Migration to Federated Data Lake (FDL)</w:t>
      </w:r>
    </w:p>
    <w:p>
      <w:r>
        <w:t>Generated from: HHOBI-Migration-Requirements.docx</w:t>
      </w:r>
    </w:p>
    <w:p>
      <w:r>
        <w:t>Status: Approved (Sample Expected Output)</w:t>
      </w:r>
    </w:p>
    <w:p>
      <w:r>
        <w:t>Version: 1.0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rPr>
          <w:sz w:val="22"/>
        </w:rPr>
        <w:t>Purpose: This BRD defines requirements to migrate the HHOBI application from a legacy platform to the Federated Data Lake (FDL) platform.</w:t>
      </w:r>
    </w:p>
    <w:p>
      <w:pPr>
        <w:pStyle w:val="ListBullet"/>
      </w:pPr>
      <w:r>
        <w:rPr>
          <w:sz w:val="22"/>
        </w:rPr>
        <w:t>Scope: Covers data ingestion, transformation, curated dataset loading, reporting/extract continuity, and governance controls.</w:t>
      </w:r>
    </w:p>
    <w:p>
      <w:pPr>
        <w:pStyle w:val="ListBullet"/>
      </w:pPr>
      <w:r>
        <w:rPr>
          <w:sz w:val="22"/>
        </w:rPr>
        <w:t>Business Objectives: Reduce legacy overhead, standardize FDL processes, and enable future source onboarding with minimal effort.</w:t>
      </w:r>
    </w:p>
    <w:p>
      <w:pPr>
        <w:pStyle w:val="Heading1"/>
      </w:pPr>
      <w:r>
        <w:t>Business Goals</w:t>
      </w:r>
    </w:p>
    <w:p>
      <w:pPr>
        <w:pStyle w:val="ListBullet"/>
      </w:pPr>
      <w:r>
        <w:rPr>
          <w:sz w:val="22"/>
        </w:rPr>
        <w:t>BG-001: Migrate HHOBI from legacy platform to FDL. Priority: High. Source: CG-DOC-98178</w:t>
      </w:r>
    </w:p>
    <w:p>
      <w:pPr>
        <w:pStyle w:val="ListBullet"/>
      </w:pPr>
      <w:r>
        <w:rPr>
          <w:sz w:val="22"/>
        </w:rPr>
        <w:t>BG-002: Reduce operational overhead of legacy infrastructure. Priority: Medium. Source: CG-DOC-98178</w:t>
      </w:r>
    </w:p>
    <w:p>
      <w:pPr>
        <w:pStyle w:val="ListBullet"/>
      </w:pPr>
      <w:r>
        <w:rPr>
          <w:sz w:val="22"/>
        </w:rPr>
        <w:t>BG-003: Standardize ingestion, transformation, and consumption on enterprise FDL architecture. Priority: High. Source: CG-DOC-98178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rPr>
          <w:sz w:val="22"/>
        </w:rPr>
        <w:t>FR-001: Ingest data from multiple source systems and process for downstream consumption. Priority: High.</w:t>
      </w:r>
    </w:p>
    <w:p>
      <w:pPr>
        <w:pStyle w:val="ListBullet"/>
      </w:pPr>
      <w:r>
        <w:rPr>
          <w:sz w:val="22"/>
        </w:rPr>
        <w:t>FR-002: Maintain reporting and extract generation during and after migration. Priority: High.</w:t>
      </w:r>
    </w:p>
    <w:p>
      <w:pPr>
        <w:pStyle w:val="ListBullet"/>
      </w:pPr>
      <w:r>
        <w:rPr>
          <w:sz w:val="22"/>
        </w:rPr>
        <w:t>FR-003: Source product data from IA_PRODUCTS. Priority: High.</w:t>
      </w:r>
    </w:p>
    <w:p>
      <w:pPr>
        <w:pStyle w:val="ListBullet"/>
      </w:pPr>
      <w:r>
        <w:rPr>
          <w:sz w:val="22"/>
        </w:rPr>
        <w:t>FR-004: Source customer data from IA_CUSTOMERS. Priority: High.</w:t>
      </w:r>
    </w:p>
    <w:p>
      <w:pPr>
        <w:pStyle w:val="ListBullet"/>
      </w:pPr>
      <w:r>
        <w:rPr>
          <w:sz w:val="22"/>
        </w:rPr>
        <w:t>FR-005: Ensure mandatory attributes exist before curated dataset load. Priority: High.</w:t>
      </w:r>
    </w:p>
    <w:p>
      <w:pPr>
        <w:pStyle w:val="ListBullet"/>
      </w:pPr>
      <w:r>
        <w:rPr>
          <w:sz w:val="22"/>
        </w:rPr>
        <w:t>FR-006: Identify and handle duplicate records per governance standards. Priority: Medium.</w:t>
      </w:r>
    </w:p>
    <w:p>
      <w:pPr>
        <w:pStyle w:val="ListBullet"/>
      </w:pPr>
      <w:r>
        <w:rPr>
          <w:sz w:val="22"/>
        </w:rPr>
        <w:t>FR-007: Process only valid source records. Priority: High.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rPr>
          <w:sz w:val="22"/>
        </w:rPr>
        <w:t>NFR-001: Improve scalability, maintainability, and reliability of data processing. Priority: High.</w:t>
      </w:r>
    </w:p>
    <w:p>
      <w:pPr>
        <w:pStyle w:val="ListBullet"/>
      </w:pPr>
      <w:r>
        <w:rPr>
          <w:sz w:val="22"/>
        </w:rPr>
        <w:t>NFR-002: Maintain data quality, consistency, and compliance throughout migration. Priority: High.</w:t>
      </w:r>
    </w:p>
    <w:p>
      <w:pPr>
        <w:pStyle w:val="ListBullet"/>
      </w:pPr>
      <w:r>
        <w:rPr>
          <w:sz w:val="22"/>
        </w:rPr>
        <w:t>NFR-003: Database must support ACID, backup/recovery, and performance tuning. Priority: Medium.</w:t>
      </w:r>
    </w:p>
    <w:p>
      <w:pPr>
        <w:pStyle w:val="Heading1"/>
      </w:pPr>
      <w:r>
        <w:t>Constraints</w:t>
      </w:r>
    </w:p>
    <w:p>
      <w:pPr>
        <w:pStyle w:val="ListBullet"/>
      </w:pPr>
      <w:r>
        <w:rPr>
          <w:sz w:val="22"/>
        </w:rPr>
        <w:t>CON-001: Only valid source records shall be processed.</w:t>
      </w:r>
    </w:p>
    <w:p>
      <w:pPr>
        <w:pStyle w:val="ListBullet"/>
      </w:pPr>
      <w:r>
        <w:rPr>
          <w:sz w:val="22"/>
        </w:rPr>
        <w:t>CON-002: Migration must not disrupt existing report consumers.</w:t>
      </w:r>
    </w:p>
    <w:p>
      <w:pPr>
        <w:pStyle w:val="Heading1"/>
      </w:pPr>
      <w:r>
        <w:t>Assumptions</w:t>
      </w:r>
    </w:p>
    <w:p>
      <w:pPr>
        <w:pStyle w:val="ListBullet"/>
      </w:pPr>
      <w:r>
        <w:rPr>
          <w:sz w:val="22"/>
        </w:rPr>
        <w:t>ASM-001: Source systems remain available during migration planning.</w:t>
      </w:r>
    </w:p>
    <w:p>
      <w:pPr>
        <w:pStyle w:val="ListBullet"/>
      </w:pPr>
      <w:r>
        <w:rPr>
          <w:sz w:val="22"/>
        </w:rPr>
        <w:t>ASM-002: FDL capacity is provisioned before cutover.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rPr>
          <w:sz w:val="22"/>
        </w:rPr>
        <w:t>AC-001: Reports and extracts operate without interruption during and after migration.</w:t>
      </w:r>
    </w:p>
    <w:p>
      <w:pPr>
        <w:pStyle w:val="ListBullet"/>
      </w:pPr>
      <w:r>
        <w:rPr>
          <w:sz w:val="22"/>
        </w:rPr>
        <w:t>AC-002: Curated datasets include mandatory attributes before load.</w:t>
      </w:r>
    </w:p>
    <w:p>
      <w:pPr>
        <w:pStyle w:val="ListBullet"/>
      </w:pPr>
      <w:r>
        <w:rPr>
          <w:sz w:val="22"/>
        </w:rPr>
        <w:t>AC-003: Duplicate handling follows data governance standards.</w:t>
      </w:r>
    </w:p>
    <w:p>
      <w:pPr>
        <w:pStyle w:val="Heading1"/>
      </w:pPr>
      <w:r>
        <w:t>Technical Specifications</w:t>
      </w:r>
    </w:p>
    <w:p>
      <w:pPr>
        <w:pStyle w:val="ListBullet"/>
      </w:pPr>
      <w:r>
        <w:rPr>
          <w:sz w:val="22"/>
        </w:rPr>
        <w:t>Overview: Batch and curated-zone loading on FDL with governed ingestion pipelines.</w:t>
      </w:r>
    </w:p>
    <w:p>
      <w:pPr>
        <w:pStyle w:val="ListBullet"/>
      </w:pPr>
      <w:r>
        <w:rPr>
          <w:sz w:val="22"/>
        </w:rPr>
        <w:t>Data Sources: IA_PRODUCTS, IA_CUSTOMERS, and additional migration sources.</w:t>
      </w:r>
    </w:p>
    <w:p>
      <w:pPr>
        <w:pStyle w:val="ListBullet"/>
      </w:pPr>
      <w:r>
        <w:rPr>
          <w:sz w:val="22"/>
        </w:rPr>
        <w:t>Processing: Validation, deduplication, and attribute completeness checks before curated load.</w:t>
      </w:r>
    </w:p>
    <w:p>
      <w:pPr>
        <w:pStyle w:val="Heading1"/>
      </w:pPr>
      <w:r>
        <w:t>Implementation Plan</w:t>
      </w:r>
    </w:p>
    <w:p>
      <w:pPr>
        <w:pStyle w:val="ListBullet"/>
      </w:pPr>
      <w:r>
        <w:rPr>
          <w:sz w:val="22"/>
        </w:rPr>
        <w:t>Phases: Planning, Design, Development, Testing, Deployment</w:t>
      </w:r>
    </w:p>
    <w:p>
      <w:pPr>
        <w:pStyle w:val="ListBullet"/>
      </w:pPr>
      <w:r>
        <w:rPr>
          <w:sz w:val="22"/>
        </w:rPr>
        <w:t>Timeline: To be finalized after requirements sign-off.</w:t>
      </w:r>
    </w:p>
    <w:p>
      <w:pPr>
        <w:pStyle w:val="ListBullet"/>
      </w:pPr>
      <w:r>
        <w:rPr>
          <w:sz w:val="22"/>
        </w:rPr>
        <w:t>Resources: Business, engineering, QA, and operations teams.</w:t>
      </w:r>
    </w:p>
    <w:p>
      <w:pPr>
        <w:pStyle w:val="Heading1"/>
      </w:pPr>
      <w:r>
        <w:t>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Technical complexity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Prototype ingestion patterns early</w:t>
            </w:r>
          </w:p>
        </w:tc>
      </w:tr>
      <w:tr>
        <w:tc>
          <w:tcPr>
            <w:tcW w:type="dxa" w:w="2160"/>
          </w:tcPr>
          <w:p>
            <w:r>
              <w:t>Scope creep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Change control and signed requirements</w:t>
            </w:r>
          </w:p>
        </w:tc>
      </w:tr>
      <w:tr>
        <w:tc>
          <w:tcPr>
            <w:tcW w:type="dxa" w:w="2160"/>
          </w:tcPr>
          <w:p>
            <w:r>
              <w:t>Resource constraints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Plan contingency staffing</w:t>
            </w:r>
          </w:p>
        </w:tc>
      </w:tr>
      <w:tr>
        <w:tc>
          <w:tcPr>
            <w:tcW w:type="dxa" w:w="2160"/>
          </w:tcPr>
          <w:p>
            <w:r>
              <w:t>Integration challenges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Early integration testing with report consumers</w:t>
            </w:r>
          </w:p>
        </w:tc>
      </w:tr>
    </w:tbl>
    <w:p>
      <w:pPr>
        <w:pStyle w:val="Heading1"/>
      </w:pPr>
      <w:r>
        <w:t>Stakeholder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Influence</w:t>
            </w:r>
          </w:p>
        </w:tc>
      </w:tr>
      <w:tr>
        <w:tc>
          <w:tcPr>
            <w:tcW w:type="dxa" w:w="2160"/>
          </w:tcPr>
          <w:p>
            <w:r>
              <w:t>Business Owner</w:t>
            </w:r>
          </w:p>
        </w:tc>
        <w:tc>
          <w:tcPr>
            <w:tcW w:type="dxa" w:w="2160"/>
          </w:tcPr>
          <w:p>
            <w:r>
              <w:t>Sponsorship and approvals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Requirements and UAT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Development Team</w:t>
            </w:r>
          </w:p>
        </w:tc>
        <w:tc>
          <w:tcPr>
            <w:tcW w:type="dxa" w:w="2160"/>
          </w:tcPr>
          <w:p>
            <w:r>
              <w:t>Design and implementation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QA Team</w:t>
            </w:r>
          </w:p>
        </w:tc>
        <w:tc>
          <w:tcPr>
            <w:tcW w:type="dxa" w:w="2160"/>
          </w:tcPr>
          <w:p>
            <w:r>
              <w:t>Testing and quality assurance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End Users</w:t>
            </w:r>
          </w:p>
        </w:tc>
        <w:tc>
          <w:tcPr>
            <w:tcW w:type="dxa" w:w="2160"/>
          </w:tcPr>
          <w:p>
            <w:r>
              <w:t>Acceptance testing and feedback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pPr>
        <w:pStyle w:val="Heading1"/>
      </w:pPr>
      <w:r>
        <w:t>Traceability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BG-001</w:t>
            </w:r>
          </w:p>
        </w:tc>
        <w:tc>
          <w:tcPr>
            <w:tcW w:type="dxa" w:w="2880"/>
          </w:tcPr>
          <w:p>
            <w:r>
              <w:t>Migrate HHOBI to FDL</w:t>
            </w:r>
          </w:p>
        </w:tc>
        <w:tc>
          <w:tcPr>
            <w:tcW w:type="dxa" w:w="2880"/>
          </w:tcPr>
          <w:p>
            <w:r>
              <w:t>CG-DOC-98178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Multi-source ingestion</w:t>
            </w:r>
          </w:p>
        </w:tc>
        <w:tc>
          <w:tcPr>
            <w:tcW w:type="dxa" w:w="2880"/>
          </w:tcPr>
          <w:p>
            <w:r>
              <w:t>CG-DOC-98178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IA_PRODUCTS sourcing</w:t>
            </w:r>
          </w:p>
        </w:tc>
        <w:tc>
          <w:tcPr>
            <w:tcW w:type="dxa" w:w="2880"/>
          </w:tcPr>
          <w:p>
            <w:r>
              <w:t>CG-DOC-98178</w:t>
            </w:r>
          </w:p>
        </w:tc>
      </w:tr>
      <w:tr>
        <w:tc>
          <w:tcPr>
            <w:tcW w:type="dxa" w:w="2880"/>
          </w:tcPr>
          <w:p>
            <w:r>
              <w:t>FR-004</w:t>
            </w:r>
          </w:p>
        </w:tc>
        <w:tc>
          <w:tcPr>
            <w:tcW w:type="dxa" w:w="2880"/>
          </w:tcPr>
          <w:p>
            <w:r>
              <w:t>IA_CUSTOMERS sourcing</w:t>
            </w:r>
          </w:p>
        </w:tc>
        <w:tc>
          <w:tcPr>
            <w:tcW w:type="dxa" w:w="2880"/>
          </w:tcPr>
          <w:p>
            <w:r>
              <w:t>CG-DOC-98178</w:t>
            </w:r>
          </w:p>
        </w:tc>
      </w:tr>
      <w:tr>
        <w:tc>
          <w:tcPr>
            <w:tcW w:type="dxa" w:w="2880"/>
          </w:tcPr>
          <w:p>
            <w:r>
              <w:t>AC-001</w:t>
            </w:r>
          </w:p>
        </w:tc>
        <w:tc>
          <w:tcPr>
            <w:tcW w:type="dxa" w:w="2880"/>
          </w:tcPr>
          <w:p>
            <w:r>
              <w:t>Uninterrupted reporting</w:t>
            </w:r>
          </w:p>
        </w:tc>
        <w:tc>
          <w:tcPr>
            <w:tcW w:type="dxa" w:w="2880"/>
          </w:tcPr>
          <w:p>
            <w:r>
              <w:t>CG-DOC-98178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