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HHOBI Data Migration - Source Requirements Notes</w:t>
      </w:r>
    </w:p>
    <w:p>
      <w:r>
        <w:t>Document ID: CG-DOC-98178</w:t>
      </w:r>
    </w:p>
    <w:p>
      <w:r>
        <w:t>Author: Business Analysis Team</w:t>
      </w:r>
    </w:p>
    <w:p>
      <w:r>
        <w:t>Date: July 2026</w:t>
      </w:r>
    </w:p>
    <w:p>
      <w:pPr>
        <w:pStyle w:val="Heading1"/>
      </w:pPr>
      <w:r>
        <w:t>PROJECT OVERVIEW</w:t>
      </w:r>
    </w:p>
    <w:p>
      <w:r>
        <w:t>The HHOBI application currently runs on a legacy platform. The business wants to migrate it to the Federated Data Lake (FDL) platform to improve scalability, maintainability, and reliability of data processing.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- Migrate the HHOBI application from the legacy platform to FDL.</w:t>
      </w:r>
    </w:p>
    <w:p>
      <w:pPr>
        <w:pStyle w:val="ListBullet"/>
      </w:pPr>
      <w:r>
        <w:t>- Reduce operational overhead associated with maintaining legacy infrastructure.</w:t>
      </w:r>
    </w:p>
    <w:p>
      <w:pPr>
        <w:pStyle w:val="ListBullet"/>
      </w:pPr>
      <w:r>
        <w:t>- Standardize data ingestion, transformation, and consumption using enterprise FDL architecture.</w:t>
      </w:r>
    </w:p>
    <w:p>
      <w:pPr>
        <w:pStyle w:val="ListBullet"/>
      </w:pPr>
      <w:r>
        <w:t>- Enable future onboarding of additional source systems with minimal development effort.</w:t>
      </w:r>
    </w:p>
    <w:p>
      <w:pPr>
        <w:pStyle w:val="ListBullet"/>
      </w:pPr>
      <w:r>
        <w:t>- Maintain uninterrupted reporting and extract generation during and after migration.</w:t>
      </w:r>
    </w:p>
    <w:p>
      <w:pPr>
        <w:pStyle w:val="Heading1"/>
      </w:pPr>
      <w:r>
        <w:t>CURRENT STATE</w:t>
      </w:r>
    </w:p>
    <w:p>
      <w:pPr>
        <w:pStyle w:val="ListBullet"/>
      </w:pPr>
      <w:r>
        <w:t>- Data is ingested from multiple source systems.</w:t>
      </w:r>
    </w:p>
    <w:p>
      <w:pPr>
        <w:pStyle w:val="ListBullet"/>
      </w:pPr>
      <w:r>
        <w:t>- Consumption is mainly through reports and extracts.</w:t>
      </w:r>
    </w:p>
    <w:p>
      <w:pPr>
        <w:pStyle w:val="ListBullet"/>
      </w:pPr>
      <w:r>
        <w:t>- Legacy processes are difficult to scale and maintain.</w:t>
      </w:r>
    </w:p>
    <w:p>
      <w:pPr>
        <w:pStyle w:val="Heading1"/>
      </w:pPr>
      <w:r>
        <w:t>FUNCTIONAL REQUIREMENTS</w:t>
      </w:r>
    </w:p>
    <w:p>
      <w:r>
        <w:t>1. The migration must ingest data from multiple sources and process it for downstream consumption.</w:t>
      </w:r>
    </w:p>
    <w:p>
      <w:r>
        <w:t>2. Reporting and extract generation must continue during and after migration.</w:t>
      </w:r>
    </w:p>
    <w:p>
      <w:r>
        <w:t>3. Product information must be sourced from the IA_PRODUCTS table.</w:t>
      </w:r>
    </w:p>
    <w:p>
      <w:r>
        <w:t>4. Customer information must be sourced from the IA_CUSTOMERS table.</w:t>
      </w:r>
    </w:p>
    <w:p>
      <w:r>
        <w:t>5. Mandatory attributes must be available before records are loaded into curated datasets.</w:t>
      </w:r>
    </w:p>
    <w:p>
      <w:r>
        <w:t>6. Duplicate records must be identified and handled per data governance standards.</w:t>
      </w:r>
    </w:p>
    <w:p>
      <w:r>
        <w:t>7. Only valid source records shall be processed.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- Improve scalability, maintainability, and reliability of data processing.</w:t>
      </w:r>
    </w:p>
    <w:p>
      <w:pPr>
        <w:pStyle w:val="ListBullet"/>
      </w:pPr>
      <w:r>
        <w:t>- Maintain data quality, consistency, and compliance throughout migration.</w:t>
      </w:r>
    </w:p>
    <w:p>
      <w:pPr>
        <w:pStyle w:val="ListBullet"/>
      </w:pPr>
      <w:r>
        <w:t>- Database must support ACID compliance, backup and recovery, and performance optimization based on data volume.</w:t>
      </w:r>
    </w:p>
    <w:p>
      <w:pPr>
        <w:pStyle w:val="Heading1"/>
      </w:pPr>
      <w:r>
        <w:t>ASSUMPTIONS</w:t>
      </w:r>
    </w:p>
    <w:p>
      <w:pPr>
        <w:pStyle w:val="ListBullet"/>
      </w:pPr>
      <w:r>
        <w:t>- Source systems will remain available during migration planning.</w:t>
      </w:r>
    </w:p>
    <w:p>
      <w:pPr>
        <w:pStyle w:val="ListBullet"/>
      </w:pPr>
      <w:r>
        <w:t>- FDL platform capacity will be provisioned before cutover.</w:t>
      </w:r>
    </w:p>
    <w:p>
      <w:pPr>
        <w:pStyle w:val="Heading1"/>
      </w:pPr>
      <w:r>
        <w:t>CONSTRAINTS</w:t>
      </w:r>
    </w:p>
    <w:p>
      <w:pPr>
        <w:pStyle w:val="ListBullet"/>
      </w:pPr>
      <w:r>
        <w:t>- Only valid source records shall be processed.</w:t>
      </w:r>
    </w:p>
    <w:p>
      <w:pPr>
        <w:pStyle w:val="ListBullet"/>
      </w:pPr>
      <w:r>
        <w:t>- Migration must not disrupt existing report consumers.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- Reports and extracts work without interruption during and after migration.</w:t>
      </w:r>
    </w:p>
    <w:p>
      <w:pPr>
        <w:pStyle w:val="ListBullet"/>
      </w:pPr>
      <w:r>
        <w:t>- Curated datasets contain mandatory attributes before load.</w:t>
      </w:r>
    </w:p>
    <w:p>
      <w:pPr>
        <w:pStyle w:val="ListBullet"/>
      </w:pPr>
      <w:r>
        <w:t>- Duplicate handling follows data governance standards.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- Business Owner: project sponsorship and approvals.</w:t>
      </w:r>
    </w:p>
    <w:p>
      <w:pPr>
        <w:pStyle w:val="ListBullet"/>
      </w:pPr>
      <w:r>
        <w:t>- Business Analyst: requirements and UAT support.</w:t>
      </w:r>
    </w:p>
    <w:p>
      <w:pPr>
        <w:pStyle w:val="ListBullet"/>
      </w:pPr>
      <w:r>
        <w:t>- Development Team: design, build, and unit testing.</w:t>
      </w:r>
    </w:p>
    <w:p>
      <w:pPr>
        <w:pStyle w:val="ListBullet"/>
      </w:pPr>
      <w:r>
        <w:t>- QA Team: system and regression testing.</w:t>
      </w:r>
    </w:p>
    <w:p>
      <w:pPr>
        <w:pStyle w:val="ListBullet"/>
      </w:pPr>
      <w:r>
        <w:t>- End Users: acceptance testing and feedback.</w:t>
      </w:r>
    </w:p>
    <w:p>
      <w:pPr>
        <w:pStyle w:val="Heading1"/>
      </w:pPr>
      <w:r>
        <w:t>RISKS</w:t>
      </w:r>
    </w:p>
    <w:p>
      <w:pPr>
        <w:pStyle w:val="ListBullet"/>
      </w:pPr>
      <w:r>
        <w:t>- Technical complexity of multi-source ingestion.</w:t>
      </w:r>
    </w:p>
    <w:p>
      <w:pPr>
        <w:pStyle w:val="ListBullet"/>
      </w:pPr>
      <w:r>
        <w:t>- Scope creep from additional source onboarding requests.</w:t>
      </w:r>
    </w:p>
    <w:p>
      <w:pPr>
        <w:pStyle w:val="ListBullet"/>
      </w:pPr>
      <w:r>
        <w:t>- Resource constraints during parallel legacy and FDL operations.</w:t>
      </w:r>
    </w:p>
    <w:p>
      <w:pPr>
        <w:pStyle w:val="ListBullet"/>
      </w:pPr>
      <w:r>
        <w:t>- Integration challenges with existing report consumers.</w:t>
      </w:r>
    </w:p>
    <w:p>
      <w:pPr>
        <w:pStyle w:val="Heading1"/>
      </w:pPr>
      <w:r>
        <w:t>IMPLEMENTATION NOTES</w:t>
      </w:r>
    </w:p>
    <w:p>
      <w:r>
        <w:t>Suggested phases: Planning, Design, Development, Testing, Deployment.</w:t>
      </w:r>
    </w:p>
    <w:p>
      <w:r>
        <w:t>Timeline to be finalized after requirements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