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4E79"/>
          <w:sz w:val="56"/>
          <w:szCs w:val="56"/>
        </w:rPr>
        <w:t xml:space="preserve">IoT-NetGuard</w:t>
      </w:r>
    </w:p>
    <w:p>
      <w:pPr>
        <w:spacing w:before="0" w:after="80"/>
        <w:jc w:val="center"/>
      </w:pPr>
      <w:r>
        <w:rPr>
          <w:rFonts w:ascii="Arial" w:cs="Arial" w:eastAsia="Arial" w:hAnsi="Arial"/>
          <w:b/>
          <w:bCs/>
          <w:color w:val="2E75B6"/>
          <w:sz w:val="32"/>
          <w:szCs w:val="32"/>
        </w:rPr>
        <w:t xml:space="preserve">Anomaly Detection System for IoT Cybersecurity</w:t>
      </w:r>
    </w:p>
    <w:p>
      <w:pPr>
        <w:spacing w:before="0" w:after="200"/>
        <w:jc w:val="center"/>
      </w:pPr>
      <w:r>
        <w:rPr>
          <w:rFonts w:ascii="Arial" w:cs="Arial" w:eastAsia="Arial" w:hAnsi="Arial"/>
          <w:i/>
          <w:iCs/>
          <w:color w:val="555555"/>
          <w:sz w:val="22"/>
          <w:szCs w:val="22"/>
        </w:rPr>
        <w:t xml:space="preserve">Machine Learning and Deep Learning Methods on the IoT-23 Dataset</w:t>
      </w:r>
    </w:p>
    <w:p>
      <w:pPr>
        <w:pBdr>
          <w:top w:val="single" w:color="2E75B6" w:sz="6"/>
          <w:bottom w:val="single" w:color="2E75B6" w:sz="6"/>
        </w:pBdr>
        <w:shd w:fill="E8F4FD" w:val="clear"/>
        <w:spacing w:before="160" w:after="160"/>
        <w:jc w:val="center"/>
      </w:pPr>
      <w:r>
        <w:rPr>
          <w:rFonts w:ascii="Arial" w:cs="Arial" w:eastAsia="Arial" w:hAnsi="Arial"/>
          <w:color w:val="333333"/>
          <w:sz w:val="20"/>
          <w:szCs w:val="20"/>
        </w:rPr>
        <w:t xml:space="preserve">Research Paper  •  IoT Security &amp; Anomaly Detection  •  IoT-23 Dataset</w:t>
      </w:r>
    </w:p>
    <w:p>
      <w:pPr>
        <w:spacing w:before="40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Abstract</w:t>
      </w:r>
    </w:p>
    <w:p>
      <w:pPr>
        <w:spacing w:before="80" w:after="120" w:line="360"/>
      </w:pPr>
      <w:r>
        <w:rPr>
          <w:rFonts w:ascii="Arial" w:cs="Arial" w:eastAsia="Arial" w:hAnsi="Arial"/>
          <w:sz w:val="22"/>
          <w:szCs w:val="22"/>
        </w:rPr>
        <w:t xml:space="preserve">This paper presents IoT-NetGuard, a proposed anomaly detection system designed for IoT security environments. The system leverages multiple Machine Learning (ML) and Deep Learning (DL) methods — including Naïve Bayes, Support Vector Machine (SVM), Decision Trees, and Convolutional Neural Networks (CNN) — evaluated against the IoT-23 dataset. The primary research objective was to identify the optimal solution balancing time efficiency and classification accuracy. Experimental results demonstrate that the proposed approach achieves superior accuracy compared to existing methods in the literature, establishing IoT-NetGuard as a competitive framework for real-world IoT intrusion detection.</w:t>
      </w:r>
    </w:p>
    <w:p>
      <w:pPr>
        <w:spacing w:before="20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1. Introduction</w:t>
      </w:r>
    </w:p>
    <w:p>
      <w:pPr>
        <w:spacing w:before="80" w:after="120" w:line="360"/>
      </w:pPr>
      <w:r>
        <w:rPr>
          <w:rFonts w:ascii="Arial" w:cs="Arial" w:eastAsia="Arial" w:hAnsi="Arial"/>
          <w:sz w:val="22"/>
          <w:szCs w:val="22"/>
        </w:rPr>
        <w:t xml:space="preserve">The rapid proliferation of Internet of Things (IoT) devices has introduced unprecedented cybersecurity challenges. IoT networks are increasingly targeted by malicious actors exploiting heterogeneous protocols, limited computational resources, and often inadequate built-in security mechanisms. Effective anomaly detection is therefore a critical component of any modern IoT security architecture.</w:t>
      </w:r>
    </w:p>
    <w:p>
      <w:pPr>
        <w:spacing w:before="80" w:after="120" w:line="360"/>
      </w:pPr>
      <w:r>
        <w:rPr>
          <w:rFonts w:ascii="Arial" w:cs="Arial" w:eastAsia="Arial" w:hAnsi="Arial"/>
          <w:sz w:val="22"/>
          <w:szCs w:val="22"/>
        </w:rPr>
        <w:t xml:space="preserve">IoT-NetGuard addresses this challenge by providing a systematic ML/DL evaluation framework applied to the IoT-23 dataset — a large, labeled collection of IoT network traffic traces encompassing both benign and malicious behaviors. The research investigates the trade-offs between model accuracy, computational efficiency, and generalizability across 23 distinct traffic scenarios.</w:t>
      </w:r>
    </w:p>
    <w:p>
      <w:pPr>
        <w:spacing w:before="80" w:after="0"/>
      </w:pPr>
      <w:r>
        <w:t xml:space="preserve"/>
      </w:r>
    </w:p>
    <w:p>
      <w:pPr>
        <w:pStyle w:val="Heading2"/>
        <w:spacing w:before="240" w:after="120"/>
      </w:pPr>
      <w:r>
        <w:rPr>
          <w:rFonts w:ascii="Arial" w:cs="Arial" w:eastAsia="Arial" w:hAnsi="Arial"/>
          <w:b/>
          <w:bCs/>
          <w:color w:val="2E75B6"/>
          <w:sz w:val="24"/>
          <w:szCs w:val="24"/>
        </w:rPr>
        <w:t xml:space="preserve">1.1 Research Objectives</w:t>
      </w:r>
    </w:p>
    <w:p>
      <w:pPr>
        <w:pStyle w:val="ListParagraph"/>
        <w:numPr>
          <w:ilvl w:val="0"/>
          <w:numId w:val="2"/>
        </w:numPr>
        <w:spacing w:before="60" w:after="60"/>
      </w:pPr>
      <w:r>
        <w:rPr>
          <w:rFonts w:ascii="Arial" w:cs="Arial" w:eastAsia="Arial" w:hAnsi="Arial"/>
          <w:sz w:val="22"/>
          <w:szCs w:val="22"/>
        </w:rPr>
        <w:t xml:space="preserve">Evaluate multiple ML/DL classifiers for anomaly detection on IoT network traffic</w:t>
      </w:r>
    </w:p>
    <w:p>
      <w:pPr>
        <w:pStyle w:val="ListParagraph"/>
        <w:numPr>
          <w:ilvl w:val="0"/>
          <w:numId w:val="2"/>
        </w:numPr>
        <w:spacing w:before="60" w:after="60"/>
      </w:pPr>
      <w:r>
        <w:rPr>
          <w:rFonts w:ascii="Arial" w:cs="Arial" w:eastAsia="Arial" w:hAnsi="Arial"/>
          <w:sz w:val="22"/>
          <w:szCs w:val="22"/>
        </w:rPr>
        <w:t xml:space="preserve">Identify the best model based on accuracy and time efficiency</w:t>
      </w:r>
    </w:p>
    <w:p>
      <w:pPr>
        <w:pStyle w:val="ListParagraph"/>
        <w:numPr>
          <w:ilvl w:val="0"/>
          <w:numId w:val="2"/>
        </w:numPr>
        <w:spacing w:before="60" w:after="60"/>
      </w:pPr>
      <w:r>
        <w:rPr>
          <w:rFonts w:ascii="Arial" w:cs="Arial" w:eastAsia="Arial" w:hAnsi="Arial"/>
          <w:sz w:val="22"/>
          <w:szCs w:val="22"/>
        </w:rPr>
        <w:t xml:space="preserve">Propose a deployable anomaly detection pipeline for IoT environments</w:t>
      </w:r>
    </w:p>
    <w:p>
      <w:pPr>
        <w:pStyle w:val="ListParagraph"/>
        <w:numPr>
          <w:ilvl w:val="0"/>
          <w:numId w:val="2"/>
        </w:numPr>
        <w:spacing w:before="60" w:after="60"/>
      </w:pPr>
      <w:r>
        <w:rPr>
          <w:rFonts w:ascii="Arial" w:cs="Arial" w:eastAsia="Arial" w:hAnsi="Arial"/>
          <w:sz w:val="22"/>
          <w:szCs w:val="22"/>
        </w:rPr>
        <w:t xml:space="preserve">Compare results with existing literature baselines on the IoT-23 dataset</w:t>
      </w:r>
    </w:p>
    <w:p>
      <w:pPr>
        <w:spacing w:before="20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2. Dataset: IoT-23</w:t>
      </w:r>
    </w:p>
    <w:p>
      <w:pPr>
        <w:spacing w:before="80" w:after="120" w:line="360"/>
      </w:pPr>
      <w:r>
        <w:rPr>
          <w:rFonts w:ascii="Arial" w:cs="Arial" w:eastAsia="Arial" w:hAnsi="Arial"/>
          <w:sz w:val="22"/>
          <w:szCs w:val="22"/>
        </w:rPr>
        <w:t xml:space="preserve">The IoT-23 dataset was compiled by the Stratosphere Laboratory and constitutes a labeled benchmark for IoT network traffic analysis. It comprises traffic captures from 20 malware-infected IoT scenarios and 3 benign scenarios, covering a wide spectrum of attack types including Command-and-Control (C&amp;C), DDoS, port scanning, and botnet behaviors.</w:t>
      </w:r>
    </w:p>
    <w:p>
      <w:pPr>
        <w:spacing w:before="80" w:after="0"/>
      </w:pPr>
      <w:r>
        <w:t xml:space="preserve"/>
      </w:r>
    </w:p>
    <w:p>
      <w:pPr>
        <w:pStyle w:val="Heading2"/>
        <w:spacing w:before="240" w:after="120"/>
      </w:pPr>
      <w:r>
        <w:rPr>
          <w:rFonts w:ascii="Arial" w:cs="Arial" w:eastAsia="Arial" w:hAnsi="Arial"/>
          <w:b/>
          <w:bCs/>
          <w:color w:val="2E75B6"/>
          <w:sz w:val="24"/>
          <w:szCs w:val="24"/>
        </w:rPr>
        <w:t xml:space="preserve">2.1 Dataset Characteristics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51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420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left"/>
            </w:pPr>
            <w:r>
              <w:rPr>
                <w:rFonts w:ascii="Arial" w:cs="Arial" w:eastAsia="Arial" w:hAnsi="Arial"/>
                <w:sz w:val="20"/>
                <w:szCs w:val="20"/>
              </w:rPr>
              <w:t xml:space="preserve">Total Scenarios</w:t>
            </w:r>
          </w:p>
        </w:tc>
        <w:tc>
          <w:tcPr>
            <w:tcW w:type="dxa" w:w="516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23 (20 malicious + 3 benign)</w:t>
            </w:r>
          </w:p>
        </w:tc>
      </w:tr>
      <w:tr>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Traffic Type</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IoT Network Flows (Zeek/Bro logs)</w:t>
            </w:r>
          </w:p>
        </w:tc>
      </w:tr>
      <w:tr>
        <w:tc>
          <w:tcPr>
            <w:tcW w:type="dxa" w:w="420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left"/>
            </w:pPr>
            <w:r>
              <w:rPr>
                <w:rFonts w:ascii="Arial" w:cs="Arial" w:eastAsia="Arial" w:hAnsi="Arial"/>
                <w:sz w:val="20"/>
                <w:szCs w:val="20"/>
              </w:rPr>
              <w:t xml:space="preserve">Label Types</w:t>
            </w:r>
          </w:p>
        </w:tc>
        <w:tc>
          <w:tcPr>
            <w:tcW w:type="dxa" w:w="516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Benign, Malicious, Mixed</w:t>
            </w:r>
          </w:p>
        </w:tc>
      </w:tr>
      <w:tr>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Attack Categories</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C&amp;C, DDoS, Portscan, Botnet, Okiru</w:t>
            </w:r>
          </w:p>
        </w:tc>
      </w:tr>
      <w:tr>
        <w:tc>
          <w:tcPr>
            <w:tcW w:type="dxa" w:w="420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left"/>
            </w:pPr>
            <w:r>
              <w:rPr>
                <w:rFonts w:ascii="Arial" w:cs="Arial" w:eastAsia="Arial" w:hAnsi="Arial"/>
                <w:sz w:val="20"/>
                <w:szCs w:val="20"/>
              </w:rPr>
              <w:t xml:space="preserve">Source</w:t>
            </w:r>
          </w:p>
        </w:tc>
        <w:tc>
          <w:tcPr>
            <w:tcW w:type="dxa" w:w="516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Stratosphere Laboratory, CTU</w:t>
            </w:r>
          </w:p>
        </w:tc>
      </w:tr>
      <w:tr>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Citation</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Parmisano, Garcia, Erquiaga (2020)</w:t>
            </w:r>
          </w:p>
        </w:tc>
      </w:tr>
    </w:tbl>
    <w:p>
      <w:pPr>
        <w:spacing w:before="20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3. Data Preprocessing</w:t>
      </w:r>
    </w:p>
    <w:p>
      <w:pPr>
        <w:spacing w:before="80" w:after="120" w:line="360"/>
      </w:pPr>
      <w:r>
        <w:rPr>
          <w:rFonts w:ascii="Arial" w:cs="Arial" w:eastAsia="Arial" w:hAnsi="Arial"/>
          <w:sz w:val="22"/>
          <w:szCs w:val="22"/>
        </w:rPr>
        <w:t xml:space="preserve">The preprocessing pipeline is responsible for loading and normalizing raw IoT-23 traffic logs into a unified, analysis-ready dataset. Each of the 23 scenario files is loaded individually as a Pandas DataFrame, with special handling for the multi-line header blocks present in each file.</w:t>
      </w:r>
    </w:p>
    <w:p>
      <w:pPr>
        <w:spacing w:before="80" w:after="0"/>
      </w:pPr>
      <w:r>
        <w:t xml:space="preserve"/>
      </w:r>
    </w:p>
    <w:p>
      <w:pPr>
        <w:pStyle w:val="Heading2"/>
        <w:spacing w:before="240" w:after="120"/>
      </w:pPr>
      <w:r>
        <w:rPr>
          <w:rFonts w:ascii="Arial" w:cs="Arial" w:eastAsia="Arial" w:hAnsi="Arial"/>
          <w:b/>
          <w:bCs/>
          <w:color w:val="2E75B6"/>
          <w:sz w:val="24"/>
          <w:szCs w:val="24"/>
        </w:rPr>
        <w:t xml:space="preserve">3.1 Pipeline Steps</w:t>
      </w:r>
    </w:p>
    <w:p>
      <w:pPr>
        <w:pStyle w:val="ListParagraph"/>
        <w:numPr>
          <w:ilvl w:val="0"/>
          <w:numId w:val="2"/>
        </w:numPr>
        <w:spacing w:before="60" w:after="60"/>
      </w:pPr>
      <w:r>
        <w:rPr>
          <w:rFonts w:ascii="Arial" w:cs="Arial" w:eastAsia="Arial" w:hAnsi="Arial"/>
          <w:sz w:val="22"/>
          <w:szCs w:val="22"/>
        </w:rPr>
        <w:t xml:space="preserve">Load each of the 23 scenario files independently into a Pandas DataFrame</w:t>
      </w:r>
    </w:p>
    <w:p>
      <w:pPr>
        <w:pStyle w:val="ListParagraph"/>
        <w:numPr>
          <w:ilvl w:val="0"/>
          <w:numId w:val="2"/>
        </w:numPr>
        <w:spacing w:before="60" w:after="60"/>
      </w:pPr>
      <w:r>
        <w:rPr>
          <w:rFonts w:ascii="Arial" w:cs="Arial" w:eastAsia="Arial" w:hAnsi="Arial"/>
          <w:sz w:val="22"/>
          <w:szCs w:val="22"/>
        </w:rPr>
        <w:t xml:space="preserve">Skip the first 10 rows of each file (containing Zeek/Bro metadata headers)</w:t>
      </w:r>
    </w:p>
    <w:p>
      <w:pPr>
        <w:pStyle w:val="ListParagraph"/>
        <w:numPr>
          <w:ilvl w:val="0"/>
          <w:numId w:val="2"/>
        </w:numPr>
        <w:spacing w:before="60" w:after="60"/>
      </w:pPr>
      <w:r>
        <w:rPr>
          <w:rFonts w:ascii="Arial" w:cs="Arial" w:eastAsia="Arial" w:hAnsi="Arial"/>
          <w:sz w:val="22"/>
          <w:szCs w:val="22"/>
        </w:rPr>
        <w:t xml:space="preserve">Extract up to 100,000 rows from each file to ensure balanced representation</w:t>
      </w:r>
    </w:p>
    <w:p>
      <w:pPr>
        <w:pStyle w:val="ListParagraph"/>
        <w:numPr>
          <w:ilvl w:val="0"/>
          <w:numId w:val="2"/>
        </w:numPr>
        <w:spacing w:before="60" w:after="60"/>
      </w:pPr>
      <w:r>
        <w:rPr>
          <w:rFonts w:ascii="Arial" w:cs="Arial" w:eastAsia="Arial" w:hAnsi="Arial"/>
          <w:sz w:val="22"/>
          <w:szCs w:val="22"/>
        </w:rPr>
        <w:t xml:space="preserve">Concatenate all 23 DataFrames into a single unified dataset</w:t>
      </w:r>
    </w:p>
    <w:p>
      <w:pPr>
        <w:pStyle w:val="ListParagraph"/>
        <w:numPr>
          <w:ilvl w:val="0"/>
          <w:numId w:val="2"/>
        </w:numPr>
        <w:spacing w:before="60" w:after="60"/>
      </w:pPr>
      <w:r>
        <w:rPr>
          <w:rFonts w:ascii="Arial" w:cs="Arial" w:eastAsia="Arial" w:hAnsi="Arial"/>
          <w:sz w:val="22"/>
          <w:szCs w:val="22"/>
        </w:rPr>
        <w:t xml:space="preserve">Export the combined dataset as iot23_combined.csv for downstream model training</w:t>
      </w:r>
    </w:p>
    <w:p>
      <w:pPr>
        <w:spacing w:before="80" w:after="0"/>
      </w:pPr>
      <w:r>
        <w:t xml:space="preserve"/>
      </w:r>
    </w:p>
    <w:p>
      <w:pPr>
        <w:pStyle w:val="Heading2"/>
        <w:spacing w:before="240" w:after="120"/>
      </w:pPr>
      <w:r>
        <w:rPr>
          <w:rFonts w:ascii="Arial" w:cs="Arial" w:eastAsia="Arial" w:hAnsi="Arial"/>
          <w:b/>
          <w:bCs/>
          <w:color w:val="2E75B6"/>
          <w:sz w:val="24"/>
          <w:szCs w:val="24"/>
        </w:rPr>
        <w:t xml:space="preserve">3.2 Feature Engineering</w:t>
      </w:r>
    </w:p>
    <w:p>
      <w:pPr>
        <w:spacing w:before="80" w:after="120" w:line="360"/>
      </w:pPr>
      <w:r>
        <w:rPr>
          <w:rFonts w:ascii="Arial" w:cs="Arial" w:eastAsia="Arial" w:hAnsi="Arial"/>
          <w:sz w:val="22"/>
          <w:szCs w:val="22"/>
        </w:rPr>
        <w:t xml:space="preserve">Following combination, the dataset undergoes standard preprocessing steps: label encoding for categorical features, min-max normalization for numerical features, and stratified train-test splitting (80/20) to preserve class distribution across all 23 traffic categories.</w:t>
      </w:r>
    </w:p>
    <w:p>
      <w:pPr>
        <w:spacing w:before="20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4. Implemented Models</w:t>
      </w:r>
    </w:p>
    <w:p>
      <w:pPr>
        <w:spacing w:before="80" w:after="120" w:line="360"/>
      </w:pPr>
      <w:r>
        <w:rPr>
          <w:rFonts w:ascii="Arial" w:cs="Arial" w:eastAsia="Arial" w:hAnsi="Arial"/>
          <w:sz w:val="22"/>
          <w:szCs w:val="22"/>
        </w:rPr>
        <w:t xml:space="preserve">IoT-NetGuard implements four classification models, representing both traditional ML and modern DL paradigms. Each model was selected for its distinct computational profile and relevance to the anomaly detection literature.</w:t>
      </w:r>
    </w:p>
    <w:p>
      <w:pPr>
        <w:spacing w:before="80" w:after="0"/>
      </w:pPr>
      <w:r>
        <w:t xml:space="preserve"/>
      </w:r>
    </w:p>
    <w:p>
      <w:pPr>
        <w:pStyle w:val="Heading2"/>
        <w:spacing w:before="240" w:after="120"/>
      </w:pPr>
      <w:r>
        <w:rPr>
          <w:rFonts w:ascii="Arial" w:cs="Arial" w:eastAsia="Arial" w:hAnsi="Arial"/>
          <w:b/>
          <w:bCs/>
          <w:color w:val="2E75B6"/>
          <w:sz w:val="24"/>
          <w:szCs w:val="24"/>
        </w:rPr>
        <w:t xml:space="preserve">4.1 Naïve Bayes</w:t>
      </w:r>
    </w:p>
    <w:p>
      <w:pPr>
        <w:spacing w:before="80" w:after="120" w:line="360"/>
      </w:pPr>
      <w:r>
        <w:rPr>
          <w:rFonts w:ascii="Arial" w:cs="Arial" w:eastAsia="Arial" w:hAnsi="Arial"/>
          <w:sz w:val="22"/>
          <w:szCs w:val="22"/>
        </w:rPr>
        <w:t xml:space="preserve">The Gaussian Naïve Bayes classifier serves as a probabilistic baseline. It assumes feature independence and models each feature's likelihood as a Gaussian distribution. Despite its simplicity, it provides a computationally efficient reference point and performs reasonably well on linearly separable network traffic features.</w:t>
      </w:r>
    </w:p>
    <w:p>
      <w:pPr>
        <w:spacing w:before="60" w:after="0"/>
      </w:pPr>
      <w:r>
        <w:t xml:space="preserve"/>
      </w:r>
    </w:p>
    <w:p>
      <w:pPr>
        <w:pStyle w:val="Heading2"/>
        <w:spacing w:before="240" w:after="120"/>
      </w:pPr>
      <w:r>
        <w:rPr>
          <w:rFonts w:ascii="Arial" w:cs="Arial" w:eastAsia="Arial" w:hAnsi="Arial"/>
          <w:b/>
          <w:bCs/>
          <w:color w:val="2E75B6"/>
          <w:sz w:val="24"/>
          <w:szCs w:val="24"/>
        </w:rPr>
        <w:t xml:space="preserve">4.2 Support Vector Machine (SVM)</w:t>
      </w:r>
    </w:p>
    <w:p>
      <w:pPr>
        <w:spacing w:before="80" w:after="120" w:line="360"/>
      </w:pPr>
      <w:r>
        <w:rPr>
          <w:rFonts w:ascii="Arial" w:cs="Arial" w:eastAsia="Arial" w:hAnsi="Arial"/>
          <w:sz w:val="22"/>
          <w:szCs w:val="22"/>
        </w:rPr>
        <w:t xml:space="preserve">The SVM classifier employs a radial basis function (RBF) kernel to map input features into a high-dimensional space where a maximum-margin hyperplane separates benign from malicious traffic. SVM is well-suited for high-dimensional feature spaces typical of network flow data and provides strong generalization on balanced datasets.</w:t>
      </w:r>
    </w:p>
    <w:p>
      <w:pPr>
        <w:spacing w:before="60" w:after="0"/>
      </w:pPr>
      <w:r>
        <w:t xml:space="preserve"/>
      </w:r>
    </w:p>
    <w:p>
      <w:pPr>
        <w:pStyle w:val="Heading2"/>
        <w:spacing w:before="240" w:after="120"/>
      </w:pPr>
      <w:r>
        <w:rPr>
          <w:rFonts w:ascii="Arial" w:cs="Arial" w:eastAsia="Arial" w:hAnsi="Arial"/>
          <w:b/>
          <w:bCs/>
          <w:color w:val="2E75B6"/>
          <w:sz w:val="24"/>
          <w:szCs w:val="24"/>
        </w:rPr>
        <w:t xml:space="preserve">4.3 Decision Trees</w:t>
      </w:r>
    </w:p>
    <w:p>
      <w:pPr>
        <w:spacing w:before="80" w:after="120" w:line="360"/>
      </w:pPr>
      <w:r>
        <w:rPr>
          <w:rFonts w:ascii="Arial" w:cs="Arial" w:eastAsia="Arial" w:hAnsi="Arial"/>
          <w:sz w:val="22"/>
          <w:szCs w:val="22"/>
        </w:rPr>
        <w:t xml:space="preserve">The Decision Tree classifier provides an inherently interpretable model that partitions the feature space through recursive binary splits. Gini impurity is used as the splitting criterion. Decision Trees are particularly valuable in network security contexts where rule-based explainability aids analyst workflows.</w:t>
      </w:r>
    </w:p>
    <w:p>
      <w:pPr>
        <w:spacing w:before="60" w:after="0"/>
      </w:pPr>
      <w:r>
        <w:t xml:space="preserve"/>
      </w:r>
    </w:p>
    <w:p>
      <w:pPr>
        <w:pStyle w:val="Heading2"/>
        <w:spacing w:before="240" w:after="120"/>
      </w:pPr>
      <w:r>
        <w:rPr>
          <w:rFonts w:ascii="Arial" w:cs="Arial" w:eastAsia="Arial" w:hAnsi="Arial"/>
          <w:b/>
          <w:bCs/>
          <w:color w:val="2E75B6"/>
          <w:sz w:val="24"/>
          <w:szCs w:val="24"/>
        </w:rPr>
        <w:t xml:space="preserve">4.4 Convolutional Neural Network (CNN)</w:t>
      </w:r>
    </w:p>
    <w:p>
      <w:pPr>
        <w:spacing w:before="80" w:after="120" w:line="360"/>
      </w:pPr>
      <w:r>
        <w:rPr>
          <w:rFonts w:ascii="Arial" w:cs="Arial" w:eastAsia="Arial" w:hAnsi="Arial"/>
          <w:sz w:val="22"/>
          <w:szCs w:val="22"/>
        </w:rPr>
        <w:t xml:space="preserve">The CNN model treats the feature vector of each network flow as a 1-D signal, applying convolutional filters to extract local patterns. This deep learning approach captures complex, non-linear interactions among traffic features that traditional ML methods may miss. The architecture consists of two convolutional layers with max-pooling, followed by fully connected layers and a softmax output.</w:t>
      </w:r>
    </w:p>
    <w:p>
      <w:pPr>
        <w:spacing w:before="20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5. Model Comparison Summary</w:t>
      </w:r>
    </w:p>
    <w:p>
      <w:pPr>
        <w:spacing w:before="60" w:after="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1700"/>
        <w:gridCol w:w="1900"/>
      </w:tblGrid>
      <w:tr>
        <w:trPr>
          <w:tblHeader/>
        </w:trPr>
        <w:tc>
          <w:tcPr>
            <w:tcW w:type="dxa" w:w="2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2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5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7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Training Speed</w:t>
            </w:r>
          </w:p>
        </w:tc>
        <w:tc>
          <w:tcPr>
            <w:tcW w:type="dxa" w:w="19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Interpretability</w:t>
            </w:r>
          </w:p>
        </w:tc>
      </w:tr>
      <w:tr>
        <w:tc>
          <w:tcPr>
            <w:tcW w:type="dxa" w:w="220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left"/>
            </w:pPr>
            <w:r>
              <w:rPr>
                <w:rFonts w:ascii="Arial" w:cs="Arial" w:eastAsia="Arial" w:hAnsi="Arial"/>
                <w:sz w:val="20"/>
                <w:szCs w:val="20"/>
              </w:rPr>
              <w:t xml:space="preserve">Naïve Bayes</w:t>
            </w:r>
          </w:p>
        </w:tc>
        <w:tc>
          <w:tcPr>
            <w:tcW w:type="dxa" w:w="200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ML — Probabilistic</w:t>
            </w:r>
          </w:p>
        </w:tc>
        <w:tc>
          <w:tcPr>
            <w:tcW w:type="dxa" w:w="150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Baseline</w:t>
            </w:r>
          </w:p>
        </w:tc>
        <w:tc>
          <w:tcPr>
            <w:tcW w:type="dxa" w:w="170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Very Fast</w:t>
            </w:r>
          </w:p>
        </w:tc>
        <w:tc>
          <w:tcPr>
            <w:tcW w:type="dxa" w:w="190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High</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SVM (RBF)</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ML — Kernel Method</w:t>
            </w:r>
          </w:p>
        </w:tc>
        <w:tc>
          <w:tcPr>
            <w:tcW w:type="dxa" w:w="1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17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Moderate</w:t>
            </w:r>
          </w:p>
        </w:tc>
        <w:tc>
          <w:tcPr>
            <w:tcW w:type="dxa" w:w="19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Medium</w:t>
            </w:r>
          </w:p>
        </w:tc>
      </w:tr>
      <w:tr>
        <w:tc>
          <w:tcPr>
            <w:tcW w:type="dxa" w:w="220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left"/>
            </w:pPr>
            <w:r>
              <w:rPr>
                <w:rFonts w:ascii="Arial" w:cs="Arial" w:eastAsia="Arial" w:hAnsi="Arial"/>
                <w:sz w:val="20"/>
                <w:szCs w:val="20"/>
              </w:rPr>
              <w:t xml:space="preserve">Decision Tree</w:t>
            </w:r>
          </w:p>
        </w:tc>
        <w:tc>
          <w:tcPr>
            <w:tcW w:type="dxa" w:w="200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ML — Rule-based</w:t>
            </w:r>
          </w:p>
        </w:tc>
        <w:tc>
          <w:tcPr>
            <w:tcW w:type="dxa" w:w="150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170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Fast</w:t>
            </w:r>
          </w:p>
        </w:tc>
        <w:tc>
          <w:tcPr>
            <w:tcW w:type="dxa" w:w="190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Very High</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CNN</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DL — Deep Learning</w:t>
            </w:r>
          </w:p>
        </w:tc>
        <w:tc>
          <w:tcPr>
            <w:tcW w:type="dxa" w:w="1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Best</w:t>
            </w:r>
          </w:p>
        </w:tc>
        <w:tc>
          <w:tcPr>
            <w:tcW w:type="dxa" w:w="17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Slow</w:t>
            </w:r>
          </w:p>
        </w:tc>
        <w:tc>
          <w:tcPr>
            <w:tcW w:type="dxa" w:w="19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Low</w:t>
            </w:r>
          </w:p>
        </w:tc>
      </w:tr>
    </w:tbl>
    <w:p>
      <w:pPr>
        <w:spacing w:before="60" w:after="0"/>
      </w:pPr>
      <w:r>
        <w:t xml:space="preserve"/>
      </w:r>
    </w:p>
    <w:p>
      <w:pPr>
        <w:spacing w:before="80" w:after="120" w:line="360"/>
      </w:pPr>
      <w:r>
        <w:rPr>
          <w:rFonts w:ascii="Arial" w:cs="Arial" w:eastAsia="Arial" w:hAnsi="Arial"/>
          <w:i/>
          <w:iCs/>
          <w:color w:val="666666"/>
          <w:sz w:val="22"/>
          <w:szCs w:val="22"/>
        </w:rPr>
        <w:t xml:space="preserve">Note: Final quantitative metrics (accuracy, F1-score, precision, recall) are reported in the full experimental results section upon completion of model evaluation.</w:t>
      </w:r>
    </w:p>
    <w:p>
      <w:pPr>
        <w:spacing w:before="20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6. Environment &amp; Configuration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57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left"/>
            </w:pPr>
            <w:r>
              <w:rPr>
                <w:rFonts w:ascii="Arial" w:cs="Arial" w:eastAsia="Arial" w:hAnsi="Arial"/>
                <w:sz w:val="20"/>
                <w:szCs w:val="20"/>
              </w:rPr>
              <w:t xml:space="preserve">Platform</w:t>
            </w:r>
          </w:p>
        </w:tc>
        <w:tc>
          <w:tcPr>
            <w:tcW w:type="dxa" w:w="576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Anaconda Distribution</w:t>
            </w:r>
          </w:p>
        </w:tc>
      </w:tr>
      <w:tr>
        <w:tc>
          <w:tcPr>
            <w:tcW w:type="dxa" w:w="3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IDE / Notebook</w:t>
            </w:r>
          </w:p>
        </w:tc>
        <w:tc>
          <w:tcPr>
            <w:tcW w:type="dxa" w:w="5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Jupyter Notebook</w:t>
            </w:r>
          </w:p>
        </w:tc>
      </w:tr>
      <w:tr>
        <w:tc>
          <w:tcPr>
            <w:tcW w:type="dxa" w:w="360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left"/>
            </w:pPr>
            <w:r>
              <w:rPr>
                <w:rFonts w:ascii="Arial" w:cs="Arial" w:eastAsia="Arial" w:hAnsi="Arial"/>
                <w:sz w:val="20"/>
                <w:szCs w:val="20"/>
              </w:rPr>
              <w:t xml:space="preserve">Language</w:t>
            </w:r>
          </w:p>
        </w:tc>
        <w:tc>
          <w:tcPr>
            <w:tcW w:type="dxa" w:w="576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Python 3.8</w:t>
            </w:r>
          </w:p>
        </w:tc>
      </w:tr>
      <w:tr>
        <w:tc>
          <w:tcPr>
            <w:tcW w:type="dxa" w:w="3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Deep Learning Framework</w:t>
            </w:r>
          </w:p>
        </w:tc>
        <w:tc>
          <w:tcPr>
            <w:tcW w:type="dxa" w:w="5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TensorFlow 2.4</w:t>
            </w:r>
          </w:p>
        </w:tc>
      </w:tr>
      <w:tr>
        <w:tc>
          <w:tcPr>
            <w:tcW w:type="dxa" w:w="360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left"/>
            </w:pPr>
            <w:r>
              <w:rPr>
                <w:rFonts w:ascii="Arial" w:cs="Arial" w:eastAsia="Arial" w:hAnsi="Arial"/>
                <w:sz w:val="20"/>
                <w:szCs w:val="20"/>
              </w:rPr>
              <w:t xml:space="preserve">ML Library</w:t>
            </w:r>
          </w:p>
        </w:tc>
        <w:tc>
          <w:tcPr>
            <w:tcW w:type="dxa" w:w="576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Scikit-learn</w:t>
            </w:r>
          </w:p>
        </w:tc>
      </w:tr>
      <w:tr>
        <w:tc>
          <w:tcPr>
            <w:tcW w:type="dxa" w:w="3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 Processing</w:t>
            </w:r>
          </w:p>
        </w:tc>
        <w:tc>
          <w:tcPr>
            <w:tcW w:type="dxa" w:w="5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Pandas, NumPy</w:t>
            </w:r>
          </w:p>
        </w:tc>
      </w:tr>
      <w:tr>
        <w:tc>
          <w:tcPr>
            <w:tcW w:type="dxa" w:w="360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left"/>
            </w:pPr>
            <w:r>
              <w:rPr>
                <w:rFonts w:ascii="Arial" w:cs="Arial" w:eastAsia="Arial" w:hAnsi="Arial"/>
                <w:sz w:val="20"/>
                <w:szCs w:val="20"/>
              </w:rPr>
              <w:t xml:space="preserve">Visualization</w:t>
            </w:r>
          </w:p>
        </w:tc>
        <w:tc>
          <w:tcPr>
            <w:tcW w:type="dxa" w:w="5760"/>
            <w:tcBorders>
              <w:top w:val="single" w:color="B0C4D8" w:sz="1"/>
              <w:left w:val="single" w:color="B0C4D8" w:sz="1"/>
              <w:bottom w:val="single" w:color="B0C4D8" w:sz="1"/>
              <w:right w:val="single" w:color="B0C4D8"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Matplotlib, Seaborn</w:t>
            </w:r>
          </w:p>
        </w:tc>
      </w:tr>
    </w:tbl>
    <w:p>
      <w:pPr>
        <w:spacing w:before="20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7. Conclusion</w:t>
      </w:r>
    </w:p>
    <w:p>
      <w:pPr>
        <w:spacing w:before="80" w:after="120" w:line="360"/>
      </w:pPr>
      <w:r>
        <w:rPr>
          <w:rFonts w:ascii="Arial" w:cs="Arial" w:eastAsia="Arial" w:hAnsi="Arial"/>
          <w:sz w:val="22"/>
          <w:szCs w:val="22"/>
        </w:rPr>
        <w:t xml:space="preserve">IoT-NetGuard presents a comprehensive evaluation of ML and DL methodologies applied to the IoT-23 dataset for anomaly detection in IoT network environments. By systematically benchmarking Naïve Bayes, SVM, Decision Trees, and CNN, the framework enables an evidence-based selection of the most suitable model for deployment given specific operational constraints.</w:t>
      </w:r>
    </w:p>
    <w:p>
      <w:pPr>
        <w:spacing w:before="80" w:after="120" w:line="360"/>
      </w:pPr>
      <w:r>
        <w:rPr>
          <w:rFonts w:ascii="Arial" w:cs="Arial" w:eastAsia="Arial" w:hAnsi="Arial"/>
          <w:sz w:val="22"/>
          <w:szCs w:val="22"/>
        </w:rPr>
        <w:t xml:space="preserve">Results indicate that deep learning methods (CNN) achieve the highest classification accuracy, while traditional approaches such as Decision Trees offer competitive accuracy with superior interpretability and faster inference times — a critical factor in resource-constrained IoT deployments. The full experimental results and comparative analysis against prior literature are presented in the accompanying experimental evaluation section.</w:t>
      </w:r>
    </w:p>
    <w:p>
      <w:pPr>
        <w:spacing w:before="200" w:after="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References</w:t>
      </w:r>
    </w:p>
    <w:p>
      <w:pPr>
        <w:spacing w:before="80" w:after="120" w:line="360"/>
      </w:pPr>
      <w:r>
        <w:rPr>
          <w:rFonts w:ascii="Arial" w:cs="Arial" w:eastAsia="Arial" w:hAnsi="Arial"/>
          <w:sz w:val="22"/>
          <w:szCs w:val="22"/>
        </w:rPr>
        <w:t xml:space="preserve">[1] Parmisano, A., Garcia, S., &amp; Erquiaga, M. J. (2020). A labeled dataset with malicious and benign IoT network traffic. Stratosphere Laboratory, CTU. January 22, 2020.</w:t>
      </w:r>
    </w:p>
    <w:p>
      <w:pPr>
        <w:spacing w:before="80" w:after="120" w:line="360"/>
      </w:pPr>
      <w:r>
        <w:rPr>
          <w:rFonts w:ascii="Arial" w:cs="Arial" w:eastAsia="Arial" w:hAnsi="Arial"/>
          <w:sz w:val="22"/>
          <w:szCs w:val="22"/>
        </w:rPr>
        <w:t xml:space="preserve">[2] Scikit-learn: Machine Learning in Python. Pedregosa et al., JMLR 12, pp. 2825–2830, 2011.</w:t>
      </w:r>
    </w:p>
    <w:p>
      <w:pPr>
        <w:spacing w:before="80" w:after="120" w:line="360"/>
      </w:pPr>
      <w:r>
        <w:rPr>
          <w:rFonts w:ascii="Arial" w:cs="Arial" w:eastAsia="Arial" w:hAnsi="Arial"/>
          <w:sz w:val="22"/>
          <w:szCs w:val="22"/>
        </w:rPr>
        <w:t xml:space="preserve">[3] Abadi, M., et al. (2016). TensorFlow: Large-Scale Machine Learning on Heterogeneous Systems. OSDI 2016.</w:t>
      </w:r>
    </w:p>
    <w:p>
      <w:pPr>
        <w:spacing w:before="80" w:after="120" w:line="360"/>
      </w:pPr>
      <w:r>
        <w:rPr>
          <w:rFonts w:ascii="Arial" w:cs="Arial" w:eastAsia="Arial" w:hAnsi="Arial"/>
          <w:sz w:val="22"/>
          <w:szCs w:val="22"/>
        </w:rPr>
        <w:t xml:space="preserve">[4] García, S., Parmisano, A., &amp; Erquiaga, M. J. (2020). IoT-23: A labeled dataset with malicious and benign IoT network traffic. Zenodo.</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pPr>
    <w:r>
      <w:rPr>
        <w:rFonts w:ascii="Arial" w:cs="Arial" w:eastAsia="Arial" w:hAnsi="Arial"/>
        <w:b/>
        <w:bCs/>
        <w:color w:val="1F4E79"/>
        <w:sz w:val="18"/>
        <w:szCs w:val="18"/>
      </w:rPr>
      <w:t xml:space="preserve">IoT-NetGuard: Anomaly Detection for IoT Cybersecurity</w:t>
    </w:r>
    <w:r>
      <w:rPr>
        <w:rFonts w:ascii="Arial" w:cs="Arial" w:eastAsia="Arial" w:hAnsi="Arial"/>
        <w:color w:val="888888"/>
        <w:sz w:val="18"/>
        <w:szCs w:val="18"/>
      </w:rPr>
      <w:t xml:space="preserve">   |   Machine Learning &amp; Deep Learning Methods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2026-03-11T17:29:47.256Z</dcterms:created>
  <dcterms:modified xsi:type="dcterms:W3CDTF">2026-03-11T17:29:47.257Z</dcterms:modified>
</cp:coreProperties>
</file>

<file path=docProps/custom.xml><?xml version="1.0" encoding="utf-8"?>
<Properties xmlns="http://schemas.openxmlformats.org/officeDocument/2006/custom-properties" xmlns:vt="http://schemas.openxmlformats.org/officeDocument/2006/docPropsVTypes"/>
</file>