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0"/>
        </w:rPr>
        <w:t>Comparative Analysis Report</w:t>
      </w:r>
    </w:p>
    <w:p>
      <w:pPr>
        <w:jc w:val="center"/>
      </w:pPr>
      <w:r>
        <w:rPr>
          <w:color w:val="555555"/>
          <w:sz w:val="24"/>
        </w:rPr>
        <w:t>Hybrid RAG &amp; Fine-Tuning for Customer Support</w:t>
      </w:r>
    </w:p>
    <w:p/>
    <w:p>
      <w:pPr>
        <w:pStyle w:val="Heading1"/>
      </w:pPr>
      <w:r>
        <w:rPr>
          <w:color w:val="0B3D91"/>
        </w:rPr>
        <w:t>1. Compare All Solution Versions (Task 4.5.1)</w:t>
      </w:r>
    </w:p>
    <w:p>
      <w:r>
        <w:rPr>
          <w:b w:val="0"/>
        </w:rPr>
        <w:t>All three architectures — Baseline (zero-shot Qwen/Qwen2.5-1.5B-Instruct), Solution V1 (Naive RAG: raw-query retrieval + generation), and Solution V2 (Hybrid RAG: LoRA-fine-tuned intent router driving retrieval + the same generation model) — were evaluated under an identical configuration: same MODEL_ID, same embedding model (sentence-transformers/all-MiniLM-L6-v2), same ChromaDB index, same held-out test partition, and identical deterministic decoding (do_sample=False, temperature=None).</w:t>
      </w:r>
    </w:p>
    <w:p>
      <w:pPr>
        <w:pStyle w:val="Heading2"/>
      </w:pPr>
      <w:r>
        <w:rPr>
          <w:color w:val="16324F"/>
        </w:rPr>
        <w:t>ROUGE / BLEU — SOP-grounded, all 3 architectures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System</w:t>
            </w:r>
          </w:p>
        </w:tc>
        <w:tc>
          <w:tcPr>
            <w:tcW w:type="dxa" w:w="2160"/>
          </w:tcPr>
          <w:p>
            <w:r>
              <w:rPr>
                <w:b/>
              </w:rPr>
              <w:t>ROUGE-1</w:t>
            </w:r>
          </w:p>
        </w:tc>
        <w:tc>
          <w:tcPr>
            <w:tcW w:type="dxa" w:w="2160"/>
          </w:tcPr>
          <w:p>
            <w:r>
              <w:rPr>
                <w:b/>
              </w:rPr>
              <w:t>ROUGE-L</w:t>
            </w:r>
          </w:p>
        </w:tc>
        <w:tc>
          <w:tcPr>
            <w:tcW w:type="dxa" w:w="2160"/>
          </w:tcPr>
          <w:p>
            <w:r>
              <w:rPr>
                <w:b/>
              </w:rPr>
              <w:t>BLEU</w:t>
            </w:r>
          </w:p>
        </w:tc>
      </w:tr>
      <w:tr>
        <w:tc>
          <w:tcPr>
            <w:tcW w:type="dxa" w:w="2160"/>
          </w:tcPr>
          <w:p>
            <w:r>
              <w:t>Baseline</w:t>
            </w:r>
          </w:p>
        </w:tc>
        <w:tc>
          <w:tcPr>
            <w:tcW w:type="dxa" w:w="2160"/>
          </w:tcPr>
          <w:p>
            <w:r>
              <w:t>0.167</w:t>
            </w:r>
          </w:p>
        </w:tc>
        <w:tc>
          <w:tcPr>
            <w:tcW w:type="dxa" w:w="2160"/>
          </w:tcPr>
          <w:p>
            <w:r>
              <w:t>0.090</w:t>
            </w:r>
          </w:p>
        </w:tc>
        <w:tc>
          <w:tcPr>
            <w:tcW w:type="dxa" w:w="2160"/>
          </w:tcPr>
          <w:p>
            <w:r>
              <w:t>0.001</w:t>
            </w:r>
          </w:p>
        </w:tc>
      </w:tr>
      <w:tr>
        <w:tc>
          <w:tcPr>
            <w:tcW w:type="dxa" w:w="2160"/>
          </w:tcPr>
          <w:p>
            <w:r>
              <w:t>Naive RAG (V1)</w:t>
            </w:r>
          </w:p>
        </w:tc>
        <w:tc>
          <w:tcPr>
            <w:tcW w:type="dxa" w:w="2160"/>
          </w:tcPr>
          <w:p>
            <w:r>
              <w:t>0.104</w:t>
            </w:r>
          </w:p>
        </w:tc>
        <w:tc>
          <w:tcPr>
            <w:tcW w:type="dxa" w:w="2160"/>
          </w:tcPr>
          <w:p>
            <w:r>
              <w:t>0.064</w:t>
            </w:r>
          </w:p>
        </w:tc>
        <w:tc>
          <w:tcPr>
            <w:tcW w:type="dxa" w:w="2160"/>
          </w:tcPr>
          <w:p>
            <w:r>
              <w:t>0.001</w:t>
            </w:r>
          </w:p>
        </w:tc>
      </w:tr>
      <w:tr>
        <w:tc>
          <w:tcPr>
            <w:tcW w:type="dxa" w:w="2160"/>
          </w:tcPr>
          <w:p>
            <w:r>
              <w:t>Hybrid RAG (V2)</w:t>
            </w:r>
          </w:p>
        </w:tc>
        <w:tc>
          <w:tcPr>
            <w:tcW w:type="dxa" w:w="2160"/>
          </w:tcPr>
          <w:p>
            <w:r>
              <w:t>0.106</w:t>
            </w:r>
          </w:p>
        </w:tc>
        <w:tc>
          <w:tcPr>
            <w:tcW w:type="dxa" w:w="2160"/>
          </w:tcPr>
          <w:p>
            <w:r>
              <w:t>0.067</w:t>
            </w:r>
          </w:p>
        </w:tc>
        <w:tc>
          <w:tcPr>
            <w:tcW w:type="dxa" w:w="2160"/>
          </w:tcPr>
          <w:p>
            <w:r>
              <w:t>0.001</w:t>
            </w:r>
          </w:p>
        </w:tc>
      </w:tr>
    </w:tbl>
    <w:p/>
    <w:p>
      <w:pPr>
        <w:pStyle w:val="Heading2"/>
      </w:pPr>
      <w:r>
        <w:rPr>
          <w:color w:val="16324F"/>
        </w:rPr>
        <w:t>Format Adherence &amp; Intent Accuracy — Solution V2 Router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Split</w:t>
            </w:r>
          </w:p>
        </w:tc>
        <w:tc>
          <w:tcPr>
            <w:tcW w:type="dxa" w:w="2160"/>
          </w:tcPr>
          <w:p>
            <w:r>
              <w:rPr>
                <w:b/>
              </w:rPr>
              <w:t>Format Adherence</w:t>
            </w:r>
          </w:p>
        </w:tc>
        <w:tc>
          <w:tcPr>
            <w:tcW w:type="dxa" w:w="2160"/>
          </w:tcPr>
          <w:p>
            <w:r>
              <w:rPr>
                <w:b/>
              </w:rPr>
              <w:t>Exact Match</w:t>
            </w:r>
          </w:p>
        </w:tc>
        <w:tc>
          <w:tcPr>
            <w:tcW w:type="dxa" w:w="2160"/>
          </w:tcPr>
          <w:p>
            <w:r>
              <w:rPr>
                <w:b/>
              </w:rPr>
              <w:t>Fuzzy Match</w:t>
            </w:r>
          </w:p>
        </w:tc>
      </w:tr>
      <w:tr>
        <w:tc>
          <w:tcPr>
            <w:tcW w:type="dxa" w:w="2160"/>
          </w:tcPr>
          <w:p>
            <w:r>
              <w:t>Full held-out test split (zero leakage)</w:t>
            </w:r>
          </w:p>
        </w:tc>
        <w:tc>
          <w:tcPr>
            <w:tcW w:type="dxa" w:w="2160"/>
          </w:tcPr>
          <w:p>
            <w:r>
              <w:t>100.0%</w:t>
            </w:r>
          </w:p>
        </w:tc>
        <w:tc>
          <w:tcPr>
            <w:tcW w:type="dxa" w:w="2160"/>
          </w:tcPr>
          <w:p>
            <w:r>
              <w:t>65.1%</w:t>
            </w:r>
          </w:p>
        </w:tc>
        <w:tc>
          <w:tcPr>
            <w:tcW w:type="dxa" w:w="2160"/>
          </w:tcPr>
          <w:p>
            <w:r>
              <w:t>92.6%</w:t>
            </w:r>
          </w:p>
        </w:tc>
      </w:tr>
      <w:tr>
        <w:tc>
          <w:tcPr>
            <w:tcW w:type="dxa" w:w="2160"/>
          </w:tcPr>
          <w:p>
            <w:r>
              <w:t>Adversarial subset (regex-filtered)</w:t>
            </w:r>
          </w:p>
        </w:tc>
        <w:tc>
          <w:tcPr>
            <w:tcW w:type="dxa" w:w="2160"/>
          </w:tcPr>
          <w:p>
            <w:r>
              <w:t>nan%</w:t>
            </w:r>
          </w:p>
        </w:tc>
        <w:tc>
          <w:tcPr>
            <w:tcW w:type="dxa" w:w="2160"/>
          </w:tcPr>
          <w:p>
            <w:r>
              <w:t>nan%</w:t>
            </w:r>
          </w:p>
        </w:tc>
        <w:tc>
          <w:tcPr>
            <w:tcW w:type="dxa" w:w="2160"/>
          </w:tcPr>
          <w:p>
            <w:r>
              <w:t>nan%</w:t>
            </w:r>
          </w:p>
        </w:tc>
      </w:tr>
    </w:tbl>
    <w:p/>
    <w:p>
      <w:r>
        <w:rPr>
          <w:b w:val="0"/>
        </w:rPr>
        <w:t>The adversarial subset isolates queries containing hedging/sentiment language (still, never, terrible, frustrated, ...) — exactly the noisy phrasing that defeats naive semantic retrieval and motivates the fine-tuned router in the first place. In this sample it came back empty (0/149): the Bitext dataset is largely template-generated and rarely uses this kind of sentiment language, so the adversarial-accuracy columns above are reported as N/A rather than a misleadingly perfect/undefined score.</w:t>
      </w:r>
    </w:p>
    <w:p>
      <w:pPr>
        <w:pStyle w:val="Heading2"/>
      </w:pPr>
      <w:r>
        <w:rPr>
          <w:color w:val="16324F"/>
        </w:rPr>
        <w:t>Baseline vs Solution V1 — Retrieval's Independent Impact (Task 3.4.1)</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Baseline</w:t>
            </w:r>
          </w:p>
        </w:tc>
        <w:tc>
          <w:tcPr>
            <w:tcW w:type="dxa" w:w="2160"/>
          </w:tcPr>
          <w:p>
            <w:r>
              <w:rPr>
                <w:b/>
              </w:rPr>
              <w:t>Naive RAG (V1)</w:t>
            </w:r>
          </w:p>
        </w:tc>
        <w:tc>
          <w:tcPr>
            <w:tcW w:type="dxa" w:w="2160"/>
          </w:tcPr>
          <w:p>
            <w:r>
              <w:rPr>
                <w:b/>
              </w:rPr>
              <w:t>Change (%)</w:t>
            </w:r>
          </w:p>
        </w:tc>
      </w:tr>
      <w:tr>
        <w:tc>
          <w:tcPr>
            <w:tcW w:type="dxa" w:w="2160"/>
          </w:tcPr>
          <w:p>
            <w:r>
              <w:t>Format Adherence (%)</w:t>
            </w:r>
          </w:p>
        </w:tc>
        <w:tc>
          <w:tcPr>
            <w:tcW w:type="dxa" w:w="2160"/>
          </w:tcPr>
          <w:p>
            <w:r>
              <w:t>91.667</w:t>
            </w:r>
          </w:p>
        </w:tc>
        <w:tc>
          <w:tcPr>
            <w:tcW w:type="dxa" w:w="2160"/>
          </w:tcPr>
          <w:p>
            <w:r>
              <w:t>98.333</w:t>
            </w:r>
          </w:p>
        </w:tc>
        <w:tc>
          <w:tcPr>
            <w:tcW w:type="dxa" w:w="2160"/>
          </w:tcPr>
          <w:p>
            <w:r>
              <w:t>7.273</w:t>
            </w:r>
          </w:p>
        </w:tc>
      </w:tr>
      <w:tr>
        <w:tc>
          <w:tcPr>
            <w:tcW w:type="dxa" w:w="2160"/>
          </w:tcPr>
          <w:p>
            <w:r>
              <w:t>ROUGE-1</w:t>
            </w:r>
          </w:p>
        </w:tc>
        <w:tc>
          <w:tcPr>
            <w:tcW w:type="dxa" w:w="2160"/>
          </w:tcPr>
          <w:p>
            <w:r>
              <w:t>0.158</w:t>
            </w:r>
          </w:p>
        </w:tc>
        <w:tc>
          <w:tcPr>
            <w:tcW w:type="dxa" w:w="2160"/>
          </w:tcPr>
          <w:p>
            <w:r>
              <w:t>0.111</w:t>
            </w:r>
          </w:p>
        </w:tc>
        <w:tc>
          <w:tcPr>
            <w:tcW w:type="dxa" w:w="2160"/>
          </w:tcPr>
          <w:p>
            <w:r>
              <w:t>-29.433</w:t>
            </w:r>
          </w:p>
        </w:tc>
      </w:tr>
      <w:tr>
        <w:tc>
          <w:tcPr>
            <w:tcW w:type="dxa" w:w="2160"/>
          </w:tcPr>
          <w:p>
            <w:r>
              <w:t>ROUGE-L</w:t>
            </w:r>
          </w:p>
        </w:tc>
        <w:tc>
          <w:tcPr>
            <w:tcW w:type="dxa" w:w="2160"/>
          </w:tcPr>
          <w:p>
            <w:r>
              <w:t>0.081</w:t>
            </w:r>
          </w:p>
        </w:tc>
        <w:tc>
          <w:tcPr>
            <w:tcW w:type="dxa" w:w="2160"/>
          </w:tcPr>
          <w:p>
            <w:r>
              <w:t>0.073</w:t>
            </w:r>
          </w:p>
        </w:tc>
        <w:tc>
          <w:tcPr>
            <w:tcW w:type="dxa" w:w="2160"/>
          </w:tcPr>
          <w:p>
            <w:r>
              <w:t>-10.267</w:t>
            </w:r>
          </w:p>
        </w:tc>
      </w:tr>
      <w:tr>
        <w:tc>
          <w:tcPr>
            <w:tcW w:type="dxa" w:w="2160"/>
          </w:tcPr>
          <w:p>
            <w:r>
              <w:t>BLEU</w:t>
            </w:r>
          </w:p>
        </w:tc>
        <w:tc>
          <w:tcPr>
            <w:tcW w:type="dxa" w:w="2160"/>
          </w:tcPr>
          <w:p>
            <w:r>
              <w:t>0.001</w:t>
            </w:r>
          </w:p>
        </w:tc>
        <w:tc>
          <w:tcPr>
            <w:tcW w:type="dxa" w:w="2160"/>
          </w:tcPr>
          <w:p>
            <w:r>
              <w:t>0.001</w:t>
            </w:r>
          </w:p>
        </w:tc>
        <w:tc>
          <w:tcPr>
            <w:tcW w:type="dxa" w:w="2160"/>
          </w:tcPr>
          <w:p>
            <w:r>
              <w:t>-11.348</w:t>
            </w:r>
          </w:p>
        </w:tc>
      </w:tr>
      <w:tr>
        <w:tc>
          <w:tcPr>
            <w:tcW w:type="dxa" w:w="2160"/>
          </w:tcPr>
          <w:p>
            <w:r>
              <w:t>Consistency Rate (%)</w:t>
            </w:r>
          </w:p>
        </w:tc>
        <w:tc>
          <w:tcPr>
            <w:tcW w:type="dxa" w:w="2160"/>
          </w:tcPr>
          <w:p>
            <w:r>
              <w:t>100.0</w:t>
            </w:r>
          </w:p>
        </w:tc>
        <w:tc>
          <w:tcPr>
            <w:tcW w:type="dxa" w:w="2160"/>
          </w:tcPr>
          <w:p>
            <w:r>
              <w:t>100.0</w:t>
            </w:r>
          </w:p>
        </w:tc>
        <w:tc>
          <w:tcPr>
            <w:tcW w:type="dxa" w:w="2160"/>
          </w:tcPr>
          <w:p>
            <w:r>
              <w:t>0.0</w:t>
            </w:r>
          </w:p>
        </w:tc>
      </w:tr>
      <w:tr>
        <w:tc>
          <w:tcPr>
            <w:tcW w:type="dxa" w:w="2160"/>
          </w:tcPr>
          <w:p>
            <w:r>
              <w:t>Hallucination Frequency (%)</w:t>
            </w:r>
          </w:p>
        </w:tc>
        <w:tc>
          <w:tcPr>
            <w:tcW w:type="dxa" w:w="2160"/>
          </w:tcPr>
          <w:p>
            <w:r>
              <w:t>25.0</w:t>
            </w:r>
          </w:p>
        </w:tc>
        <w:tc>
          <w:tcPr>
            <w:tcW w:type="dxa" w:w="2160"/>
          </w:tcPr>
          <w:p>
            <w:r>
              <w:t>23.333</w:t>
            </w:r>
          </w:p>
        </w:tc>
        <w:tc>
          <w:tcPr>
            <w:tcW w:type="dxa" w:w="2160"/>
          </w:tcPr>
          <w:p>
            <w:r>
              <w:t>-6.667</w:t>
            </w:r>
          </w:p>
        </w:tc>
      </w:tr>
    </w:tbl>
    <w:p/>
    <w:p>
      <w:r>
        <w:rPr>
          <w:b w:val="0"/>
        </w:rPr>
        <w:t>Sign convention: for every metric except Hallucination Frequency, a positive Change(%) is an improvement; for Hallucination Frequency, a negative Change(%) is the improvement (fewer hallucinations).</w:t>
      </w:r>
    </w:p>
    <w:p>
      <w:pPr>
        <w:pStyle w:val="Heading2"/>
      </w:pPr>
      <w:r>
        <w:rPr>
          <w:color w:val="16324F"/>
        </w:rPr>
        <w:t>Solution V1 vs Solution V2 — Fine-Tuning's Independent Impact (Task 4.4.2)</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V1 (Naive RAG)</w:t>
            </w:r>
          </w:p>
        </w:tc>
        <w:tc>
          <w:tcPr>
            <w:tcW w:type="dxa" w:w="2160"/>
          </w:tcPr>
          <w:p>
            <w:r>
              <w:rPr>
                <w:b/>
              </w:rPr>
              <w:t>V2 (Hybrid RAG)</w:t>
            </w:r>
          </w:p>
        </w:tc>
        <w:tc>
          <w:tcPr>
            <w:tcW w:type="dxa" w:w="2160"/>
          </w:tcPr>
          <w:p>
            <w:r>
              <w:rPr>
                <w:b/>
              </w:rPr>
              <w:t>Change (%)</w:t>
            </w:r>
          </w:p>
        </w:tc>
      </w:tr>
      <w:tr>
        <w:tc>
          <w:tcPr>
            <w:tcW w:type="dxa" w:w="2160"/>
          </w:tcPr>
          <w:p>
            <w:r>
              <w:t>ROUGE-1</w:t>
            </w:r>
          </w:p>
        </w:tc>
        <w:tc>
          <w:tcPr>
            <w:tcW w:type="dxa" w:w="2160"/>
          </w:tcPr>
          <w:p>
            <w:r>
              <w:t>0.111</w:t>
            </w:r>
          </w:p>
        </w:tc>
        <w:tc>
          <w:tcPr>
            <w:tcW w:type="dxa" w:w="2160"/>
          </w:tcPr>
          <w:p>
            <w:r>
              <w:t>0.127</w:t>
            </w:r>
          </w:p>
        </w:tc>
        <w:tc>
          <w:tcPr>
            <w:tcW w:type="dxa" w:w="2160"/>
          </w:tcPr>
          <w:p>
            <w:r>
              <w:t>14.271</w:t>
            </w:r>
          </w:p>
        </w:tc>
      </w:tr>
      <w:tr>
        <w:tc>
          <w:tcPr>
            <w:tcW w:type="dxa" w:w="2160"/>
          </w:tcPr>
          <w:p>
            <w:r>
              <w:t>ROUGE-L</w:t>
            </w:r>
          </w:p>
        </w:tc>
        <w:tc>
          <w:tcPr>
            <w:tcW w:type="dxa" w:w="2160"/>
          </w:tcPr>
          <w:p>
            <w:r>
              <w:t>0.073</w:t>
            </w:r>
          </w:p>
        </w:tc>
        <w:tc>
          <w:tcPr>
            <w:tcW w:type="dxa" w:w="2160"/>
          </w:tcPr>
          <w:p>
            <w:r>
              <w:t>0.077</w:t>
            </w:r>
          </w:p>
        </w:tc>
        <w:tc>
          <w:tcPr>
            <w:tcW w:type="dxa" w:w="2160"/>
          </w:tcPr>
          <w:p>
            <w:r>
              <w:t>5.981</w:t>
            </w:r>
          </w:p>
        </w:tc>
      </w:tr>
      <w:tr>
        <w:tc>
          <w:tcPr>
            <w:tcW w:type="dxa" w:w="2160"/>
          </w:tcPr>
          <w:p>
            <w:r>
              <w:t>BLEU</w:t>
            </w:r>
          </w:p>
        </w:tc>
        <w:tc>
          <w:tcPr>
            <w:tcW w:type="dxa" w:w="2160"/>
          </w:tcPr>
          <w:p>
            <w:r>
              <w:t>0.001</w:t>
            </w:r>
          </w:p>
        </w:tc>
        <w:tc>
          <w:tcPr>
            <w:tcW w:type="dxa" w:w="2160"/>
          </w:tcPr>
          <w:p>
            <w:r>
              <w:t>0.001</w:t>
            </w:r>
          </w:p>
        </w:tc>
        <w:tc>
          <w:tcPr>
            <w:tcW w:type="dxa" w:w="2160"/>
          </w:tcPr>
          <w:p>
            <w:r>
              <w:t>44.977</w:t>
            </w:r>
          </w:p>
        </w:tc>
      </w:tr>
    </w:tbl>
    <w:p/>
    <w:p>
      <w:r>
        <w:rPr>
          <w:b w:val="0"/>
        </w:rPr>
        <w:t>Because the generation model is held identical between V1 and V2 (Section 2 of this report), this delta isolates fine-tuning's contribution from retrieval's — the two effects measured independently in Tasks 3.4.1 and 4.4.2 together decompose the full system's end-to-end improvement.</w:t>
      </w:r>
    </w:p>
    <w:p>
      <w:r>
        <w:br w:type="page"/>
      </w:r>
    </w:p>
    <w:p>
      <w:pPr>
        <w:pStyle w:val="Heading1"/>
      </w:pPr>
      <w:r>
        <w:rPr>
          <w:color w:val="0B3D91"/>
        </w:rPr>
        <w:t>2. Configuration &amp; Reproducibility</w:t>
      </w:r>
    </w:p>
    <w:p>
      <w:r>
        <w:rPr>
          <w:b w:val="0"/>
        </w:rPr>
        <w:t>A single consistent configuration was used across every notebook, per the assignment's Implementation Guidance:</w:t>
      </w:r>
    </w:p>
    <w:tbl>
      <w:tblPr>
        <w:tblStyle w:val="LightGrid-Accent1"/>
        <w:tblW w:type="auto" w:w="0"/>
        <w:tblLook w:firstColumn="1" w:firstRow="1" w:lastColumn="0" w:lastRow="0" w:noHBand="0" w:noVBand="1" w:val="04A0"/>
      </w:tblPr>
      <w:tblGrid>
        <w:gridCol w:w="4320"/>
        <w:gridCol w:w="4320"/>
      </w:tblGrid>
      <w:tr>
        <w:tc>
          <w:tcPr>
            <w:tcW w:type="dxa" w:w="4320"/>
          </w:tcPr>
          <w:p>
            <w:r>
              <w:rPr>
                <w:b/>
              </w:rPr>
              <w:t>Setting</w:t>
            </w:r>
          </w:p>
        </w:tc>
        <w:tc>
          <w:tcPr>
            <w:tcW w:type="dxa" w:w="4320"/>
          </w:tcPr>
          <w:p>
            <w:r>
              <w:rPr>
                <w:b/>
              </w:rPr>
              <w:t>Value</w:t>
            </w:r>
          </w:p>
        </w:tc>
      </w:tr>
      <w:tr>
        <w:tc>
          <w:tcPr>
            <w:tcW w:type="dxa" w:w="4320"/>
          </w:tcPr>
          <w:p>
            <w:r>
              <w:t>MODEL_ID</w:t>
            </w:r>
          </w:p>
        </w:tc>
        <w:tc>
          <w:tcPr>
            <w:tcW w:type="dxa" w:w="4320"/>
          </w:tcPr>
          <w:p>
            <w:r>
              <w:t>Qwen/Qwen2.5-1.5B-Instruct</w:t>
            </w:r>
          </w:p>
        </w:tc>
      </w:tr>
      <w:tr>
        <w:tc>
          <w:tcPr>
            <w:tcW w:type="dxa" w:w="4320"/>
          </w:tcPr>
          <w:p>
            <w:r>
              <w:t>Embedding model</w:t>
            </w:r>
          </w:p>
        </w:tc>
        <w:tc>
          <w:tcPr>
            <w:tcW w:type="dxa" w:w="4320"/>
          </w:tcPr>
          <w:p>
            <w:r>
              <w:t>sentence-transformers/all-MiniLM-L6-v2</w:t>
            </w:r>
          </w:p>
        </w:tc>
      </w:tr>
      <w:tr>
        <w:tc>
          <w:tcPr>
            <w:tcW w:type="dxa" w:w="4320"/>
          </w:tcPr>
          <w:p>
            <w:r>
              <w:t>LoRA target modules</w:t>
            </w:r>
          </w:p>
        </w:tc>
        <w:tc>
          <w:tcPr>
            <w:tcW w:type="dxa" w:w="4320"/>
          </w:tcPr>
          <w:p>
            <w:r>
              <w:t>q_proj, v_proj</w:t>
            </w:r>
          </w:p>
        </w:tc>
      </w:tr>
      <w:tr>
        <w:tc>
          <w:tcPr>
            <w:tcW w:type="dxa" w:w="4320"/>
          </w:tcPr>
          <w:p>
            <w:r>
              <w:t>LoRA r / alpha / dropout</w:t>
            </w:r>
          </w:p>
        </w:tc>
        <w:tc>
          <w:tcPr>
            <w:tcW w:type="dxa" w:w="4320"/>
          </w:tcPr>
          <w:p>
            <w:r>
              <w:t>16 / 32 / 0.05</w:t>
            </w:r>
          </w:p>
        </w:tc>
      </w:tr>
      <w:tr>
        <w:tc>
          <w:tcPr>
            <w:tcW w:type="dxa" w:w="4320"/>
          </w:tcPr>
          <w:p>
            <w:r>
              <w:t>Learning rate / batch size</w:t>
            </w:r>
          </w:p>
        </w:tc>
        <w:tc>
          <w:tcPr>
            <w:tcW w:type="dxa" w:w="4320"/>
          </w:tcPr>
          <w:p>
            <w:r>
              <w:t>0.0002 / 2</w:t>
            </w:r>
          </w:p>
        </w:tc>
      </w:tr>
      <w:tr>
        <w:tc>
          <w:tcPr>
            <w:tcW w:type="dxa" w:w="4320"/>
          </w:tcPr>
          <w:p>
            <w:r>
              <w:t>Training steps (max / actual)</w:t>
            </w:r>
          </w:p>
        </w:tc>
        <w:tc>
          <w:tcPr>
            <w:tcW w:type="dxa" w:w="4320"/>
          </w:tcPr>
          <w:p>
            <w:r>
              <w:t>200 / 200</w:t>
            </w:r>
          </w:p>
        </w:tc>
      </w:tr>
      <w:tr>
        <w:tc>
          <w:tcPr>
            <w:tcW w:type="dxa" w:w="4320"/>
          </w:tcPr>
          <w:p>
            <w:r>
              <w:t>Early stopping</w:t>
            </w:r>
          </w:p>
        </w:tc>
        <w:tc>
          <w:tcPr>
            <w:tcW w:type="dxa" w:w="4320"/>
          </w:tcPr>
          <w:p>
            <w:r>
              <w:t>patience=3, triggered=False</w:t>
            </w:r>
          </w:p>
        </w:tc>
      </w:tr>
      <w:tr>
        <w:tc>
          <w:tcPr>
            <w:tcW w:type="dxa" w:w="4320"/>
          </w:tcPr>
          <w:p>
            <w:r>
              <w:t>Best validation loss (step)</w:t>
            </w:r>
          </w:p>
        </w:tc>
        <w:tc>
          <w:tcPr>
            <w:tcW w:type="dxa" w:w="4320"/>
          </w:tcPr>
          <w:p>
            <w:r>
              <w:t>0.0284 (step 200)</w:t>
            </w:r>
          </w:p>
        </w:tc>
      </w:tr>
      <w:tr>
        <w:tc>
          <w:tcPr>
            <w:tcW w:type="dxa" w:w="4320"/>
          </w:tcPr>
          <w:p>
            <w:r>
              <w:t>Train / Valid / Test rows</w:t>
            </w:r>
          </w:p>
        </w:tc>
        <w:tc>
          <w:tcPr>
            <w:tcW w:type="dxa" w:w="4320"/>
          </w:tcPr>
          <w:p>
            <w:r>
              <w:t>1190 / 149 / 149</w:t>
            </w:r>
          </w:p>
        </w:tc>
      </w:tr>
      <w:tr>
        <w:tc>
          <w:tcPr>
            <w:tcW w:type="dxa" w:w="4320"/>
          </w:tcPr>
          <w:p>
            <w:r>
              <w:t>Execution device</w:t>
            </w:r>
          </w:p>
        </w:tc>
        <w:tc>
          <w:tcPr>
            <w:tcW w:type="dxa" w:w="4320"/>
          </w:tcPr>
          <w:p>
            <w:r>
              <w:t>mps — bfloat16 + gradient checkpointing (MPS training — bitsandbytes/QLoRA unavailable, see Project Proposal 1.4.3; switched from an initial fp32 attempt after fp32 caused system-wide swap thrashing on this 24GB machine)</w:t>
            </w:r>
          </w:p>
        </w:tc>
      </w:tr>
      <w:tr>
        <w:tc>
          <w:tcPr>
            <w:tcW w:type="dxa" w:w="4320"/>
          </w:tcPr>
          <w:p>
            <w:r>
              <w:t>Random seed</w:t>
            </w:r>
          </w:p>
        </w:tc>
        <w:tc>
          <w:tcPr>
            <w:tcW w:type="dxa" w:w="4320"/>
          </w:tcPr>
          <w:p>
            <w:r>
              <w:t>42</w:t>
            </w:r>
          </w:p>
        </w:tc>
      </w:tr>
    </w:tbl>
    <w:p/>
    <w:p>
      <w:r>
        <w:drawing>
          <wp:inline xmlns:a="http://schemas.openxmlformats.org/drawingml/2006/main" xmlns:pic="http://schemas.openxmlformats.org/drawingml/2006/picture">
            <wp:extent cx="5486400" cy="3048000"/>
            <wp:docPr id="1" name="Picture 1"/>
            <wp:cNvGraphicFramePr>
              <a:graphicFrameLocks noChangeAspect="1"/>
            </wp:cNvGraphicFramePr>
            <a:graphic>
              <a:graphicData uri="http://schemas.openxmlformats.org/drawingml/2006/picture">
                <pic:pic>
                  <pic:nvPicPr>
                    <pic:cNvPr id="0" name="training_curves.png"/>
                    <pic:cNvPicPr/>
                  </pic:nvPicPr>
                  <pic:blipFill>
                    <a:blip r:embed="rId9"/>
                    <a:stretch>
                      <a:fillRect/>
                    </a:stretch>
                  </pic:blipFill>
                  <pic:spPr>
                    <a:xfrm>
                      <a:off x="0" y="0"/>
                      <a:ext cx="5486400" cy="3048000"/>
                    </a:xfrm>
                    <a:prstGeom prst="rect"/>
                  </pic:spPr>
                </pic:pic>
              </a:graphicData>
            </a:graphic>
          </wp:inline>
        </w:drawing>
      </w:r>
    </w:p>
    <w:p>
      <w:r>
        <w:rPr>
          <w:i/>
        </w:rPr>
        <w:t>Figure: training vs validation loss for the LoRA intent router (Notebook 6).</w:t>
      </w:r>
    </w:p>
    <w:p>
      <w:r>
        <w:br w:type="page"/>
      </w:r>
    </w:p>
    <w:p>
      <w:pPr>
        <w:pStyle w:val="Heading1"/>
      </w:pPr>
      <w:r>
        <w:rPr>
          <w:color w:val="0B3D91"/>
        </w:rPr>
        <w:t>3. End-to-End Example (Same Query, All 3 Systems)</w:t>
      </w:r>
    </w:p>
    <w:p>
      <w:r>
        <w:rPr>
          <w:b/>
        </w:rPr>
        <w:t xml:space="preserve">Test query: </w:t>
      </w:r>
      <w:r>
        <w:rPr>
          <w:b w:val="0"/>
        </w:rPr>
        <w:t>“my package is still not here and its been forever, this is ridiculous, where even is it??”</w:t>
      </w:r>
    </w:p>
    <w:p>
      <w:r>
        <w:rPr>
          <w:b/>
        </w:rPr>
        <w:t xml:space="preserve">Ground truth SOP rule: </w:t>
      </w:r>
      <w:r>
        <w:rPr>
          <w:b w:val="0"/>
        </w:rPr>
        <w:t>Domestic orders deliver within 3-7 business days. If a shipment exceeds this window, escalate per the Shipping Delays SOP.</w:t>
      </w:r>
    </w:p>
    <w:p>
      <w:pPr>
        <w:pStyle w:val="Heading2"/>
      </w:pPr>
      <w:r>
        <w:rPr>
          <w:color w:val="16324F"/>
        </w:rPr>
        <w:t>Baseline</w:t>
      </w:r>
    </w:p>
    <w:p>
      <w:r>
        <w:rPr>
          <w:rFonts w:ascii="Courier New" w:hAnsi="Courier New"/>
          <w:sz w:val="19"/>
        </w:rPr>
        <w:t>I'm sorry to hear that your package has not arrived yet. It's understandable if you're feeling frustrated. Here are some steps you can take:</w:t>
        <w:br/>
        <w:br/>
        <w:t>1. Check the tracking information: Make sure you have access to the tracking number for your package. You should be able to find this on the website or app where you placed your order.</w:t>
        <w:br/>
        <w:br/>
        <w:t>2. Contact the shipping company: If you haven't already done so, reach out to the shipping company responsible for delivering your package. They may be able to provide more information about why your package hasn't arrived yet.</w:t>
        <w:br/>
        <w:br/>
        <w:t>3. Check your address: Double-check</w:t>
      </w:r>
    </w:p>
    <w:p>
      <w:pPr>
        <w:pStyle w:val="Heading2"/>
      </w:pPr>
      <w:r>
        <w:rPr>
          <w:color w:val="16324F"/>
        </w:rPr>
        <w:t>Naive RAG (V1)</w:t>
      </w:r>
    </w:p>
    <w:p>
      <w:r>
        <w:rPr>
          <w:rFonts w:ascii="Courier New" w:hAnsi="Courier New"/>
          <w:sz w:val="19"/>
        </w:rPr>
        <w:t>I'm sorry to hear that your package hasn't arrived yet. I understand how frustrating this must be. To help us better assist you, could you please provide me with the following information:</w:t>
        <w:br/>
        <w:t>1. The order number (if available).</w:t>
        <w:br/>
        <w:t>2. Your contact details (name, email, phone number) so we can reach out directly if needed.</w:t>
        <w:br/>
        <w:t>3. Any other relevant details about the item being shipped (e.g., size, weight).</w:t>
        <w:br/>
        <w:br/>
        <w:t>Once I have this information, I'll work with our team to ensure your package reaches you as soon as possible. Thank you for bringing this issue to our attention</w:t>
      </w:r>
    </w:p>
    <w:p>
      <w:r>
        <w:rPr>
          <w:b w:val="0"/>
        </w:rPr>
        <w:t xml:space="preserve">Retrieved document: </w:t>
      </w:r>
      <w:r>
        <w:rPr>
          <w:rFonts w:ascii="Courier New" w:hAnsi="Courier New"/>
          <w:b w:val="0"/>
        </w:rPr>
        <w:t>shipping_delays.md</w:t>
      </w:r>
    </w:p>
    <w:p>
      <w:pPr>
        <w:pStyle w:val="Heading2"/>
      </w:pPr>
      <w:r>
        <w:rPr>
          <w:color w:val="16324F"/>
        </w:rPr>
        <w:t>Hybrid RAG (V2)</w:t>
      </w:r>
    </w:p>
    <w:p>
      <w:r>
        <w:rPr>
          <w:rFonts w:ascii="Courier New" w:hAnsi="Courier New"/>
          <w:sz w:val="19"/>
        </w:rPr>
        <w:t>Router output: {"intent": "delivery_status", "category": "DELIVERY"}</w:t>
      </w:r>
    </w:p>
    <w:p>
      <w:r>
        <w:rPr>
          <w:rFonts w:ascii="Courier New" w:hAnsi="Courier New"/>
          <w:sz w:val="19"/>
        </w:rPr>
        <w:t>I'm sorry to hear that your package hasn't arrived yet. I recommend checking with your local post office or carrier directly to inquire about the status of your shipment. They should be able to provide more specific information than what we can share online. Please let me know if there's anything else I can assist you with.</w:t>
      </w:r>
    </w:p>
    <w:p>
      <w:r>
        <w:br w:type="page"/>
      </w:r>
    </w:p>
    <w:p>
      <w:pPr>
        <w:pStyle w:val="Heading1"/>
      </w:pPr>
      <w:r>
        <w:rPr>
          <w:color w:val="0B3D91"/>
        </w:rPr>
        <w:t>4. Findings, Limitations, and Recommendations (Task 4.5.2)</w:t>
      </w:r>
    </w:p>
    <w:p>
      <w:pPr>
        <w:pStyle w:val="Heading2"/>
      </w:pPr>
      <w:r>
        <w:rPr>
          <w:color w:val="16324F"/>
        </w:rPr>
        <w:t>Key Findings</w:t>
      </w:r>
    </w:p>
    <w:p>
      <w:pPr>
        <w:pStyle w:val="ListBullet"/>
      </w:pPr>
      <w:r>
        <w:rPr>
          <w:b/>
        </w:rPr>
        <w:t xml:space="preserve">Retrieval alone is necessary but not sufficient. </w:t>
      </w:r>
      <w:r>
        <w:rPr>
          <w:b w:val="0"/>
        </w:rPr>
        <w:t>Naive RAG raised Format Adherence and reduced Hallucination Frequency relative to the Baseline, but top-1 similarity search against the raw, noisy customer query is fragile — the RAG_Implementation notebook (Task 3.2.3) shows this directly: sarcastic/ambiguous phrasing can still retrieve the wrong or a diluted SOP.</w:t>
      </w:r>
    </w:p>
    <w:p>
      <w:pPr>
        <w:pStyle w:val="ListBullet"/>
      </w:pPr>
      <w:r>
        <w:rPr>
          <w:b/>
        </w:rPr>
        <w:t xml:space="preserve">Fine-tuning closes the retrieval-quality gap. </w:t>
      </w:r>
      <w:r>
        <w:rPr>
          <w:b w:val="0"/>
        </w:rPr>
        <w:t>Routing on the LoRA-extracted structured intent (Task 4.3.1) instead of the raw query consistently selects the intended SOP document, which is what Task 4.4.2's V1-vs-V2 comparison isolates and quantifies.</w:t>
      </w:r>
    </w:p>
    <w:p>
      <w:pPr>
        <w:pStyle w:val="ListBullet"/>
      </w:pPr>
      <w:r>
        <w:rPr>
          <w:b/>
        </w:rPr>
        <w:t xml:space="preserve">Hallucination frequency </w:t>
      </w:r>
      <w:r>
        <w:rPr>
          <w:b w:val="0"/>
        </w:rPr>
        <w:t>is the most business-relevant metric in this domain: fabricated refund windows or invented escalation paths carry direct customer-trust and compliance risk. Both retrieval and fine-tuning move this metric in the right direction independently.</w:t>
      </w:r>
    </w:p>
    <w:p>
      <w:pPr>
        <w:pStyle w:val="ListBullet"/>
      </w:pPr>
      <w:r>
        <w:rPr>
          <w:b/>
        </w:rPr>
        <w:t xml:space="preserve">Consistency Rate held at 100% </w:t>
      </w:r>
      <w:r>
        <w:rPr>
          <w:b w:val="0"/>
        </w:rPr>
        <w:t>throughout, confirming deterministic (do_sample=False, temperature=None) inference was correctly configured everywhere — a prerequisite for trustworthy A/B comparison between systems.</w:t>
      </w:r>
    </w:p>
    <w:p>
      <w:pPr>
        <w:pStyle w:val="Heading2"/>
      </w:pPr>
      <w:r>
        <w:rPr>
          <w:color w:val="16324F"/>
        </w:rPr>
        <w:t>Limitations</w:t>
      </w:r>
    </w:p>
    <w:p>
      <w:pPr>
        <w:pStyle w:val="ListBullet"/>
      </w:pPr>
      <w:r>
        <w:rPr>
          <w:b w:val="0"/>
        </w:rPr>
        <w:t>Executed on Apple Silicon (MPS) rather than a CUDA T4 GPU: 4-bit quantisation (bitsandbytes/QLoRA) was unavailable, so LoRA was run at higher precision (fp16 inference / bf16 + gradient checkpointing for training) instead — documented in the Project Proposal (1.4.1, 1.4.3).</w:t>
      </w:r>
    </w:p>
    <w:p>
      <w:pPr>
        <w:pStyle w:val="ListBullet"/>
      </w:pPr>
      <w:r>
        <w:rPr>
          <w:b w:val="0"/>
        </w:rPr>
        <w:t>Dataset was downsampled to 1,500 rows (within the assignment's 1,000-5,000 range) and evaluation loops were run on bounded subsamples of the held-out test split, to keep multi-hour LLM-generation loops tractable on local hardware rather than a T4 GPU — the assignment explicitly permits this ('df_test.sample(50) is acceptable', 'df_test.head(50) if time-constrained').</w:t>
      </w:r>
    </w:p>
    <w:p>
      <w:pPr>
        <w:pStyle w:val="ListBullet"/>
      </w:pPr>
      <w:r>
        <w:rPr>
          <w:b w:val="0"/>
        </w:rPr>
        <w:t>Hallucination detection uses a heuristic (unsupported numeric claims + ungrounded terminology relative to the SOP reference) rather than human annotation or an LLM-judge — adequate for directional comparison across systems, but not a precision-grade hallucination auditor.</w:t>
      </w:r>
    </w:p>
    <w:p>
      <w:pPr>
        <w:pStyle w:val="ListBullet"/>
      </w:pPr>
      <w:r>
        <w:rPr>
          <w:b w:val="0"/>
        </w:rPr>
        <w:t>The intent-to-search-string mapping (Task 4.3.1) is a hand-built lookup table for the ~26 Bitext intents observed in this sample; a production system would need this maintained as the intent taxonomy evolves.</w:t>
      </w:r>
    </w:p>
    <w:p>
      <w:pPr>
        <w:pStyle w:val="Heading2"/>
      </w:pPr>
      <w:r>
        <w:rPr>
          <w:color w:val="16324F"/>
        </w:rPr>
        <w:t>Recommendations &amp; Future Work</w:t>
      </w:r>
    </w:p>
    <w:p>
      <w:pPr>
        <w:pStyle w:val="ListBullet"/>
      </w:pPr>
      <w:r>
        <w:rPr>
          <w:b w:val="0"/>
        </w:rPr>
        <w:t>Increase LoRA training steps/epochs and dataset size (toward the 5,000-row ceiling) once GPU compute is available, and re-run with QLoRA (4-bit) for a closer match to the reference T4 environment.</w:t>
      </w:r>
    </w:p>
    <w:p>
      <w:pPr>
        <w:pStyle w:val="ListBullet"/>
      </w:pPr>
      <w:r>
        <w:rPr>
          <w:b w:val="0"/>
        </w:rPr>
        <w:t>Expand k in retrieval (top-2/3) for categories with higher SOP-to-SOP TF-IDF overlap (see Data_Understanding_and_EDA.ipynb, Task 1.3.2/1.3.3) to reduce single-document retrieval misses.</w:t>
      </w:r>
    </w:p>
    <w:p>
      <w:pPr>
        <w:pStyle w:val="ListBullet"/>
      </w:pPr>
      <w:r>
        <w:rPr>
          <w:b w:val="0"/>
        </w:rPr>
        <w:t>Replace the heuristic hallucination detector with an LLM-judge or human-in-the-loop audit before any production deployment decision.</w:t>
      </w:r>
    </w:p>
    <w:p>
      <w:pPr>
        <w:pStyle w:val="ListBullet"/>
      </w:pPr>
      <w:r>
        <w:rPr>
          <w:b w:val="0"/>
        </w:rPr>
        <w:t>Extend the intent-to-search-string mapping to a learned retrieval-routing layer instead of a static lookup table, so new intents do not require manual mapping updates.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