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1F4D78"/>
          <w:sz w:val="22"/>
        </w:rPr>
        <w:t>RESEARCH MANUSCRIPT</w:t>
      </w:r>
    </w:p>
    <w:p>
      <w:pPr>
        <w:spacing w:before="240" w:after="240"/>
        <w:jc w:val="center"/>
      </w:pPr>
      <w:r>
        <w:rPr>
          <w:rFonts w:ascii="Calibri" w:hAnsi="Calibri"/>
          <w:b/>
          <w:i w:val="0"/>
          <w:color w:val="0B2545"/>
          <w:sz w:val="50"/>
        </w:rPr>
        <w:t>Adaptive Multimodal Decomposition and Routing for Lithium-Price Forecasting</w:t>
      </w:r>
    </w:p>
    <w:p>
      <w:pPr>
        <w:spacing w:after="480"/>
        <w:jc w:val="center"/>
      </w:pPr>
      <w:r>
        <w:rPr>
          <w:rFonts w:ascii="Calibri" w:hAnsi="Calibri"/>
          <w:b w:val="0"/>
          <w:i/>
          <w:color w:val="555555"/>
          <w:sz w:val="26"/>
        </w:rPr>
        <w:t>Development-locked evidence for lithium hydroxide and lithium carbonate</w:t>
      </w:r>
    </w:p>
    <w:p>
      <w:pPr>
        <w:jc w:val="center"/>
      </w:pPr>
      <w:r>
        <w:rPr>
          <w:rFonts w:ascii="Calibri" w:hAnsi="Calibri"/>
          <w:b w:val="0"/>
          <w:i w:val="0"/>
          <w:color w:val="555555"/>
          <w:sz w:val="20"/>
        </w:rPr>
        <w:t>Pratham Lahoti</w:t>
        <w:br/>
        <w:t>Empirical run: lithium_paper_20260817T204135Z</w:t>
        <w:br/>
        <w:t>Prepared: 2026-08-17</w:t>
      </w:r>
    </w:p>
    <w:p>
      <w:pPr>
        <w:spacing w:before="600"/>
        <w:jc w:val="center"/>
      </w:pPr>
      <w:r>
        <w:rPr>
          <w:rFonts w:ascii="Calibri" w:hAnsi="Calibri"/>
          <w:b w:val="0"/>
          <w:i/>
          <w:color w:val="9B1C1C"/>
          <w:sz w:val="19"/>
        </w:rPr>
        <w:t>Protocol disclosure: the proposed method is evaluated with static full-sample decomposition and observed-test filtering. The analysis is retrospective and noncausal; results must not be interpreted as live out-of-sample performance.</w:t>
      </w:r>
    </w:p>
    <w:p>
      <w:r>
        <w:br w:type="page"/>
      </w:r>
    </w:p>
    <w:p>
      <w:pPr>
        <w:pStyle w:val="Heading1"/>
      </w:pPr>
      <w:r>
        <w:t>Abstract</w:t>
      </w:r>
    </w:p>
    <w:p>
      <w:pPr>
        <w:spacing w:after="160" w:line="320" w:lineRule="auto"/>
        <w:jc w:val="both"/>
      </w:pPr>
      <w:r>
        <w:rPr>
          <w:rFonts w:ascii="Calibri" w:hAnsi="Calibri"/>
          <w:b w:val="0"/>
          <w:i w:val="0"/>
          <w:color w:val="000000"/>
          <w:sz w:val="22"/>
        </w:rPr>
        <w:t>This study develops a multimodal adaptive decomposition-routing framework for COMEX lithium hydroxide CIF CJK futures and SMM battery-grade lithium carbonate spot prices. Lithium-specific Google Trends, 2,018 timestamped news headlines, TextBlob and FinBERT sentiment, Albemarle and Ganfeng equity closes, the MVIS critical-minerals index, and broad market controls are integrated with lagged prices. Seven single forecasters, four homogeneous decomposition models, a fixed VMD hybrid, and the proposed adaptive ensemble are compared on chronological testing sets. For hydroxide, the adaptive RMSE is 0.2737, 38.72% below the strongest non-adaptive decomposition comparator (CEEMDAN-ARIMA, 0.4467). For carbonate, the adaptive RMSE is 2881.4682, 8.58% below the strongest non-adaptive decomposition comparator (VMD-ARIMA, 3151.9059). The pre-specified dual-target RMSE-and-MAE gate is not satisfied, so the paper states target- and metric-specific superiority only. The uncertainty gate abstains unless the absolute forecasted price change exceeds the calibrated 90% residual half-width. Benchmark-relative and factor-adjusted trading statistics are descriptive. Full-sample decomposition and observed-test ARIMA filtering make the experiment retrospective and noncausal; none of the reported results is a live out-of-sample backtest.</w:t>
      </w:r>
    </w:p>
    <w:p>
      <w:pPr>
        <w:spacing w:after="160" w:line="320" w:lineRule="auto"/>
        <w:jc w:val="both"/>
      </w:pPr>
      <w:r>
        <w:rPr>
          <w:rFonts w:ascii="Calibri" w:hAnsi="Calibri"/>
          <w:b/>
          <w:i w:val="0"/>
          <w:color w:val="000000"/>
          <w:sz w:val="22"/>
        </w:rPr>
        <w:t>Keywords:</w:t>
      </w:r>
      <w:r>
        <w:rPr>
          <w:rFonts w:ascii="Calibri" w:hAnsi="Calibri"/>
          <w:b w:val="0"/>
          <w:i w:val="0"/>
          <w:color w:val="000000"/>
          <w:sz w:val="22"/>
        </w:rPr>
        <w:t xml:space="preserve"> lithium price; multimodal data; variational mode decomposition; LASSO; ARIMA; LSTM; sentiment; interval forecasting; trading.</w:t>
      </w:r>
    </w:p>
    <w:p>
      <w:pPr>
        <w:pStyle w:val="Heading1"/>
      </w:pPr>
      <w:r>
        <w:t>1. Introduction</w:t>
      </w:r>
    </w:p>
    <w:p>
      <w:pPr>
        <w:spacing w:after="160" w:line="320" w:lineRule="auto"/>
        <w:jc w:val="both"/>
      </w:pPr>
      <w:r>
        <w:rPr>
          <w:rFonts w:ascii="Calibri" w:hAnsi="Calibri"/>
          <w:b w:val="0"/>
          <w:i w:val="0"/>
          <w:color w:val="000000"/>
          <w:sz w:val="22"/>
        </w:rPr>
        <w:t>Lithium prices transmit information about electric-vehicle demand, battery manufacturing, mine supply, conversion capacity, inventories, policy, and investor expectations. Their rapid structural shifts make them economically important and statistically difficult to forecast. A single historical-price series may therefore omit attention, sentiment, cross-market, equity, and macro-financial signals that jointly describe the information environment.</w:t>
      </w:r>
    </w:p>
    <w:p>
      <w:pPr>
        <w:spacing w:after="160" w:line="320" w:lineRule="auto"/>
        <w:jc w:val="both"/>
      </w:pPr>
      <w:r>
        <w:rPr>
          <w:rFonts w:ascii="Calibri" w:hAnsi="Calibri"/>
          <w:b w:val="0"/>
          <w:i w:val="0"/>
          <w:color w:val="000000"/>
          <w:sz w:val="22"/>
        </w:rPr>
        <w:t>The central finance problem is not merely whether a layered learner can reduce statistical loss. It is whether information from the physical lithium market, listed producers, investor attention, news tone, the critical-minerals sector, and broad risk conditions is reflected differently across smooth and irregular price components, and whether any apparent predictability survives economically meaningful comparisons. The paper therefore separates three claims: point-forecast accuracy, uncertainty calibration, and trading performance. Success on one dimension is not treated as proof on the others.</w:t>
      </w:r>
    </w:p>
    <w:p>
      <w:pPr>
        <w:pStyle w:val="Heading2"/>
      </w:pPr>
      <w:r>
        <w:t>1.1 Research questions and finance contribution</w:t>
      </w:r>
    </w:p>
    <w:p>
      <w:pPr>
        <w:spacing w:after="160" w:line="320" w:lineRule="auto"/>
        <w:jc w:val="both"/>
      </w:pPr>
      <w:r>
        <w:rPr>
          <w:rFonts w:ascii="Calibri" w:hAnsi="Calibri"/>
          <w:b w:val="0"/>
          <w:i w:val="0"/>
          <w:color w:val="000000"/>
          <w:sz w:val="22"/>
        </w:rPr>
        <w:t>The first research question asks whether decomposition improves lithium-price forecasts relative to undecomposed statistical and machine-learning models. The second asks whether development-locked selection of decomposition, mode forecaster, and ensemble weight improves on fixed VMD routing and homogeneous CEEMDAN/VMD comparators. The third asks which multimodal signals survive mode-specific sparse selection. The fourth asks whether an uncertainty-based abstention rule improves the return-drawdown trade-off after costs and benchmarks.</w:t>
      </w:r>
    </w:p>
    <w:p>
      <w:pPr>
        <w:spacing w:after="160" w:line="320" w:lineRule="auto"/>
        <w:jc w:val="both"/>
      </w:pPr>
      <w:r>
        <w:rPr>
          <w:rFonts w:ascii="Calibri" w:hAnsi="Calibri"/>
          <w:b w:val="0"/>
          <w:i w:val="0"/>
          <w:color w:val="000000"/>
          <w:sz w:val="22"/>
        </w:rPr>
        <w:t>The contribution is fourfold. First, the study forecasts two directly quoted lithium prices rather than heterogeneous mining equities. Second, it organizes cross-lithium prices, producer equities, search attention, lithium-specific news sentiment, sector conditions, and macro-financial controls into an auditable information architecture. Third, it proposes development-locked adaptive routing: VMD and CEEMDAN candidates, component-level ARIMA/LSTM/SVR/RF selection, and nonnegative sum-to-one stacking are fixed before the final test segment is evaluated. Fourth, it treats uncertainty gating and evaluation timing as model-risk questions rather than inferring financial superiority from one error column or a large simulated return.</w:t>
      </w:r>
    </w:p>
    <w:p>
      <w:pPr>
        <w:spacing w:after="160" w:line="320" w:lineRule="auto"/>
        <w:jc w:val="both"/>
      </w:pPr>
      <w:r>
        <w:rPr>
          <w:rFonts w:ascii="Calibri" w:hAnsi="Calibri"/>
          <w:b w:val="0"/>
          <w:i w:val="0"/>
          <w:color w:val="000000"/>
          <w:sz w:val="22"/>
        </w:rPr>
        <w:t>The adaptive method is therefore evaluated against the fixed-routing architecture it replaces as well as homogeneous decomposition models. Every superiority statement is tied to the reported metric and target; unfavorable comparisons remain in the paper.</w:t>
      </w:r>
    </w:p>
    <w:p>
      <w:pPr>
        <w:pStyle w:val="Heading1"/>
      </w:pPr>
      <w:r>
        <w:t>2. Literature review and positioning</w:t>
      </w:r>
    </w:p>
    <w:p>
      <w:pPr>
        <w:keepNext/>
        <w:spacing w:before="100" w:after="80"/>
      </w:pPr>
      <w:r>
        <w:rPr>
          <w:rFonts w:ascii="Calibri" w:hAnsi="Calibri"/>
          <w:b/>
          <w:i w:val="0"/>
          <w:color w:val="1F4D78"/>
          <w:sz w:val="18"/>
        </w:rPr>
        <w:t xml:space="preserve">Table 1. </w:t>
      </w:r>
      <w:r>
        <w:rPr>
          <w:rFonts w:ascii="Calibri" w:hAnsi="Calibri"/>
          <w:b w:val="0"/>
          <w:i/>
          <w:color w:val="000000"/>
          <w:sz w:val="18"/>
        </w:rPr>
        <w:t>Representative research works in lithium and energy-price forecasting.</w:t>
      </w:r>
    </w:p>
    <w:tbl>
      <w:tblPr>
        <w:tblStyle w:val="TableGrid"/>
        <w:tblW w:type="dxa" w:w="9360"/>
        <w:jc w:val="left"/>
        <w:tblLayout w:type="fixed"/>
        <w:tblLook w:firstColumn="1" w:firstRow="1" w:lastColumn="0" w:lastRow="0" w:noHBand="0" w:noVBand="1" w:val="04A0"/>
        <w:tblInd w:w="120" w:type="dxa"/>
      </w:tblPr>
      <w:tblGrid>
        <w:gridCol w:w="2340"/>
        <w:gridCol w:w="2198"/>
        <w:gridCol w:w="2410"/>
        <w:gridCol w:w="2412"/>
      </w:tblGrid>
      <w:tr>
        <w:trPr>
          <w:tblHeader w:val="true"/>
        </w:trPr>
        <w:tc>
          <w:tcPr>
            <w:tcW w:type="dxa" w:w="2340"/>
            <w:shd w:fill="F4F6F9"/>
            <w:vAlign w:val="center"/>
            <w:tcMar>
              <w:top w:w="80" w:type="dxa"/>
              <w:bottom w:w="80" w:type="dxa"/>
              <w:start w:w="120" w:type="dxa"/>
              <w:end w:w="120" w:type="dxa"/>
            </w:tcMar>
          </w:tcPr>
          <w:p>
            <w:pPr>
              <w:jc w:val="center"/>
            </w:pPr>
            <w:r/>
            <w:r>
              <w:rPr>
                <w:rFonts w:ascii="Calibri" w:hAnsi="Calibri"/>
                <w:b/>
                <w:i w:val="0"/>
                <w:color w:val="0B2545"/>
                <w:sz w:val="13"/>
              </w:rPr>
              <w:t>Study</w:t>
            </w:r>
          </w:p>
        </w:tc>
        <w:tc>
          <w:tcPr>
            <w:tcW w:type="dxa" w:w="2198"/>
            <w:shd w:fill="F4F6F9"/>
            <w:vAlign w:val="center"/>
            <w:tcMar>
              <w:top w:w="80" w:type="dxa"/>
              <w:bottom w:w="80" w:type="dxa"/>
              <w:start w:w="120" w:type="dxa"/>
              <w:end w:w="120" w:type="dxa"/>
            </w:tcMar>
          </w:tcPr>
          <w:p>
            <w:pPr>
              <w:jc w:val="center"/>
            </w:pPr>
            <w:r/>
            <w:r>
              <w:rPr>
                <w:rFonts w:ascii="Calibri" w:hAnsi="Calibri"/>
                <w:b/>
                <w:i w:val="0"/>
                <w:color w:val="0B2545"/>
                <w:sz w:val="13"/>
              </w:rPr>
              <w:t>Research focus</w:t>
            </w:r>
          </w:p>
        </w:tc>
        <w:tc>
          <w:tcPr>
            <w:tcW w:type="dxa" w:w="2410"/>
            <w:shd w:fill="F4F6F9"/>
            <w:vAlign w:val="center"/>
            <w:tcMar>
              <w:top w:w="80" w:type="dxa"/>
              <w:bottom w:w="80" w:type="dxa"/>
              <w:start w:w="120" w:type="dxa"/>
              <w:end w:w="120" w:type="dxa"/>
            </w:tcMar>
          </w:tcPr>
          <w:p>
            <w:pPr>
              <w:jc w:val="center"/>
            </w:pPr>
            <w:r/>
            <w:r>
              <w:rPr>
                <w:rFonts w:ascii="Calibri" w:hAnsi="Calibri"/>
                <w:b/>
                <w:i w:val="0"/>
                <w:color w:val="0B2545"/>
                <w:sz w:val="13"/>
              </w:rPr>
              <w:t>Method</w:t>
            </w:r>
          </w:p>
        </w:tc>
        <w:tc>
          <w:tcPr>
            <w:tcW w:type="dxa" w:w="2412"/>
            <w:shd w:fill="F4F6F9"/>
            <w:vAlign w:val="center"/>
            <w:tcMar>
              <w:top w:w="80" w:type="dxa"/>
              <w:bottom w:w="80" w:type="dxa"/>
              <w:start w:w="120" w:type="dxa"/>
              <w:end w:w="120" w:type="dxa"/>
            </w:tcMar>
          </w:tcPr>
          <w:p>
            <w:pPr>
              <w:jc w:val="center"/>
            </w:pPr>
            <w:r/>
            <w:r>
              <w:rPr>
                <w:rFonts w:ascii="Calibri" w:hAnsi="Calibri"/>
                <w:b/>
                <w:i w:val="0"/>
                <w:color w:val="0B2545"/>
                <w:sz w:val="13"/>
              </w:rPr>
              <w:t>Role in this study</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Hochreiter and Schmidhuber (1997)</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Sequence learning</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LSTM</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Recurrent nonlinear forecasting</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Tibshirani (1996)</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Sparse regression</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LASSO</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Multimodal indicator selection</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Dragomiretskiy and Zosso (2014)</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Signal decomposition</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VMD</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Adaptive narrow-band modes</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Torres et al. (2011)</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Noise-assisted decomposition</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CEEMDAN</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Decomposition comparator</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Diebold and Mariano (1995)</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Predictive-accuracy testing</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DM test</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Pairwise loss comparison</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Box et al. (2015)</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Time-series forecasting</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ARIMA</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Linear forecasting of smooth decomposed modes</w:t>
            </w:r>
          </w:p>
        </w:tc>
      </w:tr>
      <w:tr>
        <w:tc>
          <w:tcPr>
            <w:tcW w:type="dxa" w:w="234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This study</w:t>
            </w:r>
          </w:p>
        </w:tc>
        <w:tc>
          <w:tcPr>
            <w:tcW w:type="dxa" w:w="21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Lithium hydroxide and carbonate</w:t>
            </w:r>
          </w:p>
        </w:tc>
        <w:tc>
          <w:tcPr>
            <w:tcW w:type="dxa" w:w="241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Adaptive decomposition-routing ensemble</w:t>
            </w:r>
          </w:p>
        </w:tc>
        <w:tc>
          <w:tcPr>
            <w:tcW w:type="dxa" w:w="24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Development-locked decomposition, route and stacking selection</w:t>
            </w:r>
          </w:p>
        </w:tc>
      </w:tr>
    </w:tbl>
    <w:p>
      <w:pPr>
        <w:spacing w:after="60"/>
      </w:pPr>
    </w:p>
    <w:p>
      <w:pPr>
        <w:pStyle w:val="Heading3"/>
      </w:pPr>
      <w:r>
        <w:t>Interpretation of Table 1</w:t>
      </w:r>
    </w:p>
    <w:p>
      <w:pPr>
        <w:spacing w:after="160" w:line="320" w:lineRule="auto"/>
        <w:jc w:val="both"/>
      </w:pPr>
      <w:r>
        <w:rPr>
          <w:rFonts w:ascii="Calibri" w:hAnsi="Calibri"/>
          <w:b/>
          <w:i w:val="0"/>
          <w:color w:val="000000"/>
          <w:sz w:val="22"/>
        </w:rPr>
        <w:t>Purpose:</w:t>
      </w:r>
      <w:r>
        <w:rPr>
          <w:rFonts w:ascii="Calibri" w:hAnsi="Calibri"/>
          <w:b w:val="0"/>
          <w:i w:val="0"/>
          <w:color w:val="000000"/>
          <w:sz w:val="22"/>
        </w:rPr>
        <w:t xml:space="preserve"> The table identifies the methodological lineage of the study rather than claiming an exhaustive lithium-forecasting review. LSTM supplies nonlinear sequence learning, LASSO supplies sparse indicator selection, VMD and CEEMDAN supply competing decompositions, and the Diebold-Mariano test supplies the formal loss comparison.</w:t>
      </w:r>
    </w:p>
    <w:p>
      <w:pPr>
        <w:spacing w:after="160" w:line="320" w:lineRule="auto"/>
        <w:jc w:val="both"/>
      </w:pPr>
      <w:r>
        <w:rPr>
          <w:rFonts w:ascii="Calibri" w:hAnsi="Calibri"/>
          <w:b/>
          <w:i w:val="0"/>
          <w:color w:val="000000"/>
          <w:sz w:val="22"/>
        </w:rPr>
        <w:t>Research gap:</w:t>
      </w:r>
      <w:r>
        <w:rPr>
          <w:rFonts w:ascii="Calibri" w:hAnsi="Calibri"/>
          <w:b w:val="0"/>
          <w:i w:val="0"/>
          <w:color w:val="000000"/>
          <w:sz w:val="22"/>
        </w:rPr>
        <w:t xml:space="preserve"> The foundational studies address individual building blocks-statistical forecasting, sparse selection, signal decomposition, recurrent learning, and predictive-accuracy testing-but do not provide the integrated lithium-specific system developed here. This paper unifies those elements around two directly observed lithium-price targets.</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literature table positions the proposed contribution without claiming that the listed methods are uniquely optimal. Figure 1's Crossref counts are descriptive evidence of research attention and should not be treated as a PRISMA-style systematic review.</w:t>
      </w:r>
    </w:p>
    <w:p>
      <w:pPr>
        <w:keepNext/>
        <w:spacing w:before="100" w:after="80"/>
      </w:pPr>
      <w:r>
        <w:rPr>
          <w:rFonts w:ascii="Calibri" w:hAnsi="Calibri"/>
          <w:b/>
          <w:i w:val="0"/>
          <w:color w:val="1F4D78"/>
          <w:sz w:val="18"/>
        </w:rPr>
        <w:t xml:space="preserve">Figure 1. </w:t>
      </w:r>
      <w:r>
        <w:rPr>
          <w:rFonts w:ascii="Calibri" w:hAnsi="Calibri"/>
          <w:b w:val="0"/>
          <w:i/>
          <w:color w:val="000000"/>
          <w:sz w:val="18"/>
        </w:rPr>
        <w:t>Time trend of candidate publications in lithium-price forecasting. Crossref title-query counts are descriptive and are not a systematic-review flow.</w:t>
      </w:r>
    </w:p>
    <w:p>
      <w:pPr>
        <w:spacing w:after="180"/>
        <w:jc w:val="center"/>
      </w:pPr>
      <w:r>
        <w:drawing>
          <wp:inline xmlns:a="http://schemas.openxmlformats.org/drawingml/2006/main" xmlns:pic="http://schemas.openxmlformats.org/drawingml/2006/picture">
            <wp:extent cx="5760720" cy="2767404"/>
            <wp:docPr id="1" name="Picture 1"/>
            <wp:cNvGraphicFramePr>
              <a:graphicFrameLocks noChangeAspect="1"/>
            </wp:cNvGraphicFramePr>
            <a:graphic>
              <a:graphicData uri="http://schemas.openxmlformats.org/drawingml/2006/picture">
                <pic:pic>
                  <pic:nvPicPr>
                    <pic:cNvPr id="0" name="fig1_publication_trend.png"/>
                    <pic:cNvPicPr/>
                  </pic:nvPicPr>
                  <pic:blipFill>
                    <a:blip r:embed="rId11"/>
                    <a:stretch>
                      <a:fillRect/>
                    </a:stretch>
                  </pic:blipFill>
                  <pic:spPr>
                    <a:xfrm>
                      <a:off x="0" y="0"/>
                      <a:ext cx="5760720" cy="2767404"/>
                    </a:xfrm>
                    <a:prstGeom prst="rect"/>
                  </pic:spPr>
                </pic:pic>
              </a:graphicData>
            </a:graphic>
          </wp:inline>
        </w:drawing>
      </w:r>
    </w:p>
    <w:p>
      <w:pPr>
        <w:spacing w:after="160" w:line="320" w:lineRule="auto"/>
        <w:jc w:val="both"/>
      </w:pPr>
      <w:r>
        <w:rPr>
          <w:rFonts w:ascii="Calibri" w:hAnsi="Calibri"/>
          <w:b w:val="0"/>
          <w:i w:val="0"/>
          <w:color w:val="000000"/>
          <w:sz w:val="22"/>
        </w:rPr>
        <w:t>Decomposition-based energy-price studies seek to separate slowly varying structure from high-frequency fluctuations before applying specialized predictors. VMD supplies compact narrow-band modes, CEEMDAN provides a noise-assisted comparator, LASSO reduces the multimodal feature set, ARIMA models lower-frequency linear structure, and LSTM represents nonlinear temporal relationships. Our contribution is the integration of these components into a lithium-specific forecasting, uncertainty, and trading system-not a claim that model complexity is intrinsically superior.</w:t>
      </w:r>
    </w:p>
    <w:p>
      <w:pPr>
        <w:pStyle w:val="Heading1"/>
      </w:pPr>
      <w:r>
        <w:t>3. Methodology</w:t>
      </w:r>
    </w:p>
    <w:p>
      <w:pPr>
        <w:keepNext/>
        <w:spacing w:before="100" w:after="80"/>
      </w:pPr>
      <w:r>
        <w:rPr>
          <w:rFonts w:ascii="Calibri" w:hAnsi="Calibri"/>
          <w:b/>
          <w:i w:val="0"/>
          <w:color w:val="1F4D78"/>
          <w:sz w:val="18"/>
        </w:rPr>
        <w:t xml:space="preserve">Figure 2. </w:t>
      </w:r>
      <w:r>
        <w:rPr>
          <w:rFonts w:ascii="Calibri" w:hAnsi="Calibri"/>
          <w:b w:val="0"/>
          <w:i/>
          <w:color w:val="000000"/>
          <w:sz w:val="18"/>
        </w:rPr>
        <w:t>Conceptual structure of the LSTM model used as a nonlinear recurrent forecaster.</w:t>
      </w:r>
    </w:p>
    <w:p>
      <w:pPr>
        <w:spacing w:after="180"/>
        <w:jc w:val="center"/>
      </w:pPr>
      <w:r>
        <w:drawing>
          <wp:inline xmlns:a="http://schemas.openxmlformats.org/drawingml/2006/main" xmlns:pic="http://schemas.openxmlformats.org/drawingml/2006/picture">
            <wp:extent cx="5760720" cy="2370399"/>
            <wp:docPr id="2" name="Picture 2"/>
            <wp:cNvGraphicFramePr>
              <a:graphicFrameLocks noChangeAspect="1"/>
            </wp:cNvGraphicFramePr>
            <a:graphic>
              <a:graphicData uri="http://schemas.openxmlformats.org/drawingml/2006/picture">
                <pic:pic>
                  <pic:nvPicPr>
                    <pic:cNvPr id="0" name="fig2_lstm_structure.png"/>
                    <pic:cNvPicPr/>
                  </pic:nvPicPr>
                  <pic:blipFill>
                    <a:blip r:embed="rId12"/>
                    <a:stretch>
                      <a:fillRect/>
                    </a:stretch>
                  </pic:blipFill>
                  <pic:spPr>
                    <a:xfrm>
                      <a:off x="0" y="0"/>
                      <a:ext cx="5760720" cy="2370399"/>
                    </a:xfrm>
                    <a:prstGeom prst="rect"/>
                  </pic:spPr>
                </pic:pic>
              </a:graphicData>
            </a:graphic>
          </wp:inline>
        </w:drawing>
      </w:r>
    </w:p>
    <w:p>
      <w:pPr>
        <w:keepNext/>
        <w:spacing w:before="100" w:after="80"/>
      </w:pPr>
      <w:r>
        <w:rPr>
          <w:rFonts w:ascii="Calibri" w:hAnsi="Calibri"/>
          <w:b/>
          <w:i w:val="0"/>
          <w:color w:val="1F4D78"/>
          <w:sz w:val="18"/>
        </w:rPr>
        <w:t xml:space="preserve">Figure 3. </w:t>
      </w:r>
      <w:r>
        <w:rPr>
          <w:rFonts w:ascii="Calibri" w:hAnsi="Calibri"/>
          <w:b w:val="0"/>
          <w:i/>
          <w:color w:val="000000"/>
          <w:sz w:val="18"/>
        </w:rPr>
        <w:t>Framework of the proposed retrospective multimodal lithium-price method.</w:t>
      </w:r>
    </w:p>
    <w:p>
      <w:pPr>
        <w:spacing w:after="180"/>
        <w:jc w:val="center"/>
      </w:pPr>
      <w:r>
        <w:drawing>
          <wp:inline xmlns:a="http://schemas.openxmlformats.org/drawingml/2006/main" xmlns:pic="http://schemas.openxmlformats.org/drawingml/2006/picture">
            <wp:extent cx="5760720" cy="2270330"/>
            <wp:docPr id="3" name="Picture 3"/>
            <wp:cNvGraphicFramePr>
              <a:graphicFrameLocks noChangeAspect="1"/>
            </wp:cNvGraphicFramePr>
            <a:graphic>
              <a:graphicData uri="http://schemas.openxmlformats.org/drawingml/2006/picture">
                <pic:pic>
                  <pic:nvPicPr>
                    <pic:cNvPr id="0" name="fig3_framework.png"/>
                    <pic:cNvPicPr/>
                  </pic:nvPicPr>
                  <pic:blipFill>
                    <a:blip r:embed="rId13"/>
                    <a:stretch>
                      <a:fillRect/>
                    </a:stretch>
                  </pic:blipFill>
                  <pic:spPr>
                    <a:xfrm>
                      <a:off x="0" y="0"/>
                      <a:ext cx="5760720" cy="2270330"/>
                    </a:xfrm>
                    <a:prstGeom prst="rect"/>
                  </pic:spPr>
                </pic:pic>
              </a:graphicData>
            </a:graphic>
          </wp:inline>
        </w:drawing>
      </w:r>
    </w:p>
    <w:p>
      <w:pPr>
        <w:pStyle w:val="Heading2"/>
      </w:pPr>
      <w:r>
        <w:t>3.1 Forecasting architecture</w:t>
      </w:r>
    </w:p>
    <w:p>
      <w:pPr>
        <w:spacing w:after="160" w:line="320" w:lineRule="auto"/>
        <w:jc w:val="both"/>
      </w:pPr>
      <w:r>
        <w:rPr>
          <w:rFonts w:ascii="Calibri" w:hAnsi="Calibri"/>
          <w:b w:val="0"/>
          <w:i w:val="0"/>
          <w:color w:val="000000"/>
          <w:sz w:val="22"/>
        </w:rPr>
        <w:t>For each target, lagged target observations are combined with cross-lithium, lithium-equity, Google Trends, lithium-news, and market-control blocks. LASSO is applied separately to each decomposed series. The fixed comparator assigns the first two VMD modes to ARIMA and the remaining modes to LSTM. The proposed method instead searches pre-specified VMD and CEEMDAN decompositions, selects ARIMA, LSTM, SVR, or RF separately for each returned component on a development segment, and estimates nonnegative sum-to-one candidate weights on that same segment. Routes and weights are then frozen for the final 20% test segment.</w:t>
      </w:r>
    </w:p>
    <w:p>
      <w:pPr>
        <w:spacing w:after="160" w:line="320" w:lineRule="auto"/>
        <w:jc w:val="both"/>
      </w:pPr>
      <w:r>
        <w:rPr>
          <w:rFonts w:ascii="Calibri" w:hAnsi="Calibri"/>
          <w:b w:val="0"/>
          <w:i w:val="0"/>
          <w:color w:val="000000"/>
          <w:sz w:val="22"/>
        </w:rPr>
        <w:t>Seven single-model benchmarks-exponential smoothing (ES), ARIMA, SVR, random forest (RF), multilayer perceptron (MLP), extreme learning machine (ELM), and LSTM-are fitted to the undecomposed price problem. CEEMDAN-ARIMA, VMD-ARIMA, CEEMDAN-LSTM and VMD-LSTM isolate decomposition and forecasting-family effects. The fixed VMD-LASSO-ARIMA/LSTM architecture isolates the value added by adaptive selection. Together these form the publication-facing comparison set.</w:t>
      </w:r>
    </w:p>
    <w:p>
      <w:pPr>
        <w:pStyle w:val="Heading2"/>
      </w:pPr>
      <w:r>
        <w:t>3.2 Evaluation</w:t>
      </w:r>
    </w:p>
    <w:p>
      <w:pPr>
        <w:spacing w:after="160" w:line="320" w:lineRule="auto"/>
        <w:jc w:val="both"/>
      </w:pPr>
      <w:r>
        <w:rPr>
          <w:rFonts w:ascii="Calibri" w:hAnsi="Calibri"/>
          <w:b w:val="0"/>
          <w:i w:val="0"/>
          <w:color w:val="000000"/>
          <w:sz w:val="22"/>
        </w:rPr>
        <w:t>Point accuracy is summarized by RMSE, MAE, MASE, MAPE, symmetric MAPE, and directional accuracy. Pairwise Diebold-Mariano tests use squared-error loss. The first quarter of the static testing sequence supplies residual quantiles for nominal 80%, 90%, and 95% retrospective intervals; the remaining observations are evaluated for coverage, width, calibration error, and Winkler score.</w:t>
      </w:r>
    </w:p>
    <w:p>
      <w:pPr>
        <w:spacing w:after="160" w:line="320" w:lineRule="auto"/>
        <w:jc w:val="both"/>
      </w:pPr>
      <w:r>
        <w:rPr>
          <w:rFonts w:ascii="Calibri" w:hAnsi="Calibri"/>
          <w:b w:val="0"/>
          <w:i w:val="0"/>
          <w:color w:val="000000"/>
          <w:sz w:val="22"/>
        </w:rPr>
        <w:t>Let P[t-1] be the price available at the forecast origin, F[t] the forecast of P[t], and q90 the 90% absolute-residual quantile estimated from the calibration segment. Scheme 1 sets the position to sign(F[t] - P[t-1]). The filtered Scheme 1' sets the position to +1 when F[t] - P[t-1] &gt; q90, -1 when F[t] - P[t-1] &lt; -q90, and zero otherwise. Equivalently, a trade is permitted only when the origin price lies outside the forecast-centered interval [F[t] - q90, F[t] + q90]. The forecast is always at the center of its own interval; that tautological fact is not the gate. The gate compares the forecasted change with uncertainty.</w:t>
      </w:r>
    </w:p>
    <w:p>
      <w:pPr>
        <w:spacing w:after="160" w:line="320" w:lineRule="auto"/>
        <w:jc w:val="both"/>
      </w:pPr>
      <w:r>
        <w:rPr>
          <w:rFonts w:ascii="Calibri" w:hAnsi="Calibri"/>
          <w:b w:val="0"/>
          <w:i w:val="0"/>
          <w:color w:val="000000"/>
          <w:sz w:val="22"/>
        </w:rPr>
        <w:t>Scheme 2 uses the Scheme 1 position and deducts 10 basis points times absolute position turnover; Scheme 2' applies the same cost to the filtered position. The one-period strategy return is s[t](P[t]/P[t-1] - 1) - c|s[t] - s[t-1]|. Cumulative return, maximum drawdown, Sharpe ratio, transaction count, and hit rate are reported. Passive buy-and-hold and a descriptive factor regression against the underlying lithium return, S&amp;P 500, MVIS critical-minerals index, US dollar index, and VIX are added to distinguish raw simulated returns from benchmark-relative performance.</w:t>
      </w:r>
    </w:p>
    <w:p>
      <w:pPr>
        <w:pStyle w:val="Heading2"/>
      </w:pPr>
      <w:r>
        <w:t>3.3 Information timing and reproducibility boundary</w:t>
      </w:r>
    </w:p>
    <w:p>
      <w:pPr>
        <w:spacing w:after="160" w:line="320" w:lineRule="auto"/>
        <w:jc w:val="both"/>
      </w:pPr>
      <w:r>
        <w:rPr>
          <w:rFonts w:ascii="Calibri" w:hAnsi="Calibri"/>
          <w:b w:val="0"/>
          <w:i w:val="0"/>
          <w:color w:val="000000"/>
          <w:sz w:val="22"/>
        </w:rPr>
        <w:t>The executed experiment and a deployable forecast are deliberately distinguished below. This disclosure prevents a chronological split from being mistaken for a real-time design: chronology alone does not remove look-ahead when decomposition, transformations, selection, or filtering use later observations.</w:t>
      </w:r>
    </w:p>
    <w:p>
      <w:r>
        <w:rPr>
          <w:rFonts w:ascii="Calibri" w:hAnsi="Calibri"/>
          <w:b/>
          <w:i w:val="0"/>
          <w:color w:val="1F4D78"/>
          <w:sz w:val="20"/>
        </w:rPr>
        <w:t>Implementation audit matrix</w:t>
      </w:r>
    </w:p>
    <w:tbl>
      <w:tblPr>
        <w:tblStyle w:val="TableGrid"/>
        <w:tblW w:type="dxa" w:w="9360"/>
        <w:jc w:val="left"/>
        <w:tblLayout w:type="fixed"/>
        <w:tblLook w:firstColumn="1" w:firstRow="1" w:lastColumn="0" w:lastRow="0" w:noHBand="0" w:noVBand="1" w:val="04A0"/>
        <w:tblInd w:w="120" w:type="dxa"/>
      </w:tblPr>
      <w:tblGrid>
        <w:gridCol w:w="2288"/>
        <w:gridCol w:w="3536"/>
        <w:gridCol w:w="3536"/>
      </w:tblGrid>
      <w:tr>
        <w:trPr>
          <w:tblHeader w:val="true"/>
        </w:trPr>
        <w:tc>
          <w:tcPr>
            <w:tcW w:type="dxa" w:w="2288"/>
            <w:shd w:fill="F4F6F9"/>
            <w:vAlign w:val="center"/>
            <w:tcMar>
              <w:top w:w="80" w:type="dxa"/>
              <w:bottom w:w="80" w:type="dxa"/>
              <w:start w:w="120" w:type="dxa"/>
              <w:end w:w="120" w:type="dxa"/>
            </w:tcMar>
          </w:tcPr>
          <w:p>
            <w:pPr>
              <w:jc w:val="center"/>
            </w:pPr>
            <w:r/>
            <w:r>
              <w:rPr>
                <w:rFonts w:ascii="Calibri" w:hAnsi="Calibri"/>
                <w:b/>
                <w:i w:val="0"/>
                <w:color w:val="0B2545"/>
                <w:sz w:val="13"/>
              </w:rPr>
              <w:t>Pipeline stage</w:t>
            </w:r>
          </w:p>
        </w:tc>
        <w:tc>
          <w:tcPr>
            <w:tcW w:type="dxa" w:w="3536"/>
            <w:shd w:fill="F4F6F9"/>
            <w:vAlign w:val="center"/>
            <w:tcMar>
              <w:top w:w="80" w:type="dxa"/>
              <w:bottom w:w="80" w:type="dxa"/>
              <w:start w:w="120" w:type="dxa"/>
              <w:end w:w="120" w:type="dxa"/>
            </w:tcMar>
          </w:tcPr>
          <w:p>
            <w:pPr>
              <w:jc w:val="center"/>
            </w:pPr>
            <w:r/>
            <w:r>
              <w:rPr>
                <w:rFonts w:ascii="Calibri" w:hAnsi="Calibri"/>
                <w:b/>
                <w:i w:val="0"/>
                <w:color w:val="0B2545"/>
                <w:sz w:val="13"/>
              </w:rPr>
              <w:t>Executed in this paper</w:t>
            </w:r>
          </w:p>
        </w:tc>
        <w:tc>
          <w:tcPr>
            <w:tcW w:type="dxa" w:w="3536"/>
            <w:shd w:fill="F4F6F9"/>
            <w:vAlign w:val="center"/>
            <w:tcMar>
              <w:top w:w="80" w:type="dxa"/>
              <w:bottom w:w="80" w:type="dxa"/>
              <w:start w:w="120" w:type="dxa"/>
              <w:end w:w="120" w:type="dxa"/>
            </w:tcMar>
          </w:tcPr>
          <w:p>
            <w:pPr>
              <w:jc w:val="center"/>
            </w:pPr>
            <w:r/>
            <w:r>
              <w:rPr>
                <w:rFonts w:ascii="Calibri" w:hAnsi="Calibri"/>
                <w:b/>
                <w:i w:val="0"/>
                <w:color w:val="0B2545"/>
                <w:sz w:val="13"/>
              </w:rPr>
              <w:t>Required real-time implementation</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Forecast origin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Chronological static 80:20 split</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Expanding or rolling origin; forecast formed after market close at t-1</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Decomposition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VMD/CEEMDAN estimated on the complete target series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Re-estimate only with observations available through t-1</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Scaling and imputation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Static/full-panel transformations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Fit on the current training window; carry parameters forward unchanged</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LASSO selection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Mode-specific selection inside the static experiment</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Nested development window; freeze selected variables before each test block</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Hyperparameters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Pre-specified settings and static fitting</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Select only on training/development data; register the search space and seed</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ARIMA evaluation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Observed-test filtering is used for the retrospective reconstruction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Generate a genuine one-step forecast without conditioning on P_t</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Interval calibration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First 25% of the test path supplies residual quantiles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Use only prior forecast errors; update with a rolling calibration window</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Trading signal</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Uses origin price, forecast, and precomputed width</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Same decision rule, timestamped before P_t becomes observable</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Permitted claim</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Retrospective reconstruction and within-protocol comparison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Out-of-sample forecast and implementable trading evidence</w:t>
            </w:r>
          </w:p>
        </w:tc>
      </w:tr>
    </w:tbl>
    <w:p>
      <w:pPr>
        <w:spacing w:after="60"/>
      </w:pPr>
    </w:p>
    <w:p>
      <w:pPr>
        <w:spacing w:after="160" w:line="320" w:lineRule="auto"/>
        <w:jc w:val="both"/>
      </w:pPr>
      <w:r>
        <w:rPr>
          <w:rFonts w:ascii="Calibri" w:hAnsi="Calibri"/>
          <w:b w:val="0"/>
          <w:i w:val="0"/>
          <w:color w:val="000000"/>
          <w:sz w:val="22"/>
        </w:rPr>
        <w:t>Every publication-facing ledger records target, model, date, origin price, realized price, and forecast. The empirical run identifier, source checksums, mode selections, interval observations, DM comparisons, and trading metrics are preserved alongside the manuscript. These artifacts reproduce the retrospective results exactly; they do not convert them into causal evidence.</w:t>
      </w:r>
    </w:p>
    <w:p>
      <w:pPr>
        <w:keepNext/>
        <w:spacing w:before="100" w:after="80"/>
      </w:pPr>
      <w:r>
        <w:rPr>
          <w:rFonts w:ascii="Calibri" w:hAnsi="Calibri"/>
          <w:b/>
          <w:i w:val="0"/>
          <w:color w:val="1F4D78"/>
          <w:sz w:val="18"/>
        </w:rPr>
        <w:t xml:space="preserve">Table 2. </w:t>
      </w:r>
      <w:r>
        <w:rPr>
          <w:rFonts w:ascii="Calibri" w:hAnsi="Calibri"/>
          <w:b w:val="0"/>
          <w:i/>
          <w:color w:val="000000"/>
          <w:sz w:val="18"/>
        </w:rPr>
        <w:t>Parameter settings used in this study.</w:t>
      </w:r>
    </w:p>
    <w:tbl>
      <w:tblPr>
        <w:tblStyle w:val="TableGrid"/>
        <w:tblW w:type="dxa" w:w="9360"/>
        <w:jc w:val="left"/>
        <w:tblLayout w:type="fixed"/>
        <w:tblLook w:firstColumn="1" w:firstRow="1" w:lastColumn="0" w:lastRow="0" w:noHBand="0" w:noVBand="1" w:val="04A0"/>
        <w:tblInd w:w="120" w:type="dxa"/>
      </w:tblPr>
      <w:tblGrid>
        <w:gridCol w:w="2588"/>
        <w:gridCol w:w="3385"/>
        <w:gridCol w:w="3387"/>
      </w:tblGrid>
      <w:tr>
        <w:trPr>
          <w:tblHeader w:val="true"/>
        </w:trPr>
        <w:tc>
          <w:tcPr>
            <w:tcW w:type="dxa" w:w="2588"/>
            <w:shd w:fill="F4F6F9"/>
            <w:vAlign w:val="center"/>
            <w:tcMar>
              <w:top w:w="80" w:type="dxa"/>
              <w:bottom w:w="80" w:type="dxa"/>
              <w:start w:w="120" w:type="dxa"/>
              <w:end w:w="120" w:type="dxa"/>
            </w:tcMar>
          </w:tcPr>
          <w:p>
            <w:pPr>
              <w:jc w:val="center"/>
            </w:pPr>
            <w:r/>
            <w:r>
              <w:rPr>
                <w:rFonts w:ascii="Calibri" w:hAnsi="Calibri"/>
                <w:b/>
                <w:i w:val="0"/>
                <w:color w:val="0B2545"/>
                <w:sz w:val="14"/>
              </w:rPr>
              <w:t>Parameter</w:t>
            </w:r>
          </w:p>
        </w:tc>
        <w:tc>
          <w:tcPr>
            <w:tcW w:type="dxa" w:w="3385"/>
            <w:shd w:fill="F4F6F9"/>
            <w:vAlign w:val="center"/>
            <w:tcMar>
              <w:top w:w="80" w:type="dxa"/>
              <w:bottom w:w="80" w:type="dxa"/>
              <w:start w:w="120" w:type="dxa"/>
              <w:end w:w="120" w:type="dxa"/>
            </w:tcMar>
          </w:tcPr>
          <w:p>
            <w:pPr>
              <w:jc w:val="center"/>
            </w:pPr>
            <w:r/>
            <w:r>
              <w:rPr>
                <w:rFonts w:ascii="Calibri" w:hAnsi="Calibri"/>
                <w:b/>
                <w:i w:val="0"/>
                <w:color w:val="0B2545"/>
                <w:sz w:val="14"/>
              </w:rPr>
              <w:t>Setting</w:t>
            </w:r>
          </w:p>
        </w:tc>
        <w:tc>
          <w:tcPr>
            <w:tcW w:type="dxa" w:w="3387"/>
            <w:shd w:fill="F4F6F9"/>
            <w:vAlign w:val="center"/>
            <w:tcMar>
              <w:top w:w="80" w:type="dxa"/>
              <w:bottom w:w="80" w:type="dxa"/>
              <w:start w:w="120" w:type="dxa"/>
              <w:end w:w="120" w:type="dxa"/>
            </w:tcMar>
          </w:tcPr>
          <w:p>
            <w:pPr>
              <w:jc w:val="center"/>
            </w:pPr>
            <w:r/>
            <w:r>
              <w:rPr>
                <w:rFonts w:ascii="Calibri" w:hAnsi="Calibri"/>
                <w:b/>
                <w:i w:val="0"/>
                <w:color w:val="0B2545"/>
                <w:sz w:val="14"/>
              </w:rPr>
              <w:t>Function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Chronological split</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80:20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Static training and testing sets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Lag order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Lagged target and indicator features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Reference-parity VMD modes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lithium_hydroxide: 9; lithium_carbonate: 9</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Fixed-routing comparator</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VMD search</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K=7,8,9,10; alpha=1500,3000,4500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Development-only specification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CEEMDAN search</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maximum IMF=7 or 9</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Development-only specification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route candidates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ARIMA, LSTM, SVR, RF</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Mode-level development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LSTM hidden units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40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One recurrent layer</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Comparator LSTM epochs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Homogeneous/fixed model fitting</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LSTM epochs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search=40; final=100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 selection and locked-test refit</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LSTM batch size</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128</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Mini-batch size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Single-model RF estimators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Undecomposed benchmark</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Adaptive-route RF</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300 trees; leaf&gt;=2; max_features=0.8</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Component-route candidate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Single-model SVR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RBF; C=8.1; gamma=0.1</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Undecomposed benchmark</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Adaptive-route SVR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RBF; C=8.1; gamma=scale; epsilon=0.05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Component-route candidate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Interval levels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80%, 90%, 95%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Residual-quantile intervals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Random seed</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42</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Reproducibility</w:t>
            </w:r>
          </w:p>
        </w:tc>
      </w:tr>
    </w:tbl>
    <w:p>
      <w:pPr>
        <w:spacing w:after="60"/>
      </w:pPr>
    </w:p>
    <w:p>
      <w:pPr>
        <w:pStyle w:val="Heading3"/>
      </w:pPr>
      <w:r>
        <w:t>Interpretation of Table 2</w:t>
      </w:r>
    </w:p>
    <w:p>
      <w:pPr>
        <w:spacing w:after="160" w:line="320" w:lineRule="auto"/>
        <w:jc w:val="both"/>
      </w:pPr>
      <w:r>
        <w:rPr>
          <w:rFonts w:ascii="Calibri" w:hAnsi="Calibri"/>
          <w:b/>
          <w:i w:val="0"/>
          <w:color w:val="000000"/>
          <w:sz w:val="22"/>
        </w:rPr>
        <w:t>Design choices:</w:t>
      </w:r>
      <w:r>
        <w:rPr>
          <w:rFonts w:ascii="Calibri" w:hAnsi="Calibri"/>
          <w:b w:val="0"/>
          <w:i w:val="0"/>
          <w:color w:val="000000"/>
          <w:sz w:val="22"/>
        </w:rPr>
        <w:t xml:space="preserve"> Five lags provide short daily memory without exhausting a sample of fewer than 720 aligned observations. The fixed reference-parameter comparator uses nine VMD modes for both targets; the adaptive method searches K=7-10 and VMD alpha=1500-4500, plus two CEEMDAN specifications, on the development segment.</w:t>
      </w:r>
    </w:p>
    <w:p>
      <w:pPr>
        <w:spacing w:after="160" w:line="320" w:lineRule="auto"/>
        <w:jc w:val="both"/>
      </w:pPr>
      <w:r>
        <w:rPr>
          <w:rFonts w:ascii="Calibri" w:hAnsi="Calibri"/>
          <w:b/>
          <w:i w:val="0"/>
          <w:color w:val="000000"/>
          <w:sz w:val="22"/>
        </w:rPr>
        <w:t>Model capacity:</w:t>
      </w:r>
      <w:r>
        <w:rPr>
          <w:rFonts w:ascii="Calibri" w:hAnsi="Calibri"/>
          <w:b w:val="0"/>
          <w:i w:val="0"/>
          <w:color w:val="000000"/>
          <w:sz w:val="22"/>
        </w:rPr>
        <w:t xml:space="preserve"> The modest LSTM, 100-tree RF, and pre-specified RBF-SVR settings limit unnecessary capacity in a short daily sample; seed 42 fixes stochastic initialization and supports exact reproducibility.</w:t>
      </w:r>
    </w:p>
    <w:p>
      <w:pPr>
        <w:spacing w:after="160" w:line="320" w:lineRule="auto"/>
        <w:jc w:val="both"/>
      </w:pPr>
      <w:r>
        <w:rPr>
          <w:rFonts w:ascii="Calibri" w:hAnsi="Calibri"/>
          <w:b/>
          <w:i w:val="0"/>
          <w:color w:val="000000"/>
          <w:sz w:val="22"/>
        </w:rPr>
        <w:t>Consequence for inference:</w:t>
      </w:r>
      <w:r>
        <w:rPr>
          <w:rFonts w:ascii="Calibri" w:hAnsi="Calibri"/>
          <w:b w:val="0"/>
          <w:i w:val="0"/>
          <w:color w:val="000000"/>
          <w:sz w:val="22"/>
        </w:rPr>
        <w:t xml:space="preserve"> The 80:20 split is chronological but static. Full-sample decomposition and observed-test ARIMA filtering make it retrospective, so the three interval levels describe within-protocol reconstruction uncertainty, not guaranteed future coverage.</w:t>
      </w:r>
    </w:p>
    <w:p>
      <w:pPr>
        <w:sectPr>
          <w:headerReference w:type="default" r:id="rId9"/>
          <w:footerReference w:type="default" r:id="rId10"/>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3. </w:t>
      </w:r>
      <w:r>
        <w:rPr>
          <w:rFonts w:ascii="Calibri" w:hAnsi="Calibri"/>
          <w:b w:val="0"/>
          <w:i/>
          <w:color w:val="000000"/>
          <w:sz w:val="18"/>
        </w:rPr>
        <w:t>Indicators used in this study.</w:t>
      </w:r>
    </w:p>
    <w:tbl>
      <w:tblPr>
        <w:tblStyle w:val="TableGrid"/>
        <w:tblW w:type="dxa" w:w="13680"/>
        <w:jc w:val="left"/>
        <w:tblLayout w:type="fixed"/>
        <w:tblLook w:firstColumn="1" w:firstRow="1" w:lastColumn="0" w:lastRow="0" w:noHBand="0" w:noVBand="1" w:val="04A0"/>
        <w:tblInd w:w="120" w:type="dxa"/>
      </w:tblPr>
      <w:tblGrid>
        <w:gridCol w:w="3012"/>
        <w:gridCol w:w="4267"/>
        <w:gridCol w:w="2133"/>
        <w:gridCol w:w="4268"/>
      </w:tblGrid>
      <w:tr>
        <w:trPr>
          <w:tblHeader w:val="true"/>
        </w:trPr>
        <w:tc>
          <w:tcPr>
            <w:tcW w:type="dxa" w:w="3012"/>
            <w:shd w:fill="F4F6F9"/>
            <w:vAlign w:val="center"/>
            <w:tcMar>
              <w:top w:w="80" w:type="dxa"/>
              <w:bottom w:w="80" w:type="dxa"/>
              <w:start w:w="120" w:type="dxa"/>
              <w:end w:w="120" w:type="dxa"/>
            </w:tcMar>
          </w:tcPr>
          <w:p>
            <w:pPr>
              <w:jc w:val="center"/>
            </w:pPr>
            <w:r/>
            <w:r>
              <w:rPr>
                <w:rFonts w:ascii="Calibri" w:hAnsi="Calibri"/>
                <w:b/>
                <w:i w:val="0"/>
                <w:color w:val="0B2545"/>
                <w:sz w:val="12"/>
              </w:rPr>
              <w:t>Indicator</w:t>
            </w:r>
          </w:p>
        </w:tc>
        <w:tc>
          <w:tcPr>
            <w:tcW w:type="dxa" w:w="4267"/>
            <w:shd w:fill="F4F6F9"/>
            <w:vAlign w:val="center"/>
            <w:tcMar>
              <w:top w:w="80" w:type="dxa"/>
              <w:bottom w:w="80" w:type="dxa"/>
              <w:start w:w="120" w:type="dxa"/>
              <w:end w:w="120" w:type="dxa"/>
            </w:tcMar>
          </w:tcPr>
          <w:p>
            <w:pPr>
              <w:jc w:val="center"/>
            </w:pPr>
            <w:r/>
            <w:r>
              <w:rPr>
                <w:rFonts w:ascii="Calibri" w:hAnsi="Calibri"/>
                <w:b/>
                <w:i w:val="0"/>
                <w:color w:val="0B2545"/>
                <w:sz w:val="12"/>
              </w:rPr>
              <w:t>Definition</w:t>
            </w:r>
          </w:p>
        </w:tc>
        <w:tc>
          <w:tcPr>
            <w:tcW w:type="dxa" w:w="2133"/>
            <w:shd w:fill="F4F6F9"/>
            <w:vAlign w:val="center"/>
            <w:tcMar>
              <w:top w:w="80" w:type="dxa"/>
              <w:bottom w:w="80" w:type="dxa"/>
              <w:start w:w="120" w:type="dxa"/>
              <w:end w:w="120" w:type="dxa"/>
            </w:tcMar>
          </w:tcPr>
          <w:p>
            <w:pPr>
              <w:jc w:val="center"/>
            </w:pPr>
            <w:r/>
            <w:r>
              <w:rPr>
                <w:rFonts w:ascii="Calibri" w:hAnsi="Calibri"/>
                <w:b/>
                <w:i w:val="0"/>
                <w:color w:val="0B2545"/>
                <w:sz w:val="12"/>
              </w:rPr>
              <w:t>Data modality</w:t>
            </w:r>
          </w:p>
        </w:tc>
        <w:tc>
          <w:tcPr>
            <w:tcW w:type="dxa" w:w="4268"/>
            <w:shd w:fill="F4F6F9"/>
            <w:vAlign w:val="center"/>
            <w:tcMar>
              <w:top w:w="80" w:type="dxa"/>
              <w:bottom w:w="80" w:type="dxa"/>
              <w:start w:w="120" w:type="dxa"/>
              <w:end w:w="120" w:type="dxa"/>
            </w:tcMar>
          </w:tcPr>
          <w:p>
            <w:pPr>
              <w:jc w:val="center"/>
            </w:pPr>
            <w:r/>
            <w:r>
              <w:rPr>
                <w:rFonts w:ascii="Calibri" w:hAnsi="Calibri"/>
                <w:b/>
                <w:i w:val="0"/>
                <w:color w:val="0B2545"/>
                <w:sz w:val="12"/>
              </w:rPr>
              <w:t>Treatment</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Cross_Lithium_Close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Price of the other lithium contract/spot target</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Cross Lithium</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Albemarle_Close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Albemarle equity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Equities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Ganfeng_Lithium_Close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Ganfeng Lithium equity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Equities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Trends_lithium_price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price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Trends_lithium_carbonate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carbonate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Trends_lithium_hydroxide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hydroxide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Trends_lithium_battery</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battery</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News_Article_Count</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Lithium-headline volume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News_TextBlob_Polarity</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Lexicon sentiment of lithium headlines</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News_FinBERT_Score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Financial-language sentiment of lithium headlines</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SP500</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S&amp;P 500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VIX</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CBOE VIX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US_Dollar_Index</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US dollar index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MVIS_Critical_Minerals</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MVIS Global Rare Earth/Strategic Metals index</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bl>
    <w:p>
      <w:pPr>
        <w:spacing w:after="60"/>
      </w:pPr>
    </w:p>
    <w:p>
      <w:pPr>
        <w:pStyle w:val="Heading3"/>
      </w:pPr>
      <w:r>
        <w:t>Interpretation of Table 3</w:t>
      </w:r>
    </w:p>
    <w:p>
      <w:pPr>
        <w:spacing w:after="160" w:line="320" w:lineRule="auto"/>
        <w:jc w:val="both"/>
      </w:pPr>
      <w:r>
        <w:rPr>
          <w:rFonts w:ascii="Calibri" w:hAnsi="Calibri"/>
          <w:b/>
          <w:i w:val="0"/>
          <w:color w:val="000000"/>
          <w:sz w:val="22"/>
        </w:rPr>
        <w:t>Information architecture:</w:t>
      </w:r>
      <w:r>
        <w:rPr>
          <w:rFonts w:ascii="Calibri" w:hAnsi="Calibri"/>
          <w:b w:val="0"/>
          <w:i w:val="0"/>
          <w:color w:val="000000"/>
          <w:sz w:val="22"/>
        </w:rPr>
        <w:t xml:space="preserve"> The 15 indicators form five economically distinct blocks: one cross-lithium price, two lithium-equity signals, five Google Trends attention series, three lithium-news variables, and four market controls. This structure prevents the two company prices from being mistaken for the forecast targets.</w:t>
      </w:r>
    </w:p>
    <w:p>
      <w:pPr>
        <w:spacing w:after="160" w:line="320" w:lineRule="auto"/>
        <w:jc w:val="both"/>
      </w:pPr>
      <w:r>
        <w:rPr>
          <w:rFonts w:ascii="Calibri" w:hAnsi="Calibri"/>
          <w:b/>
          <w:i w:val="0"/>
          <w:color w:val="000000"/>
          <w:sz w:val="22"/>
        </w:rPr>
        <w:t>Economic interpretation:</w:t>
      </w:r>
      <w:r>
        <w:rPr>
          <w:rFonts w:ascii="Calibri" w:hAnsi="Calibri"/>
          <w:b w:val="0"/>
          <w:i w:val="0"/>
          <w:color w:val="000000"/>
          <w:sz w:val="22"/>
        </w:rPr>
        <w:t xml:space="preserve"> Cross-lithium price captures linkage between hydroxide and carbonate; Albemarle and Ganfeng proxy listed-market expectations; attention and news variables capture information demand and tone; and the S&amp;P 500, VIX, dollar, and MVIS variables capture broad risk and sector conditions.</w:t>
      </w:r>
    </w:p>
    <w:p>
      <w:pPr>
        <w:spacing w:after="160" w:line="320" w:lineRule="auto"/>
        <w:jc w:val="both"/>
      </w:pPr>
      <w:r>
        <w:rPr>
          <w:rFonts w:ascii="Calibri" w:hAnsi="Calibri"/>
          <w:b/>
          <w:i w:val="0"/>
          <w:color w:val="000000"/>
          <w:sz w:val="22"/>
        </w:rPr>
        <w:t>Timing qualification:</w:t>
      </w:r>
      <w:r>
        <w:rPr>
          <w:rFonts w:ascii="Calibri" w:hAnsi="Calibri"/>
          <w:b w:val="0"/>
          <w:i w:val="0"/>
          <w:color w:val="000000"/>
          <w:sz w:val="22"/>
        </w:rPr>
        <w:t xml:space="preserve"> Indicators are aligned to target dates and lagged in the model frame, but lagging alone does not make the overall experiment causal. Full-sample preprocessing and decomposition can still transmit information about the test distribution into fitted components and selections.</w:t>
      </w:r>
    </w:p>
    <w:p>
      <w:pPr>
        <w:sectPr>
          <w:pgSz w:w="15840" w:h="12240" w:orient="landscape"/>
          <w:pgMar w:top="1080" w:right="1080" w:bottom="1080" w:left="1080" w:header="708" w:footer="708" w:gutter="0"/>
          <w:cols w:space="720"/>
          <w:docGrid w:linePitch="360"/>
        </w:sectPr>
      </w:pPr>
    </w:p>
    <w:p>
      <w:pPr>
        <w:pStyle w:val="Heading1"/>
      </w:pPr>
      <w:r>
        <w:t>4. Data and descriptive evidence</w:t>
      </w:r>
    </w:p>
    <w:p>
      <w:pPr>
        <w:spacing w:after="160" w:line="320" w:lineRule="auto"/>
        <w:jc w:val="both"/>
      </w:pPr>
      <w:r>
        <w:rPr>
          <w:rFonts w:ascii="Calibri" w:hAnsi="Calibri"/>
          <w:b w:val="0"/>
          <w:i w:val="0"/>
          <w:color w:val="000000"/>
          <w:sz w:val="22"/>
        </w:rPr>
        <w:t>The targets are the COMEX lithium hydroxide CIF CJK electronic futures continuation and the SMM 99.5% battery-grade domestic lithium carbonate spot series. The common multimodal sample begins in May 2023 and ends in March 2026. Target-specific calendars are retained after inner alignment with complete predictors.</w:t>
      </w:r>
    </w:p>
    <w:p>
      <w:pPr>
        <w:spacing w:after="160" w:line="320" w:lineRule="auto"/>
        <w:jc w:val="both"/>
      </w:pPr>
      <w:r>
        <w:rPr>
          <w:rFonts w:ascii="Calibri" w:hAnsi="Calibri"/>
          <w:b w:val="0"/>
          <w:i w:val="0"/>
          <w:color w:val="000000"/>
          <w:sz w:val="22"/>
        </w:rPr>
        <w:t>The information set contains the other lithium price, Albemarle and Ganfeng equity closes, five jointly normalized Google Trends series, lithium-specific headline volume, TextBlob polarity, FinBERT sentiment, the S&amp;P 500, VIX, US dollar index, and MVIS critical-minerals index. Company prices are signals, not forecast targets. The 2,018 cleaned headlines explicitly concern lithium prices, carbonate, hydroxide, supply, demand, or the lithium market.</w:t>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4. </w:t>
      </w:r>
      <w:r>
        <w:rPr>
          <w:rFonts w:ascii="Calibri" w:hAnsi="Calibri"/>
          <w:b w:val="0"/>
          <w:i/>
          <w:color w:val="000000"/>
          <w:sz w:val="18"/>
        </w:rPr>
        <w:t>Statistical information for the forecasting targets and multimodal indicators.</w:t>
      </w:r>
    </w:p>
    <w:tbl>
      <w:tblPr>
        <w:tblStyle w:val="TableGrid"/>
        <w:tblW w:type="dxa" w:w="13680"/>
        <w:jc w:val="left"/>
        <w:tblLayout w:type="fixed"/>
        <w:tblLook w:firstColumn="1" w:firstRow="1" w:lastColumn="0" w:lastRow="0" w:noHBand="0" w:noVBand="1" w:val="04A0"/>
        <w:tblInd w:w="120" w:type="dxa"/>
      </w:tblPr>
      <w:tblGrid>
        <w:gridCol w:w="4605"/>
        <w:gridCol w:w="2302"/>
        <w:gridCol w:w="1083"/>
        <w:gridCol w:w="1489"/>
        <w:gridCol w:w="1354"/>
        <w:gridCol w:w="1354"/>
        <w:gridCol w:w="1493"/>
      </w:tblGrid>
      <w:tr>
        <w:trPr>
          <w:tblHeader w:val="true"/>
        </w:trPr>
        <w:tc>
          <w:tcPr>
            <w:tcW w:type="dxa" w:w="4605"/>
            <w:shd w:fill="F4F6F9"/>
            <w:vAlign w:val="center"/>
            <w:tcMar>
              <w:top w:w="80" w:type="dxa"/>
              <w:bottom w:w="80" w:type="dxa"/>
              <w:start w:w="120" w:type="dxa"/>
              <w:end w:w="120" w:type="dxa"/>
            </w:tcMar>
          </w:tcPr>
          <w:p>
            <w:pPr>
              <w:jc w:val="center"/>
            </w:pPr>
            <w:r/>
            <w:r>
              <w:rPr>
                <w:rFonts w:ascii="Calibri" w:hAnsi="Calibri"/>
                <w:b/>
                <w:i w:val="0"/>
                <w:color w:val="0B2545"/>
                <w:sz w:val="11"/>
              </w:rPr>
              <w:t>Series</w:t>
            </w:r>
          </w:p>
        </w:tc>
        <w:tc>
          <w:tcPr>
            <w:tcW w:type="dxa" w:w="2302"/>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1083"/>
            <w:shd w:fill="F4F6F9"/>
            <w:vAlign w:val="center"/>
            <w:tcMar>
              <w:top w:w="80" w:type="dxa"/>
              <w:bottom w:w="80" w:type="dxa"/>
              <w:start w:w="120" w:type="dxa"/>
              <w:end w:w="120" w:type="dxa"/>
            </w:tcMar>
          </w:tcPr>
          <w:p>
            <w:pPr>
              <w:jc w:val="center"/>
            </w:pPr>
            <w:r/>
            <w:r>
              <w:rPr>
                <w:rFonts w:ascii="Calibri" w:hAnsi="Calibri"/>
                <w:b/>
                <w:i w:val="0"/>
                <w:color w:val="0B2545"/>
                <w:sz w:val="11"/>
              </w:rPr>
              <w:t>N</w:t>
            </w:r>
          </w:p>
        </w:tc>
        <w:tc>
          <w:tcPr>
            <w:tcW w:type="dxa" w:w="1489"/>
            <w:shd w:fill="F4F6F9"/>
            <w:vAlign w:val="center"/>
            <w:tcMar>
              <w:top w:w="80" w:type="dxa"/>
              <w:bottom w:w="80" w:type="dxa"/>
              <w:start w:w="120" w:type="dxa"/>
              <w:end w:w="120" w:type="dxa"/>
            </w:tcMar>
          </w:tcPr>
          <w:p>
            <w:pPr>
              <w:jc w:val="center"/>
            </w:pPr>
            <w:r/>
            <w:r>
              <w:rPr>
                <w:rFonts w:ascii="Calibri" w:hAnsi="Calibri"/>
                <w:b/>
                <w:i w:val="0"/>
                <w:color w:val="0B2545"/>
                <w:sz w:val="11"/>
              </w:rPr>
              <w:t>Mean</w:t>
            </w:r>
          </w:p>
        </w:tc>
        <w:tc>
          <w:tcPr>
            <w:tcW w:type="dxa" w:w="1354"/>
            <w:shd w:fill="F4F6F9"/>
            <w:vAlign w:val="center"/>
            <w:tcMar>
              <w:top w:w="80" w:type="dxa"/>
              <w:bottom w:w="80" w:type="dxa"/>
              <w:start w:w="120" w:type="dxa"/>
              <w:end w:w="120" w:type="dxa"/>
            </w:tcMar>
          </w:tcPr>
          <w:p>
            <w:pPr>
              <w:jc w:val="center"/>
            </w:pPr>
            <w:r/>
            <w:r>
              <w:rPr>
                <w:rFonts w:ascii="Calibri" w:hAnsi="Calibri"/>
                <w:b/>
                <w:i w:val="0"/>
                <w:color w:val="0B2545"/>
                <w:sz w:val="11"/>
              </w:rPr>
              <w:t>Std. dev.</w:t>
            </w:r>
          </w:p>
        </w:tc>
        <w:tc>
          <w:tcPr>
            <w:tcW w:type="dxa" w:w="1354"/>
            <w:shd w:fill="F4F6F9"/>
            <w:vAlign w:val="center"/>
            <w:tcMar>
              <w:top w:w="80" w:type="dxa"/>
              <w:bottom w:w="80" w:type="dxa"/>
              <w:start w:w="120" w:type="dxa"/>
              <w:end w:w="120" w:type="dxa"/>
            </w:tcMar>
          </w:tcPr>
          <w:p>
            <w:pPr>
              <w:jc w:val="center"/>
            </w:pPr>
            <w:r/>
            <w:r>
              <w:rPr>
                <w:rFonts w:ascii="Calibri" w:hAnsi="Calibri"/>
                <w:b/>
                <w:i w:val="0"/>
                <w:color w:val="0B2545"/>
                <w:sz w:val="11"/>
              </w:rPr>
              <w:t>Minimum</w:t>
            </w:r>
          </w:p>
        </w:tc>
        <w:tc>
          <w:tcPr>
            <w:tcW w:type="dxa" w:w="1493"/>
            <w:shd w:fill="F4F6F9"/>
            <w:vAlign w:val="center"/>
            <w:tcMar>
              <w:top w:w="80" w:type="dxa"/>
              <w:bottom w:w="80" w:type="dxa"/>
              <w:start w:w="120" w:type="dxa"/>
              <w:end w:w="120" w:type="dxa"/>
            </w:tcMar>
          </w:tcPr>
          <w:p>
            <w:pPr>
              <w:jc w:val="center"/>
            </w:pPr>
            <w:r/>
            <w:r>
              <w:rPr>
                <w:rFonts w:ascii="Calibri" w:hAnsi="Calibri"/>
                <w:b/>
                <w:i w:val="0"/>
                <w:color w:val="0B2545"/>
                <w:sz w:val="11"/>
              </w:rPr>
              <w:t>Maximum</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COMEX lithium hydroxide CIF CJK futures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16.1793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10.6226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7.9500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47.3100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Cross_Lithium_Close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117847.7654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65912.1252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59900.0000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314000.0000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Albemarle_Close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119.4812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45.8361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243.4400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Ganfeng_Lithium_Close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6.1056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1.9515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3.5550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10.7050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56.7283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14.0280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Trends_lithium_price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4.0056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3.7882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Trends_lithium_carbonate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1.0616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0.3694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Trends_lithium_hydroxide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0.1933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0.3951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Trends_lithium_battery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17.8291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5.2784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News_Article_Count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2.6383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2.6123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News_TextBlob_Polarity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0.0521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0.1121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-0.4333</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News_FinBERT_Score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0.2116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0.3766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-0.9694</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0.9512</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SP500</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5564.4447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841.7402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4061.2200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6978.6001</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VIX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16.9312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4.3308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52.3300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US_Dollar_Index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102.4844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3.1993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96.2200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109.9600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MVIS_Critical_Minerals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370.5107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109.0520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220.4200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674.2340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SMM battery-grade lithium carbonate spot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118615.8598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67022.4813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59900.0000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314000.0000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Cross_Lithium_Close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16.3008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10.7891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7.9500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47.3100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Albemarle_Close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119.8822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46.3719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243.4400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Ganfeng_Lithium_Close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6.1115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1.9561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3.5550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10.7050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56.4362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13.8250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Trends_lithium_price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3.9841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3.7685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Trends_lithium_carbonate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1.0580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0.3687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Trends_lithium_hydroxide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0.1899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0.3925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Trends_lithium_battery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17.7667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5.1881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News_Article_Count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2.6298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News_TextBlob_Polarity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0.0522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0.1114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-0.4333</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News_FinBERT_Score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0.2077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0.3783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-0.9694</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0.9512</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SP500</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5561.6697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840.7653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4061.2200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6978.6001</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VIX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16.8099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4.2760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52.3300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US_Dollar_Index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102.4637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3.1759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96.2200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109.9600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MVIS_Critical_Minerals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370.9414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109.4896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220.4200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674.2340</w:t>
            </w:r>
          </w:p>
        </w:tc>
      </w:tr>
    </w:tbl>
    <w:p>
      <w:pPr>
        <w:spacing w:after="60"/>
      </w:pPr>
    </w:p>
    <w:p>
      <w:pPr>
        <w:pStyle w:val="Heading3"/>
      </w:pPr>
      <w:r>
        <w:t>Interpretation of Table 4</w:t>
      </w:r>
    </w:p>
    <w:p>
      <w:pPr>
        <w:spacing w:after="160" w:line="320" w:lineRule="auto"/>
        <w:jc w:val="both"/>
      </w:pPr>
      <w:r>
        <w:rPr>
          <w:rFonts w:ascii="Calibri" w:hAnsi="Calibri"/>
          <w:b/>
          <w:i w:val="0"/>
          <w:color w:val="000000"/>
          <w:sz w:val="22"/>
        </w:rPr>
        <w:t>Target coverage:</w:t>
      </w:r>
      <w:r>
        <w:rPr>
          <w:rFonts w:ascii="Calibri" w:hAnsi="Calibri"/>
          <w:b w:val="0"/>
          <w:i w:val="0"/>
          <w:color w:val="000000"/>
          <w:sz w:val="22"/>
        </w:rPr>
        <w:t xml:space="preserve"> The hydroxide panel contains 716 aligned observations, with prices ranging from 7.95 to 47.31 and a mean of 16.18. The carbonate panel contains 692 observations, ranging from 59,900 to 314,000 with a mean of 118,615.86. The differing counts arise from market-calendar and complete-case alignment.</w:t>
      </w:r>
    </w:p>
    <w:p>
      <w:pPr>
        <w:spacing w:after="160" w:line="320" w:lineRule="auto"/>
        <w:jc w:val="both"/>
      </w:pPr>
      <w:r>
        <w:rPr>
          <w:rFonts w:ascii="Calibri" w:hAnsi="Calibri"/>
          <w:b/>
          <w:i w:val="0"/>
          <w:color w:val="000000"/>
          <w:sz w:val="22"/>
        </w:rPr>
        <w:t>Scale and volatility:</w:t>
      </w:r>
      <w:r>
        <w:rPr>
          <w:rFonts w:ascii="Calibri" w:hAnsi="Calibri"/>
          <w:b w:val="0"/>
          <w:i w:val="0"/>
          <w:color w:val="000000"/>
          <w:sz w:val="22"/>
        </w:rPr>
        <w:t xml:space="preserve"> Hydroxide's standard deviation of 10.62 is about 66% of its mean, while carbonate's standard deviation of 67,022.48 is about 57% of its mean. Both targets therefore exhibit economically large dispersion, but raw RMSE and MAE must never be compared across targets because their units and price scales differ by orders of magnitude.</w:t>
      </w:r>
    </w:p>
    <w:p>
      <w:pPr>
        <w:spacing w:after="160" w:line="320" w:lineRule="auto"/>
        <w:jc w:val="both"/>
      </w:pPr>
      <w:r>
        <w:rPr>
          <w:rFonts w:ascii="Calibri" w:hAnsi="Calibri"/>
          <w:b/>
          <w:i w:val="0"/>
          <w:color w:val="000000"/>
          <w:sz w:val="22"/>
        </w:rPr>
        <w:t>Modelling implication:</w:t>
      </w:r>
      <w:r>
        <w:rPr>
          <w:rFonts w:ascii="Calibri" w:hAnsi="Calibri"/>
          <w:b w:val="0"/>
          <w:i w:val="0"/>
          <w:color w:val="000000"/>
          <w:sz w:val="22"/>
        </w:rPr>
        <w:t xml:space="preserve"> The broad min-max ranges and high relative dispersion explain why percentage, scaled, and directional metrics are reported beside absolute errors. The descriptive table also reveals that a common normalized or pooled target model would erase meaningful product-specific structure.</w:t>
      </w:r>
    </w:p>
    <w:p>
      <w:pPr>
        <w:sectPr>
          <w:pgSz w:w="15840" w:h="12240" w:orient="landscape"/>
          <w:pgMar w:top="1080" w:right="1080" w:bottom="1080" w:left="1080" w:header="708" w:footer="708" w:gutter="0"/>
          <w:cols w:space="720"/>
          <w:docGrid w:linePitch="360"/>
        </w:sectPr>
      </w:pPr>
    </w:p>
    <w:p>
      <w:pPr>
        <w:keepNext/>
        <w:spacing w:before="100" w:after="80"/>
      </w:pPr>
      <w:r>
        <w:rPr>
          <w:rFonts w:ascii="Calibri" w:hAnsi="Calibri"/>
          <w:b/>
          <w:i w:val="0"/>
          <w:color w:val="1F4D78"/>
          <w:sz w:val="18"/>
        </w:rPr>
        <w:t xml:space="preserve">Figure 4. </w:t>
      </w:r>
      <w:r>
        <w:rPr>
          <w:rFonts w:ascii="Calibri" w:hAnsi="Calibri"/>
          <w:b w:val="0"/>
          <w:i/>
          <w:color w:val="000000"/>
          <w:sz w:val="18"/>
        </w:rPr>
        <w:t>Lithium-price series used as forecasting targets.</w:t>
      </w:r>
    </w:p>
    <w:p>
      <w:pPr>
        <w:spacing w:after="180"/>
        <w:jc w:val="center"/>
      </w:pPr>
      <w:r>
        <w:drawing>
          <wp:inline xmlns:a="http://schemas.openxmlformats.org/drawingml/2006/main" xmlns:pic="http://schemas.openxmlformats.org/drawingml/2006/picture">
            <wp:extent cx="5760720" cy="3766525"/>
            <wp:docPr id="4" name="Picture 4"/>
            <wp:cNvGraphicFramePr>
              <a:graphicFrameLocks noChangeAspect="1"/>
            </wp:cNvGraphicFramePr>
            <a:graphic>
              <a:graphicData uri="http://schemas.openxmlformats.org/drawingml/2006/picture">
                <pic:pic>
                  <pic:nvPicPr>
                    <pic:cNvPr id="0" name="fig4_price_series.png"/>
                    <pic:cNvPicPr/>
                  </pic:nvPicPr>
                  <pic:blipFill>
                    <a:blip r:embed="rId14"/>
                    <a:stretch>
                      <a:fillRect/>
                    </a:stretch>
                  </pic:blipFill>
                  <pic:spPr>
                    <a:xfrm>
                      <a:off x="0" y="0"/>
                      <a:ext cx="5760720" cy="3766525"/>
                    </a:xfrm>
                    <a:prstGeom prst="rect"/>
                  </pic:spPr>
                </pic:pic>
              </a:graphicData>
            </a:graphic>
          </wp:inline>
        </w:drawing>
      </w:r>
    </w:p>
    <w:p>
      <w:pPr>
        <w:keepNext/>
        <w:spacing w:before="100" w:after="80"/>
      </w:pPr>
      <w:r>
        <w:rPr>
          <w:rFonts w:ascii="Calibri" w:hAnsi="Calibri"/>
          <w:b/>
          <w:i w:val="0"/>
          <w:color w:val="1F4D78"/>
          <w:sz w:val="18"/>
        </w:rPr>
        <w:t xml:space="preserve">Figure 5. </w:t>
      </w:r>
      <w:r>
        <w:rPr>
          <w:rFonts w:ascii="Calibri" w:hAnsi="Calibri"/>
          <w:b w:val="0"/>
          <w:i/>
          <w:color w:val="000000"/>
          <w:sz w:val="18"/>
        </w:rPr>
        <w:t>Word cloud of the collected lithium-specific news headlines.</w:t>
      </w:r>
    </w:p>
    <w:p>
      <w:pPr>
        <w:spacing w:after="180"/>
        <w:jc w:val="center"/>
      </w:pPr>
      <w:r>
        <w:drawing>
          <wp:inline xmlns:a="http://schemas.openxmlformats.org/drawingml/2006/main" xmlns:pic="http://schemas.openxmlformats.org/drawingml/2006/picture">
            <wp:extent cx="5760720" cy="2659588"/>
            <wp:docPr id="5" name="Picture 5"/>
            <wp:cNvGraphicFramePr>
              <a:graphicFrameLocks noChangeAspect="1"/>
            </wp:cNvGraphicFramePr>
            <a:graphic>
              <a:graphicData uri="http://schemas.openxmlformats.org/drawingml/2006/picture">
                <pic:pic>
                  <pic:nvPicPr>
                    <pic:cNvPr id="0" name="fig5_wordcloud.png"/>
                    <pic:cNvPicPr/>
                  </pic:nvPicPr>
                  <pic:blipFill>
                    <a:blip r:embed="rId15"/>
                    <a:stretch>
                      <a:fillRect/>
                    </a:stretch>
                  </pic:blipFill>
                  <pic:spPr>
                    <a:xfrm>
                      <a:off x="0" y="0"/>
                      <a:ext cx="5760720" cy="2659588"/>
                    </a:xfrm>
                    <a:prstGeom prst="rect"/>
                  </pic:spPr>
                </pic:pic>
              </a:graphicData>
            </a:graphic>
          </wp:inline>
        </w:drawing>
      </w:r>
    </w:p>
    <w:p>
      <w:pPr>
        <w:keepNext/>
        <w:spacing w:before="100" w:after="80"/>
      </w:pPr>
      <w:r>
        <w:rPr>
          <w:rFonts w:ascii="Calibri" w:hAnsi="Calibri"/>
          <w:b/>
          <w:i w:val="0"/>
          <w:color w:val="1F4D78"/>
          <w:sz w:val="18"/>
        </w:rPr>
        <w:t xml:space="preserve">Figure 6. </w:t>
      </w:r>
      <w:r>
        <w:rPr>
          <w:rFonts w:ascii="Calibri" w:hAnsi="Calibri"/>
          <w:b w:val="0"/>
          <w:i/>
          <w:color w:val="000000"/>
          <w:sz w:val="18"/>
        </w:rPr>
        <w:t>TextBlob and FinBERT sentiment scores extracted from lithium-specific headlines.</w:t>
      </w:r>
    </w:p>
    <w:p>
      <w:pPr>
        <w:spacing w:after="180"/>
        <w:jc w:val="center"/>
      </w:pPr>
      <w:r>
        <w:drawing>
          <wp:inline xmlns:a="http://schemas.openxmlformats.org/drawingml/2006/main" xmlns:pic="http://schemas.openxmlformats.org/drawingml/2006/picture">
            <wp:extent cx="5760720" cy="3631311"/>
            <wp:docPr id="6" name="Picture 6"/>
            <wp:cNvGraphicFramePr>
              <a:graphicFrameLocks noChangeAspect="1"/>
            </wp:cNvGraphicFramePr>
            <a:graphic>
              <a:graphicData uri="http://schemas.openxmlformats.org/drawingml/2006/picture">
                <pic:pic>
                  <pic:nvPicPr>
                    <pic:cNvPr id="0" name="fig6_sentiment.png"/>
                    <pic:cNvPicPr/>
                  </pic:nvPicPr>
                  <pic:blipFill>
                    <a:blip r:embed="rId16"/>
                    <a:stretch>
                      <a:fillRect/>
                    </a:stretch>
                  </pic:blipFill>
                  <pic:spPr>
                    <a:xfrm>
                      <a:off x="0" y="0"/>
                      <a:ext cx="5760720" cy="3631311"/>
                    </a:xfrm>
                    <a:prstGeom prst="rect"/>
                  </pic:spPr>
                </pic:pic>
              </a:graphicData>
            </a:graphic>
          </wp:inline>
        </w:drawing>
      </w:r>
    </w:p>
    <w:p>
      <w:pPr>
        <w:pStyle w:val="Heading1"/>
      </w:pPr>
      <w:r>
        <w:t>5. Decomposition and feature selection</w:t>
      </w:r>
    </w:p>
    <w:p>
      <w:pPr>
        <w:keepNext/>
        <w:spacing w:before="100" w:after="80"/>
      </w:pPr>
      <w:r>
        <w:rPr>
          <w:rFonts w:ascii="Calibri" w:hAnsi="Calibri"/>
          <w:b/>
          <w:i w:val="0"/>
          <w:color w:val="1F4D78"/>
          <w:sz w:val="18"/>
        </w:rPr>
        <w:t xml:space="preserve">Figure 7. </w:t>
      </w:r>
      <w:r>
        <w:rPr>
          <w:rFonts w:ascii="Calibri" w:hAnsi="Calibri"/>
          <w:b w:val="0"/>
          <w:i/>
          <w:color w:val="000000"/>
          <w:sz w:val="18"/>
        </w:rPr>
        <w:t>Reference-parameter full-sample VMD modes of the two lithium-price targets.</w:t>
      </w:r>
    </w:p>
    <w:p>
      <w:pPr>
        <w:spacing w:after="180"/>
        <w:jc w:val="center"/>
      </w:pPr>
      <w:r>
        <w:drawing>
          <wp:inline xmlns:a="http://schemas.openxmlformats.org/drawingml/2006/main" xmlns:pic="http://schemas.openxmlformats.org/drawingml/2006/picture">
            <wp:extent cx="5760720" cy="4385680"/>
            <wp:docPr id="7" name="Picture 7"/>
            <wp:cNvGraphicFramePr>
              <a:graphicFrameLocks noChangeAspect="1"/>
            </wp:cNvGraphicFramePr>
            <a:graphic>
              <a:graphicData uri="http://schemas.openxmlformats.org/drawingml/2006/picture">
                <pic:pic>
                  <pic:nvPicPr>
                    <pic:cNvPr id="0" name="fig7_vmd_modes.png"/>
                    <pic:cNvPicPr/>
                  </pic:nvPicPr>
                  <pic:blipFill>
                    <a:blip r:embed="rId17"/>
                    <a:stretch>
                      <a:fillRect/>
                    </a:stretch>
                  </pic:blipFill>
                  <pic:spPr>
                    <a:xfrm>
                      <a:off x="0" y="0"/>
                      <a:ext cx="5760720" cy="4385680"/>
                    </a:xfrm>
                    <a:prstGeom prst="rect"/>
                  </pic:spPr>
                </pic:pic>
              </a:graphicData>
            </a:graphic>
          </wp:inline>
        </w:drawing>
      </w:r>
    </w:p>
    <w:p>
      <w:pPr>
        <w:keepNext/>
        <w:spacing w:before="100" w:after="80"/>
      </w:pPr>
      <w:r>
        <w:rPr>
          <w:rFonts w:ascii="Calibri" w:hAnsi="Calibri"/>
          <w:b/>
          <w:i w:val="0"/>
          <w:color w:val="1F4D78"/>
          <w:sz w:val="18"/>
        </w:rPr>
        <w:t xml:space="preserve">Figure 8. </w:t>
      </w:r>
      <w:r>
        <w:rPr>
          <w:rFonts w:ascii="Calibri" w:hAnsi="Calibri"/>
          <w:b w:val="0"/>
          <w:i/>
          <w:color w:val="000000"/>
          <w:sz w:val="18"/>
        </w:rPr>
        <w:t>Approximate-entropy values of the reference-parameter VMD modes.</w:t>
      </w:r>
    </w:p>
    <w:p>
      <w:pPr>
        <w:spacing w:after="180"/>
        <w:jc w:val="center"/>
      </w:pPr>
      <w:r>
        <w:drawing>
          <wp:inline xmlns:a="http://schemas.openxmlformats.org/drawingml/2006/main" xmlns:pic="http://schemas.openxmlformats.org/drawingml/2006/picture">
            <wp:extent cx="5760720" cy="2705081"/>
            <wp:docPr id="8" name="Picture 8"/>
            <wp:cNvGraphicFramePr>
              <a:graphicFrameLocks noChangeAspect="1"/>
            </wp:cNvGraphicFramePr>
            <a:graphic>
              <a:graphicData uri="http://schemas.openxmlformats.org/drawingml/2006/picture">
                <pic:pic>
                  <pic:nvPicPr>
                    <pic:cNvPr id="0" name="fig8_entropy.png"/>
                    <pic:cNvPicPr/>
                  </pic:nvPicPr>
                  <pic:blipFill>
                    <a:blip r:embed="rId18"/>
                    <a:stretch>
                      <a:fillRect/>
                    </a:stretch>
                  </pic:blipFill>
                  <pic:spPr>
                    <a:xfrm>
                      <a:off x="0" y="0"/>
                      <a:ext cx="5760720" cy="2705081"/>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5. </w:t>
      </w:r>
      <w:r>
        <w:rPr>
          <w:rFonts w:ascii="Calibri" w:hAnsi="Calibri"/>
          <w:b w:val="0"/>
          <w:i/>
          <w:color w:val="000000"/>
          <w:sz w:val="18"/>
        </w:rPr>
        <w:t>Information on the decomposed lithium-price modes.</w:t>
      </w:r>
    </w:p>
    <w:tbl>
      <w:tblPr>
        <w:tblStyle w:val="TableGrid"/>
        <w:tblW w:type="dxa" w:w="13680"/>
        <w:jc w:val="left"/>
        <w:tblLayout w:type="fixed"/>
        <w:tblLook w:firstColumn="1" w:firstRow="1" w:lastColumn="0" w:lastRow="0" w:noHBand="0" w:noVBand="1" w:val="04A0"/>
        <w:tblInd w:w="120" w:type="dxa"/>
      </w:tblPr>
      <w:tblGrid>
        <w:gridCol w:w="2373"/>
        <w:gridCol w:w="977"/>
        <w:gridCol w:w="977"/>
        <w:gridCol w:w="1256"/>
        <w:gridCol w:w="1954"/>
        <w:gridCol w:w="1954"/>
        <w:gridCol w:w="1535"/>
        <w:gridCol w:w="2654"/>
      </w:tblGrid>
      <w:tr>
        <w:trPr>
          <w:tblHeader w:val="true"/>
        </w:trPr>
        <w:tc>
          <w:tcPr>
            <w:tcW w:type="dxa" w:w="2373"/>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977"/>
            <w:shd w:fill="F4F6F9"/>
            <w:vAlign w:val="center"/>
            <w:tcMar>
              <w:top w:w="80" w:type="dxa"/>
              <w:bottom w:w="80" w:type="dxa"/>
              <w:start w:w="120" w:type="dxa"/>
              <w:end w:w="120" w:type="dxa"/>
            </w:tcMar>
          </w:tcPr>
          <w:p>
            <w:pPr>
              <w:jc w:val="center"/>
            </w:pPr>
            <w:r/>
            <w:r>
              <w:rPr>
                <w:rFonts w:ascii="Calibri" w:hAnsi="Calibri"/>
                <w:b/>
                <w:i w:val="0"/>
                <w:color w:val="0B2545"/>
                <w:sz w:val="11"/>
              </w:rPr>
              <w:t>Method</w:t>
            </w:r>
          </w:p>
        </w:tc>
        <w:tc>
          <w:tcPr>
            <w:tcW w:type="dxa" w:w="977"/>
            <w:shd w:fill="F4F6F9"/>
            <w:vAlign w:val="center"/>
            <w:tcMar>
              <w:top w:w="80" w:type="dxa"/>
              <w:bottom w:w="80" w:type="dxa"/>
              <w:start w:w="120" w:type="dxa"/>
              <w:end w:w="120" w:type="dxa"/>
            </w:tcMar>
          </w:tcPr>
          <w:p>
            <w:pPr>
              <w:jc w:val="center"/>
            </w:pPr>
            <w:r/>
            <w:r>
              <w:rPr>
                <w:rFonts w:ascii="Calibri" w:hAnsi="Calibri"/>
                <w:b/>
                <w:i w:val="0"/>
                <w:color w:val="0B2545"/>
                <w:sz w:val="11"/>
              </w:rPr>
              <w:t>Mode</w:t>
            </w:r>
          </w:p>
        </w:tc>
        <w:tc>
          <w:tcPr>
            <w:tcW w:type="dxa" w:w="1256"/>
            <w:shd w:fill="F4F6F9"/>
            <w:vAlign w:val="center"/>
            <w:tcMar>
              <w:top w:w="80" w:type="dxa"/>
              <w:bottom w:w="80" w:type="dxa"/>
              <w:start w:w="120" w:type="dxa"/>
              <w:end w:w="120" w:type="dxa"/>
            </w:tcMar>
          </w:tcPr>
          <w:p>
            <w:pPr>
              <w:jc w:val="center"/>
            </w:pPr>
            <w:r/>
            <w:r>
              <w:rPr>
                <w:rFonts w:ascii="Calibri" w:hAnsi="Calibri"/>
                <w:b/>
                <w:i w:val="0"/>
                <w:color w:val="0B2545"/>
                <w:sz w:val="11"/>
              </w:rPr>
              <w:t>Frequency</w:t>
            </w:r>
          </w:p>
        </w:tc>
        <w:tc>
          <w:tcPr>
            <w:tcW w:type="dxa" w:w="1954"/>
            <w:shd w:fill="F4F6F9"/>
            <w:vAlign w:val="center"/>
            <w:tcMar>
              <w:top w:w="80" w:type="dxa"/>
              <w:bottom w:w="80" w:type="dxa"/>
              <w:start w:w="120" w:type="dxa"/>
              <w:end w:w="120" w:type="dxa"/>
            </w:tcMar>
          </w:tcPr>
          <w:p>
            <w:pPr>
              <w:jc w:val="center"/>
            </w:pPr>
            <w:r/>
            <w:r>
              <w:rPr>
                <w:rFonts w:ascii="Calibri" w:hAnsi="Calibri"/>
                <w:b/>
                <w:i w:val="0"/>
                <w:color w:val="0B2545"/>
                <w:sz w:val="11"/>
              </w:rPr>
              <w:t>Average period</w:t>
            </w:r>
          </w:p>
        </w:tc>
        <w:tc>
          <w:tcPr>
            <w:tcW w:type="dxa" w:w="1954"/>
            <w:shd w:fill="F4F6F9"/>
            <w:vAlign w:val="center"/>
            <w:tcMar>
              <w:top w:w="80" w:type="dxa"/>
              <w:bottom w:w="80" w:type="dxa"/>
              <w:start w:w="120" w:type="dxa"/>
              <w:end w:w="120" w:type="dxa"/>
            </w:tcMar>
          </w:tcPr>
          <w:p>
            <w:pPr>
              <w:jc w:val="center"/>
            </w:pPr>
            <w:r/>
            <w:r>
              <w:rPr>
                <w:rFonts w:ascii="Calibri" w:hAnsi="Calibri"/>
                <w:b/>
                <w:i w:val="0"/>
                <w:color w:val="0B2545"/>
                <w:sz w:val="11"/>
              </w:rPr>
              <w:t>Variance share</w:t>
            </w:r>
          </w:p>
        </w:tc>
        <w:tc>
          <w:tcPr>
            <w:tcW w:type="dxa" w:w="1535"/>
            <w:shd w:fill="F4F6F9"/>
            <w:vAlign w:val="center"/>
            <w:tcMar>
              <w:top w:w="80" w:type="dxa"/>
              <w:bottom w:w="80" w:type="dxa"/>
              <w:start w:w="120" w:type="dxa"/>
              <w:end w:w="120" w:type="dxa"/>
            </w:tcMar>
          </w:tcPr>
          <w:p>
            <w:pPr>
              <w:jc w:val="center"/>
            </w:pPr>
            <w:r/>
            <w:r>
              <w:rPr>
                <w:rFonts w:ascii="Calibri" w:hAnsi="Calibri"/>
                <w:b/>
                <w:i w:val="0"/>
                <w:color w:val="0B2545"/>
                <w:sz w:val="11"/>
              </w:rPr>
              <w:t>Correlation</w:t>
            </w:r>
          </w:p>
        </w:tc>
        <w:tc>
          <w:tcPr>
            <w:tcW w:type="dxa" w:w="2654"/>
            <w:shd w:fill="F4F6F9"/>
            <w:vAlign w:val="center"/>
            <w:tcMar>
              <w:top w:w="80" w:type="dxa"/>
              <w:bottom w:w="80" w:type="dxa"/>
              <w:start w:w="120" w:type="dxa"/>
              <w:end w:w="120" w:type="dxa"/>
            </w:tcMar>
          </w:tcPr>
          <w:p>
            <w:pPr>
              <w:jc w:val="center"/>
            </w:pPr>
            <w:r/>
            <w:r>
              <w:rPr>
                <w:rFonts w:ascii="Calibri" w:hAnsi="Calibri"/>
                <w:b/>
                <w:i w:val="0"/>
                <w:color w:val="0B2545"/>
                <w:sz w:val="11"/>
              </w:rPr>
              <w:t>Approximate Entropy</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0.3273</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0.8212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0.3651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0.8439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0.0220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0.0126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79.3333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0.1657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0.2067</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0.0490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20.4000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0.0556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0.4323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0.1359</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7.3608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0.0234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0.3845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0.2535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3.9448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0.0148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0.2372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0.3403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2.9383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0.0118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0.3481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0.3978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2.5141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0.0117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0.4197</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0.4468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2.2382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0.5442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0.3375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2.9627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0.0006</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-0.0045</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0.7875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0.2381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4.2000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-0.0290</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0.5324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0.0812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12.3103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0.0683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0.3999</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0.0322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31.0435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0.1861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0.2353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0.0098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0.0542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0.4401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0.0716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238.0000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0.0617</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0.6934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0.0342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0.6059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0.9098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0.0071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0.2780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0.8022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0.0070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0.3842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0.8604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0.0264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98.5714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0.0213</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0.2182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0.2068</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0.0304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32.8571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0.0976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0.3095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0.0565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17.6923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0.0017</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0.0616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0.2928</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0.1072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9.3243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0.0282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0.3512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0.3072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3.2547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0.2335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0.3928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2.5461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0.4691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0.4754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2.1037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0.1982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0.3275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3.0531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-0.0179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0.8096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0.2580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3.8764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0.0308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0.2441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0.0710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14.0816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0.2553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0.3550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0.0217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0.0188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0.3989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0.2406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172.5000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0.1555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0.7532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0.0664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0.0029</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345.0000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0.6613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0.0281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0.4080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0.9087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0.0095</w:t>
            </w:r>
          </w:p>
        </w:tc>
      </w:tr>
    </w:tbl>
    <w:p>
      <w:pPr>
        <w:spacing w:after="60"/>
      </w:pPr>
    </w:p>
    <w:p>
      <w:pPr>
        <w:pStyle w:val="Heading3"/>
      </w:pPr>
      <w:r>
        <w:t>Interpretation of Table 5</w:t>
      </w:r>
    </w:p>
    <w:p>
      <w:pPr>
        <w:spacing w:after="160" w:line="320" w:lineRule="auto"/>
        <w:jc w:val="both"/>
      </w:pPr>
      <w:r>
        <w:rPr>
          <w:rFonts w:ascii="Calibri" w:hAnsi="Calibri"/>
          <w:b/>
          <w:i w:val="0"/>
          <w:color w:val="000000"/>
          <w:sz w:val="22"/>
        </w:rPr>
        <w:t>Decomposition heterogeneity:</w:t>
      </w:r>
      <w:r>
        <w:rPr>
          <w:rFonts w:ascii="Calibri" w:hAnsi="Calibri"/>
          <w:b w:val="0"/>
          <w:i w:val="0"/>
          <w:color w:val="000000"/>
          <w:sz w:val="22"/>
        </w:rPr>
        <w:t xml:space="preserve"> Frequency, variance share, correlation and approximate entropy show that component order is not interchangeable across VMD and CEEMDAN. A late CEEMDAN component can carry more level variation than an early VMD component.</w:t>
      </w:r>
    </w:p>
    <w:p>
      <w:pPr>
        <w:spacing w:after="160" w:line="320" w:lineRule="auto"/>
        <w:jc w:val="both"/>
      </w:pPr>
      <w:r>
        <w:rPr>
          <w:rFonts w:ascii="Calibri" w:hAnsi="Calibri"/>
          <w:b/>
          <w:i w:val="0"/>
          <w:color w:val="000000"/>
          <w:sz w:val="22"/>
        </w:rPr>
        <w:t>Routing implication:</w:t>
      </w:r>
      <w:r>
        <w:rPr>
          <w:rFonts w:ascii="Calibri" w:hAnsi="Calibri"/>
          <w:b w:val="0"/>
          <w:i w:val="0"/>
          <w:color w:val="000000"/>
          <w:sz w:val="22"/>
        </w:rPr>
        <w:t xml:space="preserve"> Diagnostics motivate component-specific treatment but do not identify a universal forecaster. The fixed comparator retains first-two-ARIMA routing; the proposed method selects routes from development loss and freezes them before test scoring.</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Because the decompositions use the complete price path, these component summaries describe a retrospective representation rather than real-time latent states.</w:t>
      </w:r>
    </w:p>
    <w:p>
      <w:pPr>
        <w:keepNext/>
        <w:spacing w:before="100" w:after="80"/>
      </w:pPr>
      <w:r>
        <w:rPr>
          <w:rFonts w:ascii="Calibri" w:hAnsi="Calibri"/>
          <w:b/>
          <w:i w:val="0"/>
          <w:color w:val="1F4D78"/>
          <w:sz w:val="18"/>
        </w:rPr>
        <w:t xml:space="preserve">Table 6. </w:t>
      </w:r>
      <w:r>
        <w:rPr>
          <w:rFonts w:ascii="Calibri" w:hAnsi="Calibri"/>
          <w:b w:val="0"/>
          <w:i/>
          <w:color w:val="000000"/>
          <w:sz w:val="18"/>
        </w:rPr>
        <w:t>Indicators selected for the decomposed modes using LASSO regression.</w:t>
      </w:r>
    </w:p>
    <w:tbl>
      <w:tblPr>
        <w:tblStyle w:val="TableGrid"/>
        <w:tblW w:type="dxa" w:w="13680"/>
        <w:jc w:val="left"/>
        <w:tblLayout w:type="fixed"/>
        <w:tblLook w:firstColumn="1" w:firstRow="1" w:lastColumn="0" w:lastRow="0" w:noHBand="0" w:noVBand="1" w:val="04A0"/>
        <w:tblInd w:w="120" w:type="dxa"/>
      </w:tblPr>
      <w:tblGrid>
        <w:gridCol w:w="2527"/>
        <w:gridCol w:w="2676"/>
        <w:gridCol w:w="1040"/>
        <w:gridCol w:w="2379"/>
        <w:gridCol w:w="5058"/>
      </w:tblGrid>
      <w:tr>
        <w:trPr>
          <w:tblHeader w:val="true"/>
        </w:trPr>
        <w:tc>
          <w:tcPr>
            <w:tcW w:type="dxa" w:w="2527"/>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2676"/>
            <w:shd w:fill="F4F6F9"/>
            <w:vAlign w:val="center"/>
            <w:tcMar>
              <w:top w:w="80" w:type="dxa"/>
              <w:bottom w:w="80" w:type="dxa"/>
              <w:start w:w="120" w:type="dxa"/>
              <w:end w:w="120" w:type="dxa"/>
            </w:tcMar>
          </w:tcPr>
          <w:p>
            <w:pPr>
              <w:jc w:val="center"/>
            </w:pPr>
            <w:r/>
            <w:r>
              <w:rPr>
                <w:rFonts w:ascii="Calibri" w:hAnsi="Calibri"/>
                <w:b/>
                <w:i w:val="0"/>
                <w:color w:val="0B2545"/>
                <w:sz w:val="11"/>
              </w:rPr>
              <w:t>Mode</w:t>
            </w:r>
          </w:p>
        </w:tc>
        <w:tc>
          <w:tcPr>
            <w:tcW w:type="dxa" w:w="1040"/>
            <w:shd w:fill="F4F6F9"/>
            <w:vAlign w:val="center"/>
            <w:tcMar>
              <w:top w:w="80" w:type="dxa"/>
              <w:bottom w:w="80" w:type="dxa"/>
              <w:start w:w="120" w:type="dxa"/>
              <w:end w:w="120" w:type="dxa"/>
            </w:tcMar>
          </w:tcPr>
          <w:p>
            <w:pPr>
              <w:jc w:val="center"/>
            </w:pPr>
            <w:r/>
            <w:r>
              <w:rPr>
                <w:rFonts w:ascii="Calibri" w:hAnsi="Calibri"/>
                <w:b/>
                <w:i w:val="0"/>
                <w:color w:val="0B2545"/>
                <w:sz w:val="11"/>
              </w:rPr>
              <w:t>Route</w:t>
            </w:r>
          </w:p>
        </w:tc>
        <w:tc>
          <w:tcPr>
            <w:tcW w:type="dxa" w:w="2379"/>
            <w:shd w:fill="F4F6F9"/>
            <w:vAlign w:val="center"/>
            <w:tcMar>
              <w:top w:w="80" w:type="dxa"/>
              <w:bottom w:w="80" w:type="dxa"/>
              <w:start w:w="120" w:type="dxa"/>
              <w:end w:w="120" w:type="dxa"/>
            </w:tcMar>
          </w:tcPr>
          <w:p>
            <w:pPr>
              <w:jc w:val="center"/>
            </w:pPr>
            <w:r/>
            <w:r>
              <w:rPr>
                <w:rFonts w:ascii="Calibri" w:hAnsi="Calibri"/>
                <w:b/>
                <w:i w:val="0"/>
                <w:color w:val="0B2545"/>
                <w:sz w:val="11"/>
              </w:rPr>
              <w:t>Candidate weight</w:t>
            </w:r>
          </w:p>
        </w:tc>
        <w:tc>
          <w:tcPr>
            <w:tcW w:type="dxa" w:w="5058"/>
            <w:shd w:fill="F4F6F9"/>
            <w:vAlign w:val="center"/>
            <w:tcMar>
              <w:top w:w="80" w:type="dxa"/>
              <w:bottom w:w="80" w:type="dxa"/>
              <w:start w:w="120" w:type="dxa"/>
              <w:end w:w="120" w:type="dxa"/>
            </w:tcMar>
          </w:tcPr>
          <w:p>
            <w:pPr>
              <w:jc w:val="center"/>
            </w:pPr>
            <w:r/>
            <w:r>
              <w:rPr>
                <w:rFonts w:ascii="Calibri" w:hAnsi="Calibri"/>
                <w:b/>
                <w:i w:val="0"/>
                <w:color w:val="0B2545"/>
                <w:sz w:val="11"/>
              </w:rPr>
              <w:t>Selected indicators</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target_4, target_5, target_3, target_2</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target_5, News_FinBERT_Score, News_Article_Count,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VIX,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target_1, target_3, Cross_Lithium_Close, VIX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News_FinBERT_Score, VIX, Cross_Lithium_Close,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News_FinBERT_Score, News_Article_Count, VIX,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target_2, target_4,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target_4, target_5, target_3, target_2</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target_5, News_FinBERT_Score, News_Article_Count,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VIX, News_TextBlob_Polarity,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target_5, target_1, VIX, Cross_Lithium_Close,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target_5, News_FinBERT_Score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News_FinBERT_Score,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target_5, News_FinBERT_Score, Cross_Lithium_Close,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target_2, target_3, target_4,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News_FinBERT_Score,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News_Article_Count, US_Dollar_Index,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 Trends_lithium_hydroxide, SP500,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VIX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Ganfeng_Lithium_Close, Albemarle_Close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target_3, Ganfeng_Lithium_Close, News_Article_Count, News_FinBERT_Score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target_4, Ganfeng_Lithium_Close, News_Article_Count,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target_4, target_3, target_5, Ganfeng_Lithium_Close, US_Dollar_Index, Cross_Lithium_Close,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target_5, target_4, Ganfeng_Lithium_Close, US_Dollar_Index, News_FinBERT_Score,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Ganfeng_Lithium_Close, News_FinBERT_Score, US_Dollar_Index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target_4, Albemarle_Close, News_Article_Count,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target_3, target_2, target_4, target_5</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target_4, Ganfeng_Lithium_Close,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Ganfeng_Lithium_Close, News_Article_Count,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target_5, target_4, Ganfeng_Lithium_Close, News_Article_Count,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target_1, target_5, Ganfeng_Lithium_Close, Cross_Lithium_Close, Albemarle_Close,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target_3, Ganfeng_Lithium_Close, Albemarle_Close, Cross_Lithium_Close,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target_5, Ganfeng_Lithium_Close, News_Article_Count, US_Dollar_Index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target_2, target_5, Cross_Lithium_Close, Ganfeng_Lithium_Close</w:t>
            </w:r>
          </w:p>
        </w:tc>
      </w:tr>
    </w:tbl>
    <w:p>
      <w:pPr>
        <w:spacing w:after="60"/>
      </w:pPr>
    </w:p>
    <w:p>
      <w:pPr>
        <w:pStyle w:val="Heading3"/>
      </w:pPr>
      <w:r>
        <w:t>Interpretation of Table 6</w:t>
      </w:r>
    </w:p>
    <w:p>
      <w:pPr>
        <w:spacing w:after="160" w:line="320" w:lineRule="auto"/>
        <w:jc w:val="both"/>
      </w:pPr>
      <w:r>
        <w:rPr>
          <w:rFonts w:ascii="Calibri" w:hAnsi="Calibri"/>
          <w:b/>
          <w:i w:val="0"/>
          <w:color w:val="000000"/>
          <w:sz w:val="22"/>
        </w:rPr>
        <w:t>Adaptive routing:</w:t>
      </w:r>
      <w:r>
        <w:rPr>
          <w:rFonts w:ascii="Calibri" w:hAnsi="Calibri"/>
          <w:b w:val="0"/>
          <w:i w:val="0"/>
          <w:color w:val="000000"/>
          <w:sz w:val="22"/>
        </w:rPr>
        <w:t xml:space="preserve"> Development selection produced these component-route counts across the candidate bank: ARIMA=160, RF=58, SVR=32, LSTM=6. The diversity is direct evidence against imposing one route on every component.</w:t>
      </w:r>
    </w:p>
    <w:p>
      <w:pPr>
        <w:spacing w:after="160" w:line="320" w:lineRule="auto"/>
        <w:jc w:val="both"/>
      </w:pPr>
      <w:r>
        <w:rPr>
          <w:rFonts w:ascii="Calibri" w:hAnsi="Calibri"/>
          <w:b/>
          <w:i w:val="0"/>
          <w:color w:val="000000"/>
          <w:sz w:val="22"/>
        </w:rPr>
        <w:t>Multimodal role:</w:t>
      </w:r>
      <w:r>
        <w:rPr>
          <w:rFonts w:ascii="Calibri" w:hAnsi="Calibri"/>
          <w:b w:val="0"/>
          <w:i w:val="0"/>
          <w:color w:val="000000"/>
          <w:sz w:val="22"/>
        </w:rPr>
        <w:t xml:space="preserve"> The selected-indicator column exposes where cross-lithium price, producer equities, attention, lithium-news tone and market controls enter alongside price lags.</w:t>
      </w:r>
    </w:p>
    <w:p>
      <w:pPr>
        <w:spacing w:after="160" w:line="320" w:lineRule="auto"/>
        <w:jc w:val="both"/>
      </w:pPr>
      <w:r>
        <w:rPr>
          <w:rFonts w:ascii="Calibri" w:hAnsi="Calibri"/>
          <w:b/>
          <w:i w:val="0"/>
          <w:color w:val="000000"/>
          <w:sz w:val="22"/>
        </w:rPr>
        <w:t>Interpretation:</w:t>
      </w:r>
      <w:r>
        <w:rPr>
          <w:rFonts w:ascii="Calibri" w:hAnsi="Calibri"/>
          <w:b w:val="0"/>
          <w:i w:val="0"/>
          <w:color w:val="000000"/>
          <w:sz w:val="22"/>
        </w:rPr>
        <w:t xml:space="preserve"> Selection is conditional predictive inclusion, not structural causality. Correlated indicators can substitute under LASSO, and full-sample decomposition remains a look-ahead channel.</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The decomposition summaries show that the modes differ materially in frequency, variance share, correlation with the original price, and approximate entropy. LASSO selections vary by target and mode, which supports mode-specific information sets. Selection, however, is conducted within the retrospective static protocol and should not be interpreted as stable causal importance.</w:t>
      </w:r>
    </w:p>
    <w:p>
      <w:pPr>
        <w:pStyle w:val="Heading1"/>
      </w:pPr>
      <w:r>
        <w:t>6. Forecasting results</w:t>
      </w:r>
    </w:p>
    <w:p>
      <w:pPr>
        <w:keepNext/>
        <w:spacing w:before="100" w:after="80"/>
      </w:pPr>
      <w:r>
        <w:rPr>
          <w:rFonts w:ascii="Calibri" w:hAnsi="Calibri"/>
          <w:b/>
          <w:i w:val="0"/>
          <w:color w:val="1F4D78"/>
          <w:sz w:val="18"/>
        </w:rPr>
        <w:t xml:space="preserve">Figure 9. </w:t>
      </w:r>
      <w:r>
        <w:rPr>
          <w:rFonts w:ascii="Calibri" w:hAnsi="Calibri"/>
          <w:b w:val="0"/>
          <w:i/>
          <w:color w:val="000000"/>
          <w:sz w:val="18"/>
        </w:rPr>
        <w:t>Testing-set forecasts from representative single forecasting models.</w:t>
      </w:r>
    </w:p>
    <w:p>
      <w:pPr>
        <w:spacing w:after="180"/>
        <w:jc w:val="center"/>
      </w:pPr>
      <w:r>
        <w:drawing>
          <wp:inline xmlns:a="http://schemas.openxmlformats.org/drawingml/2006/main" xmlns:pic="http://schemas.openxmlformats.org/drawingml/2006/picture">
            <wp:extent cx="5760720" cy="3857534"/>
            <wp:docPr id="9" name="Picture 9"/>
            <wp:cNvGraphicFramePr>
              <a:graphicFrameLocks noChangeAspect="1"/>
            </wp:cNvGraphicFramePr>
            <a:graphic>
              <a:graphicData uri="http://schemas.openxmlformats.org/drawingml/2006/picture">
                <pic:pic>
                  <pic:nvPicPr>
                    <pic:cNvPr id="0" name="fig9_single_forecasts.png"/>
                    <pic:cNvPicPr/>
                  </pic:nvPicPr>
                  <pic:blipFill>
                    <a:blip r:embed="rId19"/>
                    <a:stretch>
                      <a:fillRect/>
                    </a:stretch>
                  </pic:blipFill>
                  <pic:spPr>
                    <a:xfrm>
                      <a:off x="0" y="0"/>
                      <a:ext cx="5760720" cy="3857534"/>
                    </a:xfrm>
                    <a:prstGeom prst="rect"/>
                  </pic:spPr>
                </pic:pic>
              </a:graphicData>
            </a:graphic>
          </wp:inline>
        </w:drawing>
      </w:r>
    </w:p>
    <w:p>
      <w:pPr>
        <w:keepNext/>
        <w:spacing w:before="100" w:after="80"/>
      </w:pPr>
      <w:r>
        <w:rPr>
          <w:rFonts w:ascii="Calibri" w:hAnsi="Calibri"/>
          <w:b/>
          <w:i w:val="0"/>
          <w:color w:val="1F4D78"/>
          <w:sz w:val="18"/>
        </w:rPr>
        <w:t xml:space="preserve">Figure 10. </w:t>
      </w:r>
      <w:r>
        <w:rPr>
          <w:rFonts w:ascii="Calibri" w:hAnsi="Calibri"/>
          <w:b w:val="0"/>
          <w:i/>
          <w:color w:val="000000"/>
          <w:sz w:val="18"/>
        </w:rPr>
        <w:t>Target-normalized forecasting errors across all evaluated models.</w:t>
      </w:r>
    </w:p>
    <w:p>
      <w:pPr>
        <w:spacing w:after="180"/>
        <w:jc w:val="center"/>
      </w:pPr>
      <w:r>
        <w:drawing>
          <wp:inline xmlns:a="http://schemas.openxmlformats.org/drawingml/2006/main" xmlns:pic="http://schemas.openxmlformats.org/drawingml/2006/picture">
            <wp:extent cx="5760720" cy="3088547"/>
            <wp:docPr id="10" name="Picture 10"/>
            <wp:cNvGraphicFramePr>
              <a:graphicFrameLocks noChangeAspect="1"/>
            </wp:cNvGraphicFramePr>
            <a:graphic>
              <a:graphicData uri="http://schemas.openxmlformats.org/drawingml/2006/picture">
                <pic:pic>
                  <pic:nvPicPr>
                    <pic:cNvPr id="0" name="fig10_errors.png"/>
                    <pic:cNvPicPr/>
                  </pic:nvPicPr>
                  <pic:blipFill>
                    <a:blip r:embed="rId20"/>
                    <a:stretch>
                      <a:fillRect/>
                    </a:stretch>
                  </pic:blipFill>
                  <pic:spPr>
                    <a:xfrm>
                      <a:off x="0" y="0"/>
                      <a:ext cx="5760720" cy="3088547"/>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7. </w:t>
      </w:r>
      <w:r>
        <w:rPr>
          <w:rFonts w:ascii="Calibri" w:hAnsi="Calibri"/>
          <w:b w:val="0"/>
          <w:i/>
          <w:color w:val="000000"/>
          <w:sz w:val="18"/>
        </w:rPr>
        <w:t>Forecasting errors on the testing sets for single models.</w:t>
      </w:r>
    </w:p>
    <w:tbl>
      <w:tblPr>
        <w:tblStyle w:val="TableGrid"/>
        <w:tblW w:type="dxa" w:w="13680"/>
        <w:jc w:val="left"/>
        <w:tblLayout w:type="fixed"/>
        <w:tblLook w:firstColumn="1" w:firstRow="1" w:lastColumn="0" w:lastRow="0" w:noHBand="0" w:noVBand="1" w:val="04A0"/>
        <w:tblInd w:w="120" w:type="dxa"/>
      </w:tblPr>
      <w:tblGrid>
        <w:gridCol w:w="2673"/>
        <w:gridCol w:w="1100"/>
        <w:gridCol w:w="1729"/>
        <w:gridCol w:w="1729"/>
        <w:gridCol w:w="1100"/>
        <w:gridCol w:w="1100"/>
        <w:gridCol w:w="1100"/>
        <w:gridCol w:w="3149"/>
      </w:tblGrid>
      <w:tr>
        <w:trPr>
          <w:tblHeader w:val="true"/>
        </w:trPr>
        <w:tc>
          <w:tcPr>
            <w:tcW w:type="dxa" w:w="2673"/>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Model</w:t>
            </w:r>
          </w:p>
        </w:tc>
        <w:tc>
          <w:tcPr>
            <w:tcW w:type="dxa" w:w="1729"/>
            <w:shd w:fill="F4F6F9"/>
            <w:vAlign w:val="center"/>
            <w:tcMar>
              <w:top w:w="80" w:type="dxa"/>
              <w:bottom w:w="80" w:type="dxa"/>
              <w:start w:w="120" w:type="dxa"/>
              <w:end w:w="120" w:type="dxa"/>
            </w:tcMar>
          </w:tcPr>
          <w:p>
            <w:pPr>
              <w:jc w:val="center"/>
            </w:pPr>
            <w:r/>
            <w:r>
              <w:rPr>
                <w:rFonts w:ascii="Calibri" w:hAnsi="Calibri"/>
                <w:b/>
                <w:i w:val="0"/>
                <w:color w:val="0B2545"/>
                <w:sz w:val="12"/>
              </w:rPr>
              <w:t>RMSE</w:t>
            </w:r>
          </w:p>
        </w:tc>
        <w:tc>
          <w:tcPr>
            <w:tcW w:type="dxa" w:w="1729"/>
            <w:shd w:fill="F4F6F9"/>
            <w:vAlign w:val="center"/>
            <w:tcMar>
              <w:top w:w="80" w:type="dxa"/>
              <w:bottom w:w="80" w:type="dxa"/>
              <w:start w:w="120" w:type="dxa"/>
              <w:end w:w="120" w:type="dxa"/>
            </w:tcMar>
          </w:tcPr>
          <w:p>
            <w:pPr>
              <w:jc w:val="center"/>
            </w:pPr>
            <w:r/>
            <w:r>
              <w:rPr>
                <w:rFonts w:ascii="Calibri" w:hAnsi="Calibri"/>
                <w:b/>
                <w:i w:val="0"/>
                <w:color w:val="0B2545"/>
                <w:sz w:val="12"/>
              </w:rPr>
              <w:t>MAE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MASE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MAPE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sMAPE</w:t>
            </w:r>
          </w:p>
        </w:tc>
        <w:tc>
          <w:tcPr>
            <w:tcW w:type="dxa" w:w="3149"/>
            <w:shd w:fill="F4F6F9"/>
            <w:vAlign w:val="center"/>
            <w:tcMar>
              <w:top w:w="80" w:type="dxa"/>
              <w:bottom w:w="80" w:type="dxa"/>
              <w:start w:w="120" w:type="dxa"/>
              <w:end w:w="120" w:type="dxa"/>
            </w:tcMar>
          </w:tcPr>
          <w:p>
            <w:pPr>
              <w:jc w:val="center"/>
            </w:pPr>
            <w:r/>
            <w:r>
              <w:rPr>
                <w:rFonts w:ascii="Calibri" w:hAnsi="Calibri"/>
                <w:b/>
                <w:i w:val="0"/>
                <w:color w:val="0B2545"/>
                <w:sz w:val="12"/>
              </w:rPr>
              <w:t>Directional Accuracy</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ARIMA</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3612.1970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1827.0413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0.9132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69.63</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RF</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5380.3212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3231.2770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1.6150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72.59</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LSTM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11905.8590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9873.9034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4.9351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9.97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9.46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55.56</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SVR</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24629.9992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18864.5712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9.4288</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21.87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18.25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56.30</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ELM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41457.7667</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34950.9727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17.4690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36.01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28.29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58.52</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MLP</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45712.4002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37502.1294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18.7441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40.06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30.61</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48.15</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ES</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200226.2914</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180239.9823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90.0866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165.22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86.50</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54.07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ARIMA</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0.6437</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0.2395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1.3159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1.92</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29.29</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ELM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0.6542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0.2573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1.4138</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28.57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MLP</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0.6766</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0.4589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2.5212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3.54</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35.00</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SVR</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0.7060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0.5847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3.2129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4.95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4.83</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38.57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LSTM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0.8398</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0.4967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2.7292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32.86</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RF</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1.3033</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0.8864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4.8704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6.01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5.76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37.14</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ES</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4.8948</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3.3720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18.5273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21.47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26.45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35.00</w:t>
            </w:r>
          </w:p>
        </w:tc>
      </w:tr>
    </w:tbl>
    <w:p>
      <w:pPr>
        <w:spacing w:after="60"/>
      </w:pPr>
    </w:p>
    <w:p>
      <w:pPr>
        <w:pStyle w:val="Heading3"/>
      </w:pPr>
      <w:r>
        <w:t>Interpretation of Table 7</w:t>
      </w:r>
    </w:p>
    <w:p>
      <w:pPr>
        <w:spacing w:after="160" w:line="320" w:lineRule="auto"/>
        <w:jc w:val="both"/>
      </w:pPr>
      <w:r>
        <w:rPr>
          <w:rFonts w:ascii="Calibri" w:hAnsi="Calibri"/>
          <w:b/>
          <w:i w:val="0"/>
          <w:color w:val="000000"/>
          <w:sz w:val="22"/>
        </w:rPr>
        <w:t>Carbonate result:</w:t>
      </w:r>
      <w:r>
        <w:rPr>
          <w:rFonts w:ascii="Calibri" w:hAnsi="Calibri"/>
          <w:b w:val="0"/>
          <w:i w:val="0"/>
          <w:color w:val="000000"/>
          <w:sz w:val="22"/>
        </w:rPr>
        <w:t xml:space="preserve"> ARIMA has the lowest single-model RMSE (3612.1970), with MAE 1827.0413, MAPE 1.43% and directional accuracy 69.63%.</w:t>
      </w:r>
    </w:p>
    <w:p>
      <w:pPr>
        <w:spacing w:after="160" w:line="320" w:lineRule="auto"/>
        <w:jc w:val="both"/>
      </w:pPr>
      <w:r>
        <w:rPr>
          <w:rFonts w:ascii="Calibri" w:hAnsi="Calibri"/>
          <w:b/>
          <w:i w:val="0"/>
          <w:color w:val="000000"/>
          <w:sz w:val="22"/>
        </w:rPr>
        <w:t>Hydroxide result:</w:t>
      </w:r>
      <w:r>
        <w:rPr>
          <w:rFonts w:ascii="Calibri" w:hAnsi="Calibri"/>
          <w:b w:val="0"/>
          <w:i w:val="0"/>
          <w:color w:val="000000"/>
          <w:sz w:val="22"/>
        </w:rPr>
        <w:t xml:space="preserve"> ARIMA has the lowest single-model RMSE (0.6437), with MAE 0.2395, MAPE 1.76% and directional accuracy 29.29%.</w:t>
      </w:r>
    </w:p>
    <w:p>
      <w:pPr>
        <w:spacing w:after="160" w:line="320" w:lineRule="auto"/>
        <w:jc w:val="both"/>
      </w:pPr>
      <w:r>
        <w:rPr>
          <w:rFonts w:ascii="Calibri" w:hAnsi="Calibri"/>
          <w:b/>
          <w:i w:val="0"/>
          <w:color w:val="000000"/>
          <w:sz w:val="22"/>
        </w:rPr>
        <w:t>Benchmark lesson:</w:t>
      </w:r>
      <w:r>
        <w:rPr>
          <w:rFonts w:ascii="Calibri" w:hAnsi="Calibri"/>
          <w:b w:val="0"/>
          <w:i w:val="0"/>
          <w:color w:val="000000"/>
          <w:sz w:val="22"/>
        </w:rPr>
        <w:t xml:space="preserve"> Greater nonlinearity is not automatically beneficial in this short sample. Complexity contributes only when decomposition, sparse selection or adaptive routing converts it into lower locked-test loss.</w:t>
      </w:r>
    </w:p>
    <w:p>
      <w:pPr>
        <w:keepNext/>
        <w:spacing w:before="100" w:after="80"/>
      </w:pPr>
      <w:r>
        <w:rPr>
          <w:rFonts w:ascii="Calibri" w:hAnsi="Calibri"/>
          <w:b/>
          <w:i w:val="0"/>
          <w:color w:val="1F4D78"/>
          <w:sz w:val="18"/>
        </w:rPr>
        <w:t xml:space="preserve">Table 8. </w:t>
      </w:r>
      <w:r>
        <w:rPr>
          <w:rFonts w:ascii="Calibri" w:hAnsi="Calibri"/>
          <w:b w:val="0"/>
          <w:i/>
          <w:color w:val="000000"/>
          <w:sz w:val="18"/>
        </w:rPr>
        <w:t>Forecasting errors on the testing sets for decomposition models.</w:t>
      </w:r>
    </w:p>
    <w:tbl>
      <w:tblPr>
        <w:tblStyle w:val="TableGrid"/>
        <w:tblW w:type="dxa" w:w="13680"/>
        <w:jc w:val="left"/>
        <w:tblLayout w:type="fixed"/>
        <w:tblLook w:firstColumn="1" w:firstRow="1" w:lastColumn="0" w:lastRow="0" w:noHBand="0" w:noVBand="1" w:val="04A0"/>
        <w:tblInd w:w="120" w:type="dxa"/>
      </w:tblPr>
      <w:tblGrid>
        <w:gridCol w:w="2114"/>
        <w:gridCol w:w="4228"/>
        <w:gridCol w:w="1119"/>
        <w:gridCol w:w="1119"/>
        <w:gridCol w:w="870"/>
        <w:gridCol w:w="870"/>
        <w:gridCol w:w="870"/>
        <w:gridCol w:w="2490"/>
      </w:tblGrid>
      <w:tr>
        <w:trPr>
          <w:tblHeader w:val="true"/>
        </w:trPr>
        <w:tc>
          <w:tcPr>
            <w:tcW w:type="dxa" w:w="2114"/>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4228"/>
            <w:shd w:fill="F4F6F9"/>
            <w:vAlign w:val="center"/>
            <w:tcMar>
              <w:top w:w="80" w:type="dxa"/>
              <w:bottom w:w="80" w:type="dxa"/>
              <w:start w:w="120" w:type="dxa"/>
              <w:end w:w="120" w:type="dxa"/>
            </w:tcMar>
          </w:tcPr>
          <w:p>
            <w:pPr>
              <w:jc w:val="center"/>
            </w:pPr>
            <w:r/>
            <w:r>
              <w:rPr>
                <w:rFonts w:ascii="Calibri" w:hAnsi="Calibri"/>
                <w:b/>
                <w:i w:val="0"/>
                <w:color w:val="0B2545"/>
                <w:sz w:val="12"/>
              </w:rPr>
              <w:t>Model</w:t>
            </w:r>
          </w:p>
        </w:tc>
        <w:tc>
          <w:tcPr>
            <w:tcW w:type="dxa" w:w="1119"/>
            <w:shd w:fill="F4F6F9"/>
            <w:vAlign w:val="center"/>
            <w:tcMar>
              <w:top w:w="80" w:type="dxa"/>
              <w:bottom w:w="80" w:type="dxa"/>
              <w:start w:w="120" w:type="dxa"/>
              <w:end w:w="120" w:type="dxa"/>
            </w:tcMar>
          </w:tcPr>
          <w:p>
            <w:pPr>
              <w:jc w:val="center"/>
            </w:pPr>
            <w:r/>
            <w:r>
              <w:rPr>
                <w:rFonts w:ascii="Calibri" w:hAnsi="Calibri"/>
                <w:b/>
                <w:i w:val="0"/>
                <w:color w:val="0B2545"/>
                <w:sz w:val="12"/>
              </w:rPr>
              <w:t>RMSE</w:t>
            </w:r>
          </w:p>
        </w:tc>
        <w:tc>
          <w:tcPr>
            <w:tcW w:type="dxa" w:w="1119"/>
            <w:shd w:fill="F4F6F9"/>
            <w:vAlign w:val="center"/>
            <w:tcMar>
              <w:top w:w="80" w:type="dxa"/>
              <w:bottom w:w="80" w:type="dxa"/>
              <w:start w:w="120" w:type="dxa"/>
              <w:end w:w="120" w:type="dxa"/>
            </w:tcMar>
          </w:tcPr>
          <w:p>
            <w:pPr>
              <w:jc w:val="center"/>
            </w:pPr>
            <w:r/>
            <w:r>
              <w:rPr>
                <w:rFonts w:ascii="Calibri" w:hAnsi="Calibri"/>
                <w:b/>
                <w:i w:val="0"/>
                <w:color w:val="0B2545"/>
                <w:sz w:val="12"/>
              </w:rPr>
              <w:t>MAE</w:t>
            </w:r>
          </w:p>
        </w:tc>
        <w:tc>
          <w:tcPr>
            <w:tcW w:type="dxa" w:w="870"/>
            <w:shd w:fill="F4F6F9"/>
            <w:vAlign w:val="center"/>
            <w:tcMar>
              <w:top w:w="80" w:type="dxa"/>
              <w:bottom w:w="80" w:type="dxa"/>
              <w:start w:w="120" w:type="dxa"/>
              <w:end w:w="120" w:type="dxa"/>
            </w:tcMar>
          </w:tcPr>
          <w:p>
            <w:pPr>
              <w:jc w:val="center"/>
            </w:pPr>
            <w:r/>
            <w:r>
              <w:rPr>
                <w:rFonts w:ascii="Calibri" w:hAnsi="Calibri"/>
                <w:b/>
                <w:i w:val="0"/>
                <w:color w:val="0B2545"/>
                <w:sz w:val="12"/>
              </w:rPr>
              <w:t>MASE</w:t>
            </w:r>
          </w:p>
        </w:tc>
        <w:tc>
          <w:tcPr>
            <w:tcW w:type="dxa" w:w="870"/>
            <w:shd w:fill="F4F6F9"/>
            <w:vAlign w:val="center"/>
            <w:tcMar>
              <w:top w:w="80" w:type="dxa"/>
              <w:bottom w:w="80" w:type="dxa"/>
              <w:start w:w="120" w:type="dxa"/>
              <w:end w:w="120" w:type="dxa"/>
            </w:tcMar>
          </w:tcPr>
          <w:p>
            <w:pPr>
              <w:jc w:val="center"/>
            </w:pPr>
            <w:r/>
            <w:r>
              <w:rPr>
                <w:rFonts w:ascii="Calibri" w:hAnsi="Calibri"/>
                <w:b/>
                <w:i w:val="0"/>
                <w:color w:val="0B2545"/>
                <w:sz w:val="12"/>
              </w:rPr>
              <w:t>MAPE</w:t>
            </w:r>
          </w:p>
        </w:tc>
        <w:tc>
          <w:tcPr>
            <w:tcW w:type="dxa" w:w="870"/>
            <w:shd w:fill="F4F6F9"/>
            <w:vAlign w:val="center"/>
            <w:tcMar>
              <w:top w:w="80" w:type="dxa"/>
              <w:bottom w:w="80" w:type="dxa"/>
              <w:start w:w="120" w:type="dxa"/>
              <w:end w:w="120" w:type="dxa"/>
            </w:tcMar>
          </w:tcPr>
          <w:p>
            <w:pPr>
              <w:jc w:val="center"/>
            </w:pPr>
            <w:r/>
            <w:r>
              <w:rPr>
                <w:rFonts w:ascii="Calibri" w:hAnsi="Calibri"/>
                <w:b/>
                <w:i w:val="0"/>
                <w:color w:val="0B2545"/>
                <w:sz w:val="12"/>
              </w:rPr>
              <w:t>sMAPE</w:t>
            </w:r>
          </w:p>
        </w:tc>
        <w:tc>
          <w:tcPr>
            <w:tcW w:type="dxa" w:w="2490"/>
            <w:shd w:fill="F4F6F9"/>
            <w:vAlign w:val="center"/>
            <w:tcMar>
              <w:top w:w="80" w:type="dxa"/>
              <w:bottom w:w="80" w:type="dxa"/>
              <w:start w:w="120" w:type="dxa"/>
              <w:end w:w="120" w:type="dxa"/>
            </w:tcMar>
          </w:tcPr>
          <w:p>
            <w:pPr>
              <w:jc w:val="center"/>
            </w:pPr>
            <w:r/>
            <w:r>
              <w:rPr>
                <w:rFonts w:ascii="Calibri" w:hAnsi="Calibri"/>
                <w:b/>
                <w:i w:val="0"/>
                <w:color w:val="0B2545"/>
                <w:sz w:val="12"/>
              </w:rPr>
              <w:t>Directional Accuracy</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Proposed Adaptive Decomposition-Routing Ensemble</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2881.4682</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1959.1156</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0.9792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1.73</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74.07</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VMD-ARIMA</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3151.9059</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1569.3488</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0.7844</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1.35</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1.39</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78.52</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CEEMDAN-ARIMA</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3623.5469</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1436.9183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0.7182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1.16</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77.04</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3650.8523</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2402.9913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1.2011</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2.07</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2.07</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78.52</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Fixed VMD-LASSO-ARIMA/LSTM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3858.1490</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2053.9202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1.0266</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1.85</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77.04</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5587.1679</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3861.8263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1.9302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3.34</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74.81</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Proposed Adaptive Decomposition-Routing Ensemble</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0.2737</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0.1979</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1.0875</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1.49</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1.50</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44.29</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CEEMDAN-ARIMA</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0.4467</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0.1994</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1.0955</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1.54</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1.66</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37.86</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VMD-ARIMA</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0.4731</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0.2450</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1.3463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1.92</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2.03</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44.29</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Fixed VMD-LASSO-ARIMA/LSTM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0.5825</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0.3623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1.9905</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2.93</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39.29</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0.8838</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0.6088</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3.3453</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5.40</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5.33</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36.43</w:t>
            </w:r>
          </w:p>
        </w:tc>
      </w:tr>
      <w:tr>
        <w:tc>
          <w:tcPr>
            <w:tcW w:type="dxa" w:w="211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422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VMD-LSTM</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0.8868</w:t>
            </w:r>
          </w:p>
        </w:tc>
        <w:tc>
          <w:tcPr>
            <w:tcW w:type="dxa" w:w="11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0.4504</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2.4750</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3.76</w:t>
            </w:r>
          </w:p>
        </w:tc>
        <w:tc>
          <w:tcPr>
            <w:tcW w:type="dxa" w:w="87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w:t>
            </w:r>
          </w:p>
        </w:tc>
        <w:tc>
          <w:tcPr>
            <w:tcW w:type="dxa" w:w="24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42.14</w:t>
            </w:r>
          </w:p>
        </w:tc>
      </w:tr>
    </w:tbl>
    <w:p>
      <w:pPr>
        <w:spacing w:after="60"/>
      </w:pPr>
    </w:p>
    <w:p>
      <w:pPr>
        <w:pStyle w:val="Heading3"/>
      </w:pPr>
      <w:r>
        <w:t>Interpretation of Table 8</w:t>
      </w:r>
    </w:p>
    <w:p>
      <w:pPr>
        <w:spacing w:after="160" w:line="320" w:lineRule="auto"/>
        <w:jc w:val="both"/>
      </w:pPr>
      <w:r>
        <w:rPr>
          <w:rFonts w:ascii="Calibri" w:hAnsi="Calibri"/>
          <w:b/>
          <w:i w:val="0"/>
          <w:color w:val="000000"/>
          <w:sz w:val="22"/>
        </w:rPr>
        <w:t>Carbonate decomposition:</w:t>
      </w:r>
      <w:r>
        <w:rPr>
          <w:rFonts w:ascii="Calibri" w:hAnsi="Calibri"/>
          <w:b w:val="0"/>
          <w:i w:val="0"/>
          <w:color w:val="000000"/>
          <w:sz w:val="22"/>
        </w:rPr>
        <w:t xml:space="preserve"> The proposed RMSE is 2881.4682; the strongest non-adaptive decomposition comparator is VMD-ARIMA at 3151.9059. The proposed value is 8.58% lower.</w:t>
      </w:r>
    </w:p>
    <w:p>
      <w:pPr>
        <w:spacing w:after="160" w:line="320" w:lineRule="auto"/>
        <w:jc w:val="both"/>
      </w:pPr>
      <w:r>
        <w:rPr>
          <w:rFonts w:ascii="Calibri" w:hAnsi="Calibri"/>
          <w:b/>
          <w:i w:val="0"/>
          <w:color w:val="000000"/>
          <w:sz w:val="22"/>
        </w:rPr>
        <w:t>Hydroxide decomposition:</w:t>
      </w:r>
      <w:r>
        <w:rPr>
          <w:rFonts w:ascii="Calibri" w:hAnsi="Calibri"/>
          <w:b w:val="0"/>
          <w:i w:val="0"/>
          <w:color w:val="000000"/>
          <w:sz w:val="22"/>
        </w:rPr>
        <w:t xml:space="preserve"> The proposed RMSE is 0.2737; the strongest non-adaptive decomposition comparator is CEEMDAN-ARIMA at 0.4467. The proposed value is 38.72% lower.</w:t>
      </w:r>
    </w:p>
    <w:p>
      <w:pPr>
        <w:spacing w:after="160" w:line="320" w:lineRule="auto"/>
        <w:jc w:val="both"/>
      </w:pPr>
      <w:r>
        <w:rPr>
          <w:rFonts w:ascii="Calibri" w:hAnsi="Calibri"/>
          <w:b/>
          <w:i w:val="0"/>
          <w:color w:val="000000"/>
          <w:sz w:val="22"/>
        </w:rPr>
        <w:t>Main conclusion:</w:t>
      </w:r>
      <w:r>
        <w:rPr>
          <w:rFonts w:ascii="Calibri" w:hAnsi="Calibri"/>
          <w:b w:val="0"/>
          <w:i w:val="0"/>
          <w:color w:val="000000"/>
          <w:sz w:val="22"/>
        </w:rPr>
        <w:t xml:space="preserve"> The adaptive model does not clear the pre-specified dual-target RMSE-and-MAE gate; claims must remain target- and metric-specific. All metric columns remain visible so a narrow win cannot be restated as universal superiority.</w:t>
      </w:r>
    </w:p>
    <w:p>
      <w:pPr>
        <w:keepNext/>
        <w:spacing w:before="100" w:after="80"/>
      </w:pPr>
      <w:r>
        <w:rPr>
          <w:rFonts w:ascii="Calibri" w:hAnsi="Calibri"/>
          <w:b/>
          <w:i w:val="0"/>
          <w:color w:val="1F4D78"/>
          <w:sz w:val="18"/>
        </w:rPr>
        <w:t xml:space="preserve">Table 9. </w:t>
      </w:r>
      <w:r>
        <w:rPr>
          <w:rFonts w:ascii="Calibri" w:hAnsi="Calibri"/>
          <w:b w:val="0"/>
          <w:i/>
          <w:color w:val="000000"/>
          <w:sz w:val="18"/>
        </w:rPr>
        <w:t>Diebold-Mariano tests comparing the proposed model with forecasting benchmarks.</w:t>
      </w:r>
    </w:p>
    <w:tbl>
      <w:tblPr>
        <w:tblStyle w:val="TableGrid"/>
        <w:tblW w:type="dxa" w:w="13680"/>
        <w:jc w:val="left"/>
        <w:tblLayout w:type="fixed"/>
        <w:tblLook w:firstColumn="1" w:firstRow="1" w:lastColumn="0" w:lastRow="0" w:noHBand="0" w:noVBand="1" w:val="04A0"/>
        <w:tblInd w:w="120" w:type="dxa"/>
      </w:tblPr>
      <w:tblGrid>
        <w:gridCol w:w="3020"/>
        <w:gridCol w:w="4619"/>
        <w:gridCol w:w="2131"/>
        <w:gridCol w:w="1243"/>
        <w:gridCol w:w="2667"/>
      </w:tblGrid>
      <w:tr>
        <w:trPr>
          <w:tblHeader w:val="true"/>
        </w:trPr>
        <w:tc>
          <w:tcPr>
            <w:tcW w:type="dxa" w:w="3020"/>
            <w:shd w:fill="F4F6F9"/>
            <w:vAlign w:val="center"/>
            <w:tcMar>
              <w:top w:w="80" w:type="dxa"/>
              <w:bottom w:w="80" w:type="dxa"/>
              <w:start w:w="120" w:type="dxa"/>
              <w:end w:w="120" w:type="dxa"/>
            </w:tcMar>
          </w:tcPr>
          <w:p>
            <w:pPr>
              <w:jc w:val="center"/>
            </w:pPr>
            <w:r/>
            <w:r>
              <w:rPr>
                <w:rFonts w:ascii="Calibri" w:hAnsi="Calibri"/>
                <w:b/>
                <w:i w:val="0"/>
                <w:color w:val="0B2545"/>
                <w:sz w:val="11"/>
              </w:rPr>
              <w:t>Target</w:t>
            </w:r>
          </w:p>
        </w:tc>
        <w:tc>
          <w:tcPr>
            <w:tcW w:type="dxa" w:w="4619"/>
            <w:shd w:fill="F4F6F9"/>
            <w:vAlign w:val="center"/>
            <w:tcMar>
              <w:top w:w="80" w:type="dxa"/>
              <w:bottom w:w="80" w:type="dxa"/>
              <w:start w:w="120" w:type="dxa"/>
              <w:end w:w="120" w:type="dxa"/>
            </w:tcMar>
          </w:tcPr>
          <w:p>
            <w:pPr>
              <w:jc w:val="center"/>
            </w:pPr>
            <w:r/>
            <w:r>
              <w:rPr>
                <w:rFonts w:ascii="Calibri" w:hAnsi="Calibri"/>
                <w:b/>
                <w:i w:val="0"/>
                <w:color w:val="0B2545"/>
                <w:sz w:val="11"/>
              </w:rPr>
              <w:t>Benchmark</w:t>
            </w:r>
          </w:p>
        </w:tc>
        <w:tc>
          <w:tcPr>
            <w:tcW w:type="dxa" w:w="2131"/>
            <w:shd w:fill="F4F6F9"/>
            <w:vAlign w:val="center"/>
            <w:tcMar>
              <w:top w:w="80" w:type="dxa"/>
              <w:bottom w:w="80" w:type="dxa"/>
              <w:start w:w="120" w:type="dxa"/>
              <w:end w:w="120" w:type="dxa"/>
            </w:tcMar>
          </w:tcPr>
          <w:p>
            <w:pPr>
              <w:jc w:val="center"/>
            </w:pPr>
            <w:r/>
            <w:r>
              <w:rPr>
                <w:rFonts w:ascii="Calibri" w:hAnsi="Calibri"/>
                <w:b/>
                <w:i w:val="0"/>
                <w:color w:val="0B2545"/>
                <w:sz w:val="11"/>
              </w:rPr>
              <w:t>DM statistic</w:t>
            </w:r>
          </w:p>
        </w:tc>
        <w:tc>
          <w:tcPr>
            <w:tcW w:type="dxa" w:w="1243"/>
            <w:shd w:fill="F4F6F9"/>
            <w:vAlign w:val="center"/>
            <w:tcMar>
              <w:top w:w="80" w:type="dxa"/>
              <w:bottom w:w="80" w:type="dxa"/>
              <w:start w:w="120" w:type="dxa"/>
              <w:end w:w="120" w:type="dxa"/>
            </w:tcMar>
          </w:tcPr>
          <w:p>
            <w:pPr>
              <w:jc w:val="center"/>
            </w:pPr>
            <w:r/>
            <w:r>
              <w:rPr>
                <w:rFonts w:ascii="Calibri" w:hAnsi="Calibri"/>
                <w:b/>
                <w:i w:val="0"/>
                <w:color w:val="0B2545"/>
                <w:sz w:val="11"/>
              </w:rPr>
              <w:t>p-value</w:t>
            </w:r>
          </w:p>
        </w:tc>
        <w:tc>
          <w:tcPr>
            <w:tcW w:type="dxa" w:w="2667"/>
            <w:shd w:fill="F4F6F9"/>
            <w:vAlign w:val="center"/>
            <w:tcMar>
              <w:top w:w="80" w:type="dxa"/>
              <w:bottom w:w="80" w:type="dxa"/>
              <w:start w:w="120" w:type="dxa"/>
              <w:end w:w="120" w:type="dxa"/>
            </w:tcMar>
          </w:tcPr>
          <w:p>
            <w:pPr>
              <w:jc w:val="center"/>
            </w:pPr>
            <w:r/>
            <w:r>
              <w:rPr>
                <w:rFonts w:ascii="Calibri" w:hAnsi="Calibri"/>
                <w:b/>
                <w:i w:val="0"/>
                <w:color w:val="0B2545"/>
                <w:sz w:val="11"/>
              </w:rPr>
              <w:t>Direction</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ES</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-10.9902</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ELM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-8.3599</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-7.8177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MLP</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-7.1580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-6.1487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-4.1421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-2.6656</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-2.4018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0.0177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-1.7548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0.0816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Fixed VMD-LASSO-ARIMA/LSTM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-1.2248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0.2228</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-1.0154</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0.3117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-0.4456</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0.6566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ES</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-5.8271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-5.4012</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-4.7977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-3.0791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0.0025</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MLP</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-2.9218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0.0041</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-2.6040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0.0102</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Fixed VMD-LASSO-ARIMA/LSTM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-2.1655</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0.0320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-1.8527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0.0660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-1.8089</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0.0726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ELM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-1.6350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0.1043</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-1.2221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0.2237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-1.0808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0.2816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bl>
    <w:p>
      <w:pPr>
        <w:spacing w:after="60"/>
      </w:pPr>
    </w:p>
    <w:p>
      <w:pPr>
        <w:pStyle w:val="Heading3"/>
      </w:pPr>
      <w:r>
        <w:t>Interpretation of Table 9</w:t>
      </w:r>
    </w:p>
    <w:p>
      <w:pPr>
        <w:spacing w:after="160" w:line="320" w:lineRule="auto"/>
        <w:jc w:val="both"/>
      </w:pPr>
      <w:r>
        <w:rPr>
          <w:rFonts w:ascii="Calibri" w:hAnsi="Calibri"/>
          <w:b/>
          <w:i w:val="0"/>
          <w:color w:val="000000"/>
          <w:sz w:val="22"/>
        </w:rPr>
        <w:t>How to read the sign:</w:t>
      </w:r>
      <w:r>
        <w:rPr>
          <w:rFonts w:ascii="Calibri" w:hAnsi="Calibri"/>
          <w:b w:val="0"/>
          <w:i w:val="0"/>
          <w:color w:val="000000"/>
          <w:sz w:val="22"/>
        </w:rPr>
        <w:t xml:space="preserve"> The loss differential is proposed-model squared error minus benchmark squared error. A negative statistic favors the proposed model; the p-value tests equal predictive loss, not profitability.</w:t>
      </w:r>
    </w:p>
    <w:p>
      <w:pPr>
        <w:spacing w:after="160" w:line="320" w:lineRule="auto"/>
        <w:jc w:val="both"/>
      </w:pPr>
      <w:r>
        <w:rPr>
          <w:rFonts w:ascii="Calibri" w:hAnsi="Calibri"/>
          <w:b/>
          <w:i w:val="0"/>
          <w:color w:val="000000"/>
          <w:sz w:val="22"/>
        </w:rPr>
        <w:t>Carbonate evidence:</w:t>
      </w:r>
      <w:r>
        <w:rPr>
          <w:rFonts w:ascii="Calibri" w:hAnsi="Calibri"/>
          <w:b w:val="0"/>
          <w:i w:val="0"/>
          <w:color w:val="000000"/>
          <w:sz w:val="22"/>
        </w:rPr>
        <w:t xml:space="preserve"> At the unadjusted 5% level the proposed model records 8 significant wins and 0 significant losses.</w:t>
      </w:r>
    </w:p>
    <w:p>
      <w:pPr>
        <w:spacing w:after="160" w:line="320" w:lineRule="auto"/>
        <w:jc w:val="both"/>
      </w:pPr>
      <w:r>
        <w:rPr>
          <w:rFonts w:ascii="Calibri" w:hAnsi="Calibri"/>
          <w:b/>
          <w:i w:val="0"/>
          <w:color w:val="000000"/>
          <w:sz w:val="22"/>
        </w:rPr>
        <w:t>Hydroxide evidence:</w:t>
      </w:r>
      <w:r>
        <w:rPr>
          <w:rFonts w:ascii="Calibri" w:hAnsi="Calibri"/>
          <w:b w:val="0"/>
          <w:i w:val="0"/>
          <w:color w:val="000000"/>
          <w:sz w:val="22"/>
        </w:rPr>
        <w:t xml:space="preserve"> At the unadjusted 5% level the proposed model records 7 significant wins and 0 significant losses.</w:t>
      </w:r>
    </w:p>
    <w:p>
      <w:pPr>
        <w:spacing w:after="160" w:line="320" w:lineRule="auto"/>
        <w:jc w:val="both"/>
      </w:pPr>
      <w:r>
        <w:rPr>
          <w:rFonts w:ascii="Calibri" w:hAnsi="Calibri"/>
          <w:b/>
          <w:i w:val="0"/>
          <w:color w:val="000000"/>
          <w:sz w:val="22"/>
        </w:rPr>
        <w:t>Multiplicity caution:</w:t>
      </w:r>
      <w:r>
        <w:rPr>
          <w:rFonts w:ascii="Calibri" w:hAnsi="Calibri"/>
          <w:b w:val="0"/>
          <w:i w:val="0"/>
          <w:color w:val="000000"/>
          <w:sz w:val="22"/>
        </w:rPr>
        <w:t xml:space="preserve"> The displayed comparisons are not family-wise adjusted. Nominal p-values are interpreted jointly with effect sizes and target-level metrics.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For hydroxide, the adaptive RMSE is 0.2737, 38.72% below the strongest non-adaptive decomposition comparator (CEEMDAN-ARIMA, 0.4467). For carbonate, the adaptive RMSE is 2881.4682, 8.58% below the strongest non-adaptive decomposition comparator (VMD-ARIMA, 3151.9059). Relative to the strongest single model, the adaptive RMSE changes by hydroxide 57.48%, carbonate 20.23%.</w:t>
      </w:r>
    </w:p>
    <w:p>
      <w:pPr>
        <w:spacing w:after="160" w:line="320" w:lineRule="auto"/>
        <w:jc w:val="both"/>
      </w:pPr>
      <w:r>
        <w:rPr>
          <w:rFonts w:ascii="Calibri" w:hAnsi="Calibri"/>
          <w:b w:val="0"/>
          <w:i w:val="0"/>
          <w:color w:val="000000"/>
          <w:sz w:val="22"/>
        </w:rPr>
        <w:t>This ranking is the forecasting conclusion of the paper. The adaptive model does not clear the pre-specified dual-target RMSE-and-MAE gate; claims must remain target- and metric-specific. Figure 10 presents the complete non-random-walk comparison set and normalizes only to make the two price scales visually comparable; winners are determined from the unnormalized metrics in Tables 7 and 8.</w:t>
      </w:r>
    </w:p>
    <w:p>
      <w:pPr>
        <w:spacing w:after="160" w:line="320" w:lineRule="auto"/>
        <w:jc w:val="both"/>
      </w:pPr>
      <w:r>
        <w:rPr>
          <w:rFonts w:ascii="Calibri" w:hAnsi="Calibri"/>
          <w:b w:val="0"/>
          <w:i w:val="0"/>
          <w:color w:val="000000"/>
          <w:sz w:val="22"/>
        </w:rPr>
        <w:t>The DM table should be read jointly with effect sizes. A negative statistic means lower squared loss for the proposed model; significance indicates evidence against equal predictive accuracy under the retrospective loss sequence. Multiple pairwise comparisons are reported transparently without treating nominal significance as proof of universal superiority.</w:t>
      </w:r>
    </w:p>
    <w:p>
      <w:pPr>
        <w:pStyle w:val="Heading1"/>
      </w:pPr>
      <w:r>
        <w:t>7. Interval forecasting and trading</w:t>
      </w:r>
    </w:p>
    <w:p>
      <w:pPr>
        <w:pStyle w:val="Heading2"/>
      </w:pPr>
      <w:r>
        <w:t>7.1 Interval calibration</w:t>
      </w:r>
    </w:p>
    <w:p>
      <w:pPr>
        <w:keepNext/>
        <w:spacing w:before="100" w:after="80"/>
      </w:pPr>
      <w:r>
        <w:rPr>
          <w:rFonts w:ascii="Calibri" w:hAnsi="Calibri"/>
          <w:b/>
          <w:i w:val="0"/>
          <w:color w:val="1F4D78"/>
          <w:sz w:val="18"/>
        </w:rPr>
        <w:t xml:space="preserve">Figure 11. </w:t>
      </w:r>
      <w:r>
        <w:rPr>
          <w:rFonts w:ascii="Calibri" w:hAnsi="Calibri"/>
          <w:b w:val="0"/>
          <w:i/>
          <w:color w:val="000000"/>
          <w:sz w:val="18"/>
        </w:rPr>
        <w:t>Retrospective 90% interval forecasts from the proposed model.</w:t>
      </w:r>
    </w:p>
    <w:p>
      <w:pPr>
        <w:spacing w:after="180"/>
        <w:jc w:val="center"/>
      </w:pPr>
      <w:r>
        <w:drawing>
          <wp:inline xmlns:a="http://schemas.openxmlformats.org/drawingml/2006/main" xmlns:pic="http://schemas.openxmlformats.org/drawingml/2006/picture">
            <wp:extent cx="5760720" cy="3774978"/>
            <wp:docPr id="11" name="Picture 11"/>
            <wp:cNvGraphicFramePr>
              <a:graphicFrameLocks noChangeAspect="1"/>
            </wp:cNvGraphicFramePr>
            <a:graphic>
              <a:graphicData uri="http://schemas.openxmlformats.org/drawingml/2006/picture">
                <pic:pic>
                  <pic:nvPicPr>
                    <pic:cNvPr id="0" name="fig11_intervals.png"/>
                    <pic:cNvPicPr/>
                  </pic:nvPicPr>
                  <pic:blipFill>
                    <a:blip r:embed="rId21"/>
                    <a:stretch>
                      <a:fillRect/>
                    </a:stretch>
                  </pic:blipFill>
                  <pic:spPr>
                    <a:xfrm>
                      <a:off x="0" y="0"/>
                      <a:ext cx="5760720" cy="3774978"/>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10. </w:t>
      </w:r>
      <w:r>
        <w:rPr>
          <w:rFonts w:ascii="Calibri" w:hAnsi="Calibri"/>
          <w:b w:val="0"/>
          <w:i/>
          <w:color w:val="000000"/>
          <w:sz w:val="18"/>
        </w:rPr>
        <w:t>Interval forecasting errors on the evaluation sets.</w:t>
      </w:r>
    </w:p>
    <w:tbl>
      <w:tblPr>
        <w:tblStyle w:val="TableGrid"/>
        <w:tblW w:type="dxa" w:w="13680"/>
        <w:jc w:val="left"/>
        <w:tblLayout w:type="fixed"/>
        <w:tblLook w:firstColumn="1" w:firstRow="1" w:lastColumn="0" w:lastRow="0" w:noHBand="0" w:noVBand="1" w:val="04A0"/>
        <w:tblInd w:w="120" w:type="dxa"/>
      </w:tblPr>
      <w:tblGrid>
        <w:gridCol w:w="2704"/>
        <w:gridCol w:w="3181"/>
        <w:gridCol w:w="1908"/>
        <w:gridCol w:w="1590"/>
        <w:gridCol w:w="2704"/>
        <w:gridCol w:w="1593"/>
      </w:tblGrid>
      <w:tr>
        <w:trPr>
          <w:tblHeader w:val="true"/>
        </w:trPr>
        <w:tc>
          <w:tcPr>
            <w:tcW w:type="dxa" w:w="2704"/>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3181"/>
            <w:shd w:fill="F4F6F9"/>
            <w:vAlign w:val="center"/>
            <w:tcMar>
              <w:top w:w="80" w:type="dxa"/>
              <w:bottom w:w="80" w:type="dxa"/>
              <w:start w:w="120" w:type="dxa"/>
              <w:end w:w="120" w:type="dxa"/>
            </w:tcMar>
          </w:tcPr>
          <w:p>
            <w:pPr>
              <w:jc w:val="center"/>
            </w:pPr>
            <w:r/>
            <w:r>
              <w:rPr>
                <w:rFonts w:ascii="Calibri" w:hAnsi="Calibri"/>
                <w:b/>
                <w:i w:val="0"/>
                <w:color w:val="0B2545"/>
                <w:sz w:val="12"/>
              </w:rPr>
              <w:t>Nominal Coverage (%)</w:t>
            </w:r>
          </w:p>
        </w:tc>
        <w:tc>
          <w:tcPr>
            <w:tcW w:type="dxa" w:w="1908"/>
            <w:shd w:fill="F4F6F9"/>
            <w:vAlign w:val="center"/>
            <w:tcMar>
              <w:top w:w="80" w:type="dxa"/>
              <w:bottom w:w="80" w:type="dxa"/>
              <w:start w:w="120" w:type="dxa"/>
              <w:end w:w="120" w:type="dxa"/>
            </w:tcMar>
          </w:tcPr>
          <w:p>
            <w:pPr>
              <w:jc w:val="center"/>
            </w:pPr>
            <w:r/>
            <w:r>
              <w:rPr>
                <w:rFonts w:ascii="Calibri" w:hAnsi="Calibri"/>
                <w:b/>
                <w:i w:val="0"/>
                <w:color w:val="0B2545"/>
                <w:sz w:val="12"/>
              </w:rPr>
              <w:t>Coverage (%)</w:t>
            </w:r>
          </w:p>
        </w:tc>
        <w:tc>
          <w:tcPr>
            <w:tcW w:type="dxa" w:w="1590"/>
            <w:shd w:fill="F4F6F9"/>
            <w:vAlign w:val="center"/>
            <w:tcMar>
              <w:top w:w="80" w:type="dxa"/>
              <w:bottom w:w="80" w:type="dxa"/>
              <w:start w:w="120" w:type="dxa"/>
              <w:end w:w="120" w:type="dxa"/>
            </w:tcMar>
          </w:tcPr>
          <w:p>
            <w:pPr>
              <w:jc w:val="center"/>
            </w:pPr>
            <w:r/>
            <w:r>
              <w:rPr>
                <w:rFonts w:ascii="Calibri" w:hAnsi="Calibri"/>
                <w:b/>
                <w:i w:val="0"/>
                <w:color w:val="0B2545"/>
                <w:sz w:val="12"/>
              </w:rPr>
              <w:t>Avg Width</w:t>
            </w:r>
          </w:p>
        </w:tc>
        <w:tc>
          <w:tcPr>
            <w:tcW w:type="dxa" w:w="2704"/>
            <w:shd w:fill="F4F6F9"/>
            <w:vAlign w:val="center"/>
            <w:tcMar>
              <w:top w:w="80" w:type="dxa"/>
              <w:bottom w:w="80" w:type="dxa"/>
              <w:start w:w="120" w:type="dxa"/>
              <w:end w:w="120" w:type="dxa"/>
            </w:tcMar>
          </w:tcPr>
          <w:p>
            <w:pPr>
              <w:jc w:val="center"/>
            </w:pPr>
            <w:r/>
            <w:r>
              <w:rPr>
                <w:rFonts w:ascii="Calibri" w:hAnsi="Calibri"/>
                <w:b/>
                <w:i w:val="0"/>
                <w:color w:val="0B2545"/>
                <w:sz w:val="12"/>
              </w:rPr>
              <w:t>Calibration Error</w:t>
            </w:r>
          </w:p>
        </w:tc>
        <w:tc>
          <w:tcPr>
            <w:tcW w:type="dxa" w:w="1593"/>
            <w:shd w:fill="F4F6F9"/>
            <w:vAlign w:val="center"/>
            <w:tcMar>
              <w:top w:w="80" w:type="dxa"/>
              <w:bottom w:w="80" w:type="dxa"/>
              <w:start w:w="120" w:type="dxa"/>
              <w:end w:w="120" w:type="dxa"/>
            </w:tcMar>
          </w:tcPr>
          <w:p>
            <w:pPr>
              <w:jc w:val="center"/>
            </w:pPr>
            <w:r/>
            <w:r>
              <w:rPr>
                <w:rFonts w:ascii="Calibri" w:hAnsi="Calibri"/>
                <w:b/>
                <w:i w:val="0"/>
                <w:color w:val="0B2545"/>
                <w:sz w:val="12"/>
              </w:rPr>
              <w:t>Winkler</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37.25</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2492.0765</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42.7451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13857.9544</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41.18</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2627.3844</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48.8235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24536.0747</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95.00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100.00</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28867.4598</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5.0000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28867.4598</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52.38</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0.3905</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27.6190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1.3457</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56.19</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0.4646</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33.8095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2.0439</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95.00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100.00</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1.5999</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5.0000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1.5999</w:t>
            </w:r>
          </w:p>
        </w:tc>
      </w:tr>
    </w:tbl>
    <w:p>
      <w:pPr>
        <w:spacing w:after="60"/>
      </w:pPr>
    </w:p>
    <w:p>
      <w:pPr>
        <w:pStyle w:val="Heading3"/>
      </w:pPr>
      <w:r>
        <w:t>Interpretation of Table 10</w:t>
      </w:r>
    </w:p>
    <w:p>
      <w:pPr>
        <w:spacing w:after="160" w:line="320" w:lineRule="auto"/>
        <w:jc w:val="both"/>
      </w:pPr>
      <w:r>
        <w:rPr>
          <w:rFonts w:ascii="Calibri" w:hAnsi="Calibri"/>
          <w:b/>
          <w:i w:val="0"/>
          <w:color w:val="000000"/>
          <w:sz w:val="22"/>
        </w:rPr>
        <w:t>Coverage evidence:</w:t>
      </w:r>
      <w:r>
        <w:rPr>
          <w:rFonts w:ascii="Calibri" w:hAnsi="Calibri"/>
          <w:b w:val="0"/>
          <w:i w:val="0"/>
          <w:color w:val="000000"/>
          <w:sz w:val="22"/>
        </w:rPr>
        <w:t xml:space="preserve"> Carbonate: 80% nominal -&gt; 37.25% realized, 90% nominal -&gt; 41.18% realized, 95% nominal -&gt; 100.00% realized Hydroxide: 80% nominal -&gt; 52.38% realized, 90% nominal -&gt; 56.19% realized, 95% nominal -&gt; 100.00% realized</w:t>
      </w:r>
    </w:p>
    <w:p>
      <w:pPr>
        <w:spacing w:after="160" w:line="320" w:lineRule="auto"/>
        <w:jc w:val="both"/>
      </w:pPr>
      <w:r>
        <w:rPr>
          <w:rFonts w:ascii="Calibri" w:hAnsi="Calibri"/>
          <w:b/>
          <w:i w:val="0"/>
          <w:color w:val="000000"/>
          <w:sz w:val="22"/>
        </w:rPr>
        <w:t>Coverage-width trade-off:</w:t>
      </w:r>
      <w:r>
        <w:rPr>
          <w:rFonts w:ascii="Calibri" w:hAnsi="Calibri"/>
          <w:b w:val="0"/>
          <w:i w:val="0"/>
          <w:color w:val="000000"/>
          <w:sz w:val="22"/>
        </w:rPr>
        <w:t xml:space="preserve"> Coverage must be read with average width and Winkler score. Near-complete coverage obtained through an extremely wide band is not sharp operational uncertainty.</w:t>
      </w:r>
    </w:p>
    <w:p>
      <w:pPr>
        <w:spacing w:after="160" w:line="320" w:lineRule="auto"/>
        <w:jc w:val="both"/>
      </w:pPr>
      <w:r>
        <w:rPr>
          <w:rFonts w:ascii="Calibri" w:hAnsi="Calibri"/>
          <w:b/>
          <w:i w:val="0"/>
          <w:color w:val="000000"/>
          <w:sz w:val="22"/>
        </w:rPr>
        <w:t>Implication:</w:t>
      </w:r>
      <w:r>
        <w:rPr>
          <w:rFonts w:ascii="Calibri" w:hAnsi="Calibri"/>
          <w:b w:val="0"/>
          <w:i w:val="0"/>
          <w:color w:val="000000"/>
          <w:sz w:val="22"/>
        </w:rPr>
        <w:t xml:space="preserve"> These static intervals are descriptive. Deployment requires historically updated calibration and conditional as well as marginal coverage diagnostics.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The 80% and 90% intervals materially under-cover both targets, while the 95% intervals obtain complete coverage only through extreme width. These results do not support a claim of calibrated operational uncertainty. They reveal residual instability after the fixed calibration segment and motivate rolling, historically updated conformal calibration in a real-time extension.</w:t>
      </w:r>
    </w:p>
    <w:p>
      <w:pPr>
        <w:pStyle w:val="Heading2"/>
      </w:pPr>
      <w:r>
        <w:t>7.2 Economic decision rule</w:t>
      </w:r>
    </w:p>
    <w:p>
      <w:pPr>
        <w:keepNext/>
        <w:spacing w:before="100" w:after="80"/>
      </w:pPr>
      <w:r>
        <w:rPr>
          <w:rFonts w:ascii="Calibri" w:hAnsi="Calibri"/>
          <w:b/>
          <w:i w:val="0"/>
          <w:color w:val="1F4D78"/>
          <w:sz w:val="18"/>
        </w:rPr>
        <w:t xml:space="preserve">Figure 12. </w:t>
      </w:r>
      <w:r>
        <w:rPr>
          <w:rFonts w:ascii="Calibri" w:hAnsi="Calibri"/>
          <w:b w:val="0"/>
          <w:i/>
          <w:color w:val="000000"/>
          <w:sz w:val="18"/>
        </w:rPr>
        <w:t>Graphical illustration of the two trading schemes and their uncertainty-filtered variants.</w:t>
      </w:r>
    </w:p>
    <w:p>
      <w:pPr>
        <w:spacing w:after="180"/>
        <w:jc w:val="center"/>
      </w:pPr>
      <w:r>
        <w:drawing>
          <wp:inline xmlns:a="http://schemas.openxmlformats.org/drawingml/2006/main" xmlns:pic="http://schemas.openxmlformats.org/drawingml/2006/picture">
            <wp:extent cx="5760720" cy="2228374"/>
            <wp:docPr id="12" name="Picture 12"/>
            <wp:cNvGraphicFramePr>
              <a:graphicFrameLocks noChangeAspect="1"/>
            </wp:cNvGraphicFramePr>
            <a:graphic>
              <a:graphicData uri="http://schemas.openxmlformats.org/drawingml/2006/picture">
                <pic:pic>
                  <pic:nvPicPr>
                    <pic:cNvPr id="0" name="fig12_trading.png"/>
                    <pic:cNvPicPr/>
                  </pic:nvPicPr>
                  <pic:blipFill>
                    <a:blip r:embed="rId22"/>
                    <a:stretch>
                      <a:fillRect/>
                    </a:stretch>
                  </pic:blipFill>
                  <pic:spPr>
                    <a:xfrm>
                      <a:off x="0" y="0"/>
                      <a:ext cx="5760720" cy="2228374"/>
                    </a:xfrm>
                    <a:prstGeom prst="rect"/>
                  </pic:spPr>
                </pic:pic>
              </a:graphicData>
            </a:graphic>
          </wp:inline>
        </w:drawing>
      </w:r>
    </w:p>
    <w:p>
      <w:pPr>
        <w:spacing w:after="160" w:line="320" w:lineRule="auto"/>
        <w:jc w:val="both"/>
      </w:pPr>
      <w:r>
        <w:rPr>
          <w:rFonts w:ascii="Calibri" w:hAnsi="Calibri"/>
          <w:b w:val="0"/>
          <w:i w:val="0"/>
          <w:color w:val="000000"/>
          <w:sz w:val="22"/>
        </w:rPr>
        <w:t>The uncertainty filter is an abstention rule, not a condition that the forecast lie inside its own interval. The unfiltered strategy trades whenever the forecasted change is nonzero. The filtered strategy trades only if |F[t] - P[t-1]| &gt; q90; otherwise it holds zero exposure. A blocked trade therefore occurs when the forecasted move is too small relative to calibrated error width. The realized price P[t] is used only to score the position after the decision and is not an input to the signal formula.</w:t>
      </w:r>
    </w:p>
    <w:p>
      <w:pPr>
        <w:pStyle w:val="Heading2"/>
      </w:pPr>
      <w:r>
        <w:t>7.3 Trading evidence and limits</w:t>
      </w:r>
    </w:p>
    <w:p>
      <w:pPr>
        <w:keepNext/>
        <w:spacing w:before="100" w:after="80"/>
      </w:pPr>
      <w:r>
        <w:rPr>
          <w:rFonts w:ascii="Calibri" w:hAnsi="Calibri"/>
          <w:b/>
          <w:i w:val="0"/>
          <w:color w:val="1F4D78"/>
          <w:sz w:val="18"/>
        </w:rPr>
        <w:t xml:space="preserve">Figure 13. </w:t>
      </w:r>
      <w:r>
        <w:rPr>
          <w:rFonts w:ascii="Calibri" w:hAnsi="Calibri"/>
          <w:b w:val="0"/>
          <w:i/>
          <w:color w:val="000000"/>
          <w:sz w:val="18"/>
        </w:rPr>
        <w:t>Mean trading Sharpe ratios across the two lithium targets under Scheme 2.</w:t>
      </w:r>
    </w:p>
    <w:p>
      <w:pPr>
        <w:spacing w:after="180"/>
        <w:jc w:val="center"/>
      </w:pPr>
      <w:r>
        <w:drawing>
          <wp:inline xmlns:a="http://schemas.openxmlformats.org/drawingml/2006/main" xmlns:pic="http://schemas.openxmlformats.org/drawingml/2006/picture">
            <wp:extent cx="5760720" cy="2962054"/>
            <wp:docPr id="13" name="Picture 13"/>
            <wp:cNvGraphicFramePr>
              <a:graphicFrameLocks noChangeAspect="1"/>
            </wp:cNvGraphicFramePr>
            <a:graphic>
              <a:graphicData uri="http://schemas.openxmlformats.org/drawingml/2006/picture">
                <pic:pic>
                  <pic:nvPicPr>
                    <pic:cNvPr id="0" name="fig13_trading.png"/>
                    <pic:cNvPicPr/>
                  </pic:nvPicPr>
                  <pic:blipFill>
                    <a:blip r:embed="rId23"/>
                    <a:stretch>
                      <a:fillRect/>
                    </a:stretch>
                  </pic:blipFill>
                  <pic:spPr>
                    <a:xfrm>
                      <a:off x="0" y="0"/>
                      <a:ext cx="5760720" cy="2962054"/>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11. </w:t>
      </w:r>
      <w:r>
        <w:rPr>
          <w:rFonts w:ascii="Calibri" w:hAnsi="Calibri"/>
          <w:b w:val="0"/>
          <w:i/>
          <w:color w:val="000000"/>
          <w:sz w:val="18"/>
        </w:rPr>
        <w:t>Performance of two trading schemes and their optimized versions based on decomposition-model forecasts.</w:t>
      </w:r>
    </w:p>
    <w:tbl>
      <w:tblPr>
        <w:tblStyle w:val="TableGrid"/>
        <w:tblW w:type="dxa" w:w="13680"/>
        <w:jc w:val="left"/>
        <w:tblLayout w:type="fixed"/>
        <w:tblLook w:firstColumn="1" w:firstRow="1" w:lastColumn="0" w:lastRow="0" w:noHBand="0" w:noVBand="1" w:val="04A0"/>
        <w:tblInd w:w="120" w:type="dxa"/>
      </w:tblPr>
      <w:tblGrid>
        <w:gridCol w:w="3577"/>
        <w:gridCol w:w="947"/>
        <w:gridCol w:w="2209"/>
        <w:gridCol w:w="2104"/>
        <w:gridCol w:w="1262"/>
        <w:gridCol w:w="2315"/>
        <w:gridCol w:w="1266"/>
      </w:tblGrid>
      <w:tr>
        <w:trPr>
          <w:tblHeader w:val="true"/>
        </w:trPr>
        <w:tc>
          <w:tcPr>
            <w:tcW w:type="dxa" w:w="3577"/>
            <w:shd w:fill="F4F6F9"/>
            <w:vAlign w:val="center"/>
            <w:tcMar>
              <w:top w:w="80" w:type="dxa"/>
              <w:bottom w:w="80" w:type="dxa"/>
              <w:start w:w="120" w:type="dxa"/>
              <w:end w:w="120" w:type="dxa"/>
            </w:tcMar>
          </w:tcPr>
          <w:p>
            <w:pPr>
              <w:jc w:val="center"/>
            </w:pPr>
            <w:r/>
            <w:r>
              <w:rPr>
                <w:rFonts w:ascii="Calibri" w:hAnsi="Calibri"/>
                <w:b/>
                <w:i w:val="0"/>
                <w:color w:val="0B2545"/>
                <w:sz w:val="11"/>
              </w:rPr>
              <w:t>Model</w:t>
            </w:r>
          </w:p>
        </w:tc>
        <w:tc>
          <w:tcPr>
            <w:tcW w:type="dxa" w:w="947"/>
            <w:shd w:fill="F4F6F9"/>
            <w:vAlign w:val="center"/>
            <w:tcMar>
              <w:top w:w="80" w:type="dxa"/>
              <w:bottom w:w="80" w:type="dxa"/>
              <w:start w:w="120" w:type="dxa"/>
              <w:end w:w="120" w:type="dxa"/>
            </w:tcMar>
          </w:tcPr>
          <w:p>
            <w:pPr>
              <w:jc w:val="center"/>
            </w:pPr>
            <w:r/>
            <w:r>
              <w:rPr>
                <w:rFonts w:ascii="Calibri" w:hAnsi="Calibri"/>
                <w:b/>
                <w:i w:val="0"/>
                <w:color w:val="0B2545"/>
                <w:sz w:val="11"/>
              </w:rPr>
              <w:t>Scheme</w:t>
            </w:r>
          </w:p>
        </w:tc>
        <w:tc>
          <w:tcPr>
            <w:tcW w:type="dxa" w:w="2209"/>
            <w:shd w:fill="F4F6F9"/>
            <w:vAlign w:val="center"/>
            <w:tcMar>
              <w:top w:w="80" w:type="dxa"/>
              <w:bottom w:w="80" w:type="dxa"/>
              <w:start w:w="120" w:type="dxa"/>
              <w:end w:w="120" w:type="dxa"/>
            </w:tcMar>
          </w:tcPr>
          <w:p>
            <w:pPr>
              <w:jc w:val="center"/>
            </w:pPr>
            <w:r/>
            <w:r>
              <w:rPr>
                <w:rFonts w:ascii="Calibri" w:hAnsi="Calibri"/>
                <w:b/>
                <w:i w:val="0"/>
                <w:color w:val="0B2545"/>
                <w:sz w:val="11"/>
              </w:rPr>
              <w:t>Cumulative Return (%)</w:t>
            </w:r>
          </w:p>
        </w:tc>
        <w:tc>
          <w:tcPr>
            <w:tcW w:type="dxa" w:w="2104"/>
            <w:shd w:fill="F4F6F9"/>
            <w:vAlign w:val="center"/>
            <w:tcMar>
              <w:top w:w="80" w:type="dxa"/>
              <w:bottom w:w="80" w:type="dxa"/>
              <w:start w:w="120" w:type="dxa"/>
              <w:end w:w="120" w:type="dxa"/>
            </w:tcMar>
          </w:tcPr>
          <w:p>
            <w:pPr>
              <w:jc w:val="center"/>
            </w:pPr>
            <w:r/>
            <w:r>
              <w:rPr>
                <w:rFonts w:ascii="Calibri" w:hAnsi="Calibri"/>
                <w:b/>
                <w:i w:val="0"/>
                <w:color w:val="0B2545"/>
                <w:sz w:val="11"/>
              </w:rPr>
              <w:t>Maximum Drawdown (%)</w:t>
            </w:r>
          </w:p>
        </w:tc>
        <w:tc>
          <w:tcPr>
            <w:tcW w:type="dxa" w:w="1262"/>
            <w:shd w:fill="F4F6F9"/>
            <w:vAlign w:val="center"/>
            <w:tcMar>
              <w:top w:w="80" w:type="dxa"/>
              <w:bottom w:w="80" w:type="dxa"/>
              <w:start w:w="120" w:type="dxa"/>
              <w:end w:w="120" w:type="dxa"/>
            </w:tcMar>
          </w:tcPr>
          <w:p>
            <w:pPr>
              <w:jc w:val="center"/>
            </w:pPr>
            <w:r/>
            <w:r>
              <w:rPr>
                <w:rFonts w:ascii="Calibri" w:hAnsi="Calibri"/>
                <w:b/>
                <w:i w:val="0"/>
                <w:color w:val="0B2545"/>
                <w:sz w:val="11"/>
              </w:rPr>
              <w:t>Sharpe Ratio</w:t>
            </w:r>
          </w:p>
        </w:tc>
        <w:tc>
          <w:tcPr>
            <w:tcW w:type="dxa" w:w="2315"/>
            <w:shd w:fill="F4F6F9"/>
            <w:vAlign w:val="center"/>
            <w:tcMar>
              <w:top w:w="80" w:type="dxa"/>
              <w:bottom w:w="80" w:type="dxa"/>
              <w:start w:w="120" w:type="dxa"/>
              <w:end w:w="120" w:type="dxa"/>
            </w:tcMar>
          </w:tcPr>
          <w:p>
            <w:pPr>
              <w:jc w:val="center"/>
            </w:pPr>
            <w:r/>
            <w:r>
              <w:rPr>
                <w:rFonts w:ascii="Calibri" w:hAnsi="Calibri"/>
                <w:b/>
                <w:i w:val="0"/>
                <w:color w:val="0B2545"/>
                <w:sz w:val="11"/>
              </w:rPr>
              <w:t>Number of Transactions</w:t>
            </w:r>
          </w:p>
        </w:tc>
        <w:tc>
          <w:tcPr>
            <w:tcW w:type="dxa" w:w="1266"/>
            <w:shd w:fill="F4F6F9"/>
            <w:vAlign w:val="center"/>
            <w:tcMar>
              <w:top w:w="80" w:type="dxa"/>
              <w:bottom w:w="80" w:type="dxa"/>
              <w:start w:w="120" w:type="dxa"/>
              <w:end w:w="120" w:type="dxa"/>
            </w:tcMar>
          </w:tcPr>
          <w:p>
            <w:pPr>
              <w:jc w:val="center"/>
            </w:pPr>
            <w:r/>
            <w:r>
              <w:rPr>
                <w:rFonts w:ascii="Calibri" w:hAnsi="Calibri"/>
                <w:b/>
                <w:i w:val="0"/>
                <w:color w:val="0B2545"/>
                <w:sz w:val="11"/>
              </w:rPr>
              <w:t>Hit Rate (%)</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332.30</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-4.34</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8.0045</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65.48</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284.56</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-1.98</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7.5317</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40.35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304.19</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-4.44</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7.6570</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65.48</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269.81</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-2.18</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7.3112</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40.35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161.66</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-11.54</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5.0441</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50.50</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28.81</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-1.10</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2.3397</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7.84</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153.80</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-11.64</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4.8664</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50.50</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27.35</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-1.20</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2.2594</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7.84</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237.79</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-7.49</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6.4150</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58.21</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198.19</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-6.71</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6.3402</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38.28</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228.26</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-7.69</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6.2383</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58.21</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190.10</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6.1848</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38.28</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Proposed Adaptive Decomposition-Routing Ensemble</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244.98</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-8.30</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6.1825</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53.25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Proposed Adaptive Decomposition-Routing Ensemble</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202.41</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-2.01</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5.9477</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31.02</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Proposed Adaptive Decomposition-Routing Ensemble</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227.02</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-9.01</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5.9350</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53.25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Proposed Adaptive Decomposition-Routing Ensemble</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189.53</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-2.52</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5.7235</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31.02</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336.83</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8.0988</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60.60</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240.37</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-3.24</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6.8754</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36.85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318.67</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-3.37</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7.8595</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60.60</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229.06</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-3.59</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6.6900</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36.85</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63.52</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-22.77</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1.4557</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39.13</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5.34</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1.3577</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1.96</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56.46</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-23.33</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1.2945</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20.5000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39.13</w:t>
            </w:r>
          </w:p>
        </w:tc>
      </w:tr>
      <w:tr>
        <w:tc>
          <w:tcPr>
            <w:tcW w:type="dxa" w:w="357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94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2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4.90</w:t>
            </w:r>
          </w:p>
        </w:tc>
        <w:tc>
          <w:tcPr>
            <w:tcW w:type="dxa" w:w="21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w:t>
            </w:r>
          </w:p>
        </w:tc>
        <w:tc>
          <w:tcPr>
            <w:tcW w:type="dxa" w:w="12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1.2862</w:t>
            </w:r>
          </w:p>
        </w:tc>
        <w:tc>
          <w:tcPr>
            <w:tcW w:type="dxa" w:w="23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1.96</w:t>
            </w:r>
          </w:p>
        </w:tc>
      </w:tr>
    </w:tbl>
    <w:p>
      <w:pPr>
        <w:spacing w:after="60"/>
      </w:pPr>
    </w:p>
    <w:p>
      <w:pPr>
        <w:pStyle w:val="Heading3"/>
      </w:pPr>
      <w:r>
        <w:t>Interpretation of Table 11</w:t>
      </w:r>
    </w:p>
    <w:p>
      <w:pPr>
        <w:spacing w:after="160" w:line="320" w:lineRule="auto"/>
        <w:jc w:val="both"/>
      </w:pPr>
      <w:r>
        <w:rPr>
          <w:rFonts w:ascii="Calibri" w:hAnsi="Calibri"/>
          <w:b/>
          <w:i w:val="0"/>
          <w:color w:val="000000"/>
          <w:sz w:val="22"/>
        </w:rPr>
        <w:t>Decomposition trading leader:</w:t>
      </w:r>
      <w:r>
        <w:rPr>
          <w:rFonts w:ascii="Calibri" w:hAnsi="Calibri"/>
          <w:b w:val="0"/>
          <w:i w:val="0"/>
          <w:color w:val="000000"/>
          <w:sz w:val="22"/>
        </w:rPr>
        <w:t xml:space="preserve"> Under cost-adjusted Scheme 2, VMD-ARIMA has the highest mean Sharpe (7.8595) and mean cumulative return 318.67%.</w:t>
      </w:r>
    </w:p>
    <w:p>
      <w:pPr>
        <w:spacing w:after="160" w:line="320" w:lineRule="auto"/>
        <w:jc w:val="both"/>
      </w:pPr>
      <w:r>
        <w:rPr>
          <w:rFonts w:ascii="Calibri" w:hAnsi="Calibri"/>
          <w:b/>
          <w:i w:val="0"/>
          <w:color w:val="000000"/>
          <w:sz w:val="22"/>
        </w:rPr>
        <w:t>Costs and filtering:</w:t>
      </w:r>
      <w:r>
        <w:rPr>
          <w:rFonts w:ascii="Calibri" w:hAnsi="Calibri"/>
          <w:b w:val="0"/>
          <w:i w:val="0"/>
          <w:color w:val="000000"/>
          <w:sz w:val="22"/>
        </w:rPr>
        <w:t xml:space="preserve"> Scheme 1 versus Scheme 2 isolates the turnover charge; primed versus unprimed rows isolate uncertainty abstention. Return, Sharpe and drawdown changes are interpreted separately.</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simulations inherit the retrospective forecast protocol and omit several implementation frictions. They are within-protocol economic diagnostics, not attainable live returns.</w:t>
      </w:r>
    </w:p>
    <w:p>
      <w:pPr>
        <w:keepNext/>
        <w:spacing w:before="100" w:after="80"/>
      </w:pPr>
      <w:r>
        <w:rPr>
          <w:rFonts w:ascii="Calibri" w:hAnsi="Calibri"/>
          <w:b/>
          <w:i w:val="0"/>
          <w:color w:val="1F4D78"/>
          <w:sz w:val="18"/>
        </w:rPr>
        <w:t xml:space="preserve">Table 12. </w:t>
      </w:r>
      <w:r>
        <w:rPr>
          <w:rFonts w:ascii="Calibri" w:hAnsi="Calibri"/>
          <w:b w:val="0"/>
          <w:i/>
          <w:color w:val="000000"/>
          <w:sz w:val="18"/>
        </w:rPr>
        <w:t>Performance of two trading schemes and their optimized versions based on single-model forecasts.</w:t>
      </w:r>
    </w:p>
    <w:tbl>
      <w:tblPr>
        <w:tblStyle w:val="TableGrid"/>
        <w:tblW w:type="dxa" w:w="13680"/>
        <w:jc w:val="left"/>
        <w:tblLayout w:type="fixed"/>
        <w:tblLook w:firstColumn="1" w:firstRow="1" w:lastColumn="0" w:lastRow="0" w:noHBand="0" w:noVBand="1" w:val="04A0"/>
        <w:tblInd w:w="120" w:type="dxa"/>
      </w:tblPr>
      <w:tblGrid>
        <w:gridCol w:w="929"/>
        <w:gridCol w:w="1195"/>
        <w:gridCol w:w="2789"/>
        <w:gridCol w:w="2656"/>
        <w:gridCol w:w="1593"/>
        <w:gridCol w:w="2921"/>
        <w:gridCol w:w="1597"/>
      </w:tblGrid>
      <w:tr>
        <w:trPr>
          <w:tblHeader w:val="true"/>
        </w:trPr>
        <w:tc>
          <w:tcPr>
            <w:tcW w:type="dxa" w:w="929"/>
            <w:shd w:fill="F4F6F9"/>
            <w:vAlign w:val="center"/>
            <w:tcMar>
              <w:top w:w="80" w:type="dxa"/>
              <w:bottom w:w="80" w:type="dxa"/>
              <w:start w:w="120" w:type="dxa"/>
              <w:end w:w="120" w:type="dxa"/>
            </w:tcMar>
          </w:tcPr>
          <w:p>
            <w:pPr>
              <w:jc w:val="center"/>
            </w:pPr>
            <w:r/>
            <w:r>
              <w:rPr>
                <w:rFonts w:ascii="Calibri" w:hAnsi="Calibri"/>
                <w:b/>
                <w:i w:val="0"/>
                <w:color w:val="0B2545"/>
                <w:sz w:val="11"/>
              </w:rPr>
              <w:t>Model</w:t>
            </w:r>
          </w:p>
        </w:tc>
        <w:tc>
          <w:tcPr>
            <w:tcW w:type="dxa" w:w="1195"/>
            <w:shd w:fill="F4F6F9"/>
            <w:vAlign w:val="center"/>
            <w:tcMar>
              <w:top w:w="80" w:type="dxa"/>
              <w:bottom w:w="80" w:type="dxa"/>
              <w:start w:w="120" w:type="dxa"/>
              <w:end w:w="120" w:type="dxa"/>
            </w:tcMar>
          </w:tcPr>
          <w:p>
            <w:pPr>
              <w:jc w:val="center"/>
            </w:pPr>
            <w:r/>
            <w:r>
              <w:rPr>
                <w:rFonts w:ascii="Calibri" w:hAnsi="Calibri"/>
                <w:b/>
                <w:i w:val="0"/>
                <w:color w:val="0B2545"/>
                <w:sz w:val="11"/>
              </w:rPr>
              <w:t>Scheme</w:t>
            </w:r>
          </w:p>
        </w:tc>
        <w:tc>
          <w:tcPr>
            <w:tcW w:type="dxa" w:w="2789"/>
            <w:shd w:fill="F4F6F9"/>
            <w:vAlign w:val="center"/>
            <w:tcMar>
              <w:top w:w="80" w:type="dxa"/>
              <w:bottom w:w="80" w:type="dxa"/>
              <w:start w:w="120" w:type="dxa"/>
              <w:end w:w="120" w:type="dxa"/>
            </w:tcMar>
          </w:tcPr>
          <w:p>
            <w:pPr>
              <w:jc w:val="center"/>
            </w:pPr>
            <w:r/>
            <w:r>
              <w:rPr>
                <w:rFonts w:ascii="Calibri" w:hAnsi="Calibri"/>
                <w:b/>
                <w:i w:val="0"/>
                <w:color w:val="0B2545"/>
                <w:sz w:val="11"/>
              </w:rPr>
              <w:t>Cumulative Return (%)</w:t>
            </w:r>
          </w:p>
        </w:tc>
        <w:tc>
          <w:tcPr>
            <w:tcW w:type="dxa" w:w="2656"/>
            <w:shd w:fill="F4F6F9"/>
            <w:vAlign w:val="center"/>
            <w:tcMar>
              <w:top w:w="80" w:type="dxa"/>
              <w:bottom w:w="80" w:type="dxa"/>
              <w:start w:w="120" w:type="dxa"/>
              <w:end w:w="120" w:type="dxa"/>
            </w:tcMar>
          </w:tcPr>
          <w:p>
            <w:pPr>
              <w:jc w:val="center"/>
            </w:pPr>
            <w:r/>
            <w:r>
              <w:rPr>
                <w:rFonts w:ascii="Calibri" w:hAnsi="Calibri"/>
                <w:b/>
                <w:i w:val="0"/>
                <w:color w:val="0B2545"/>
                <w:sz w:val="11"/>
              </w:rPr>
              <w:t>Maximum Drawdown (%)</w:t>
            </w:r>
          </w:p>
        </w:tc>
        <w:tc>
          <w:tcPr>
            <w:tcW w:type="dxa" w:w="1593"/>
            <w:shd w:fill="F4F6F9"/>
            <w:vAlign w:val="center"/>
            <w:tcMar>
              <w:top w:w="80" w:type="dxa"/>
              <w:bottom w:w="80" w:type="dxa"/>
              <w:start w:w="120" w:type="dxa"/>
              <w:end w:w="120" w:type="dxa"/>
            </w:tcMar>
          </w:tcPr>
          <w:p>
            <w:pPr>
              <w:jc w:val="center"/>
            </w:pPr>
            <w:r/>
            <w:r>
              <w:rPr>
                <w:rFonts w:ascii="Calibri" w:hAnsi="Calibri"/>
                <w:b/>
                <w:i w:val="0"/>
                <w:color w:val="0B2545"/>
                <w:sz w:val="11"/>
              </w:rPr>
              <w:t>Sharpe Ratio</w:t>
            </w:r>
          </w:p>
        </w:tc>
        <w:tc>
          <w:tcPr>
            <w:tcW w:type="dxa" w:w="2921"/>
            <w:shd w:fill="F4F6F9"/>
            <w:vAlign w:val="center"/>
            <w:tcMar>
              <w:top w:w="80" w:type="dxa"/>
              <w:bottom w:w="80" w:type="dxa"/>
              <w:start w:w="120" w:type="dxa"/>
              <w:end w:w="120" w:type="dxa"/>
            </w:tcMar>
          </w:tcPr>
          <w:p>
            <w:pPr>
              <w:jc w:val="center"/>
            </w:pPr>
            <w:r/>
            <w:r>
              <w:rPr>
                <w:rFonts w:ascii="Calibri" w:hAnsi="Calibri"/>
                <w:b/>
                <w:i w:val="0"/>
                <w:color w:val="0B2545"/>
                <w:sz w:val="11"/>
              </w:rPr>
              <w:t>Number of Transactions</w:t>
            </w:r>
          </w:p>
        </w:tc>
        <w:tc>
          <w:tcPr>
            <w:tcW w:type="dxa" w:w="1597"/>
            <w:shd w:fill="F4F6F9"/>
            <w:vAlign w:val="center"/>
            <w:tcMar>
              <w:top w:w="80" w:type="dxa"/>
              <w:bottom w:w="80" w:type="dxa"/>
              <w:start w:w="120" w:type="dxa"/>
              <w:end w:w="120" w:type="dxa"/>
            </w:tcMar>
          </w:tcPr>
          <w:p>
            <w:pPr>
              <w:jc w:val="center"/>
            </w:pPr>
            <w:r/>
            <w:r>
              <w:rPr>
                <w:rFonts w:ascii="Calibri" w:hAnsi="Calibri"/>
                <w:b/>
                <w:i w:val="0"/>
                <w:color w:val="0B2545"/>
                <w:sz w:val="11"/>
              </w:rPr>
              <w:t>Hit Rate (%)</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173.96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-8.84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5.0752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55.29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68.09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-5.45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3.8712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162.16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-9.12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4.8419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55.29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64.00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-5.69</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3.6666</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28.70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-38.35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1.3685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45.21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38.67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-32.84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2.0662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32.20</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27.21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1.2887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45.21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36.40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-33.48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1.9759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32.20</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26.39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-45.01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0.9999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44.26</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27.41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1.0830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-45.01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0.9951</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44.26</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27.24</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1.0747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48.42</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-29.64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1.0130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43.61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0.5242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-29.81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0.9009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43.61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-13.48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0.3963</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86.64</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3.2583</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49.97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51.91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2.5524</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26.18</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3.2216</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49.97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49.59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-8.69</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2.4465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26.18</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74.35</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2.3810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46.04</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17.09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-15.92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1.0037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71.78</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2.3151</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46.04</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15.87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0.9425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140.37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-13.62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4.0987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53.35</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58.89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-0.46</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4.4424</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135.82</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-13.80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4.0019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53.35</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57.66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4.3905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13.17</w:t>
            </w:r>
          </w:p>
        </w:tc>
      </w:tr>
    </w:tbl>
    <w:p>
      <w:pPr>
        <w:spacing w:after="60"/>
      </w:pPr>
    </w:p>
    <w:p>
      <w:pPr>
        <w:pStyle w:val="Heading3"/>
      </w:pPr>
      <w:r>
        <w:t>Interpretation of Table 12</w:t>
      </w:r>
    </w:p>
    <w:p>
      <w:pPr>
        <w:spacing w:after="160" w:line="320" w:lineRule="auto"/>
        <w:jc w:val="both"/>
      </w:pPr>
      <w:r>
        <w:rPr>
          <w:rFonts w:ascii="Calibri" w:hAnsi="Calibri"/>
          <w:b/>
          <w:i w:val="0"/>
          <w:color w:val="000000"/>
          <w:sz w:val="22"/>
        </w:rPr>
        <w:t>Single-model leader:</w:t>
      </w:r>
      <w:r>
        <w:rPr>
          <w:rFonts w:ascii="Calibri" w:hAnsi="Calibri"/>
          <w:b w:val="0"/>
          <w:i w:val="0"/>
          <w:color w:val="000000"/>
          <w:sz w:val="22"/>
        </w:rPr>
        <w:t xml:space="preserve"> Under cost-adjusted Scheme 2, ARIMA has the highest mean single-model Sharpe (4.8419) and mean cumulative return 162.16%.</w:t>
      </w:r>
    </w:p>
    <w:p>
      <w:pPr>
        <w:spacing w:after="160" w:line="320" w:lineRule="auto"/>
        <w:jc w:val="both"/>
      </w:pPr>
      <w:r>
        <w:rPr>
          <w:rFonts w:ascii="Calibri" w:hAnsi="Calibri"/>
          <w:b/>
          <w:i w:val="0"/>
          <w:color w:val="000000"/>
          <w:sz w:val="22"/>
        </w:rPr>
        <w:t>Risk-return trade-off:</w:t>
      </w:r>
      <w:r>
        <w:rPr>
          <w:rFonts w:ascii="Calibri" w:hAnsi="Calibri"/>
          <w:b w:val="0"/>
          <w:i w:val="0"/>
          <w:color w:val="000000"/>
          <w:sz w:val="22"/>
        </w:rPr>
        <w:t xml:space="preserve"> The primed rows reveal whether abstention changes return, maximum drawdown and Sharpe in the same direction. Mixed signs are reported as a trade-off rather than automatic downside protection.</w:t>
      </w:r>
    </w:p>
    <w:p>
      <w:pPr>
        <w:spacing w:after="160" w:line="320" w:lineRule="auto"/>
        <w:jc w:val="both"/>
      </w:pPr>
      <w:r>
        <w:rPr>
          <w:rFonts w:ascii="Calibri" w:hAnsi="Calibri"/>
          <w:b/>
          <w:i w:val="0"/>
          <w:color w:val="000000"/>
          <w:sz w:val="22"/>
        </w:rPr>
        <w:t>Comparison with Table 11:</w:t>
      </w:r>
      <w:r>
        <w:rPr>
          <w:rFonts w:ascii="Calibri" w:hAnsi="Calibri"/>
          <w:b w:val="0"/>
          <w:i w:val="0"/>
          <w:color w:val="000000"/>
          <w:sz w:val="22"/>
        </w:rPr>
        <w:t xml:space="preserve"> Differences between the best decomposition and single strategies cannot be separated from the noncausal decomposition/filtering choices. Both tables are within-protocol benchmarks.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For carbonate, gating changes cost-adjusted return from 221.53% to 198.48%, Sharpe from 7.52 to 7.64, and maximum drawdown from -13.68% to -3.02%. For hydroxide, gating changes cost-adjusted return from 232.50% to 180.59%, Sharpe from 4.35 to 3.81, and maximum drawdown from -4.35% to -2.03%. These target-specific changes determine whether downside protection improved; the manuscript makes no general gating claim unless both targets support it.</w:t>
      </w:r>
    </w:p>
    <w:p>
      <w:pPr>
        <w:spacing w:after="160" w:line="320" w:lineRule="auto"/>
        <w:jc w:val="both"/>
      </w:pPr>
      <w:r>
        <w:rPr>
          <w:rFonts w:ascii="Calibri" w:hAnsi="Calibri"/>
          <w:b w:val="0"/>
          <w:i w:val="0"/>
          <w:color w:val="000000"/>
          <w:sz w:val="22"/>
        </w:rPr>
        <w:t>Intervals and trading remain linked in a coherent way, but coherence is not validation. Static residual calibration and noncausal forecast construction preclude operational coverage and performance claims. Trading results can appear economically large because observed-test filtering responds to information inside the test set. The calculations quantify the method only inside the declared retrospective experiment and must not be read as investable performance estimates.</w:t>
      </w:r>
    </w:p>
    <w:p>
      <w:pPr>
        <w:pStyle w:val="Heading2"/>
      </w:pPr>
      <w:r>
        <w:t>7.4 Benchmark-relative and factor-adjusted attribution</w:t>
      </w:r>
    </w:p>
    <w:p>
      <w:pPr>
        <w:spacing w:after="160" w:line="320" w:lineRule="auto"/>
        <w:jc w:val="both"/>
      </w:pPr>
      <w:r>
        <w:rPr>
          <w:rFonts w:ascii="Calibri" w:hAnsi="Calibri"/>
          <w:b w:val="0"/>
          <w:i w:val="0"/>
          <w:color w:val="000000"/>
          <w:sz w:val="22"/>
        </w:rPr>
        <w:t>Appendix Table A1 compares every proposed-model scheme with a passive long position over the same evaluation dates. It also reports a descriptive daily regression of strategy returns on the underlying lithium return, S&amp;P 500 return, MVIS critical-minerals return, US dollar return, and VIX change. Newey-West/HAC standard errors use five lags. The annualized intercept is labelled factor alpha for compactness, but-because the strategy forecast is noncausal-it is a retrospective residual-return statistic, not evidence of tradable abnormal performance.</w:t>
      </w:r>
    </w:p>
    <w:p>
      <w:pPr>
        <w:pStyle w:val="Heading1"/>
      </w:pPr>
      <w:r>
        <w:t>8. Discussion</w:t>
      </w:r>
    </w:p>
    <w:p>
      <w:pPr>
        <w:spacing w:after="160" w:line="320" w:lineRule="auto"/>
        <w:jc w:val="both"/>
      </w:pPr>
      <w:r>
        <w:rPr>
          <w:rFonts w:ascii="Calibri" w:hAnsi="Calibri"/>
          <w:b w:val="0"/>
          <w:i w:val="0"/>
          <w:color w:val="000000"/>
          <w:sz w:val="22"/>
        </w:rPr>
        <w:t>The lithium application supports decomposition while rejecting universal fixed routing. The adaptive design converts decomposition heterogeneity into an explicit development decision: component forecasters and convex candidate weights are chosen before the final test. The resulting locked-test ranking, rather than architectural complexity, determines the supported forecasting claim.</w:t>
      </w:r>
    </w:p>
    <w:p>
      <w:pPr>
        <w:spacing w:after="160" w:line="320" w:lineRule="auto"/>
        <w:jc w:val="both"/>
      </w:pPr>
      <w:r>
        <w:rPr>
          <w:rFonts w:ascii="Calibri" w:hAnsi="Calibri"/>
          <w:b w:val="0"/>
          <w:i w:val="0"/>
          <w:color w:val="000000"/>
          <w:sz w:val="22"/>
        </w:rPr>
        <w:t>The multimodal blocks have coherent economic roles. Cross-lithium prices describe substitution and product-market linkage; producer equities capture listed-market expectations; search attention proxies information demand; lithium-specific headlines measure information volume and tone; MVIS and broad controls capture sector and risk conditions. These variables enrich the information set without redefining the target as an equity forecast.</w:t>
      </w:r>
    </w:p>
    <w:p>
      <w:pPr>
        <w:pStyle w:val="Heading2"/>
      </w:pPr>
      <w:r>
        <w:t>8.1 Finance interpretation</w:t>
      </w:r>
    </w:p>
    <w:p>
      <w:pPr>
        <w:spacing w:after="160" w:line="320" w:lineRule="auto"/>
        <w:jc w:val="both"/>
      </w:pPr>
      <w:r>
        <w:rPr>
          <w:rFonts w:ascii="Calibri" w:hAnsi="Calibri"/>
          <w:b w:val="0"/>
          <w:i w:val="0"/>
          <w:color w:val="000000"/>
          <w:sz w:val="22"/>
        </w:rPr>
        <w:t>The finance contribution lies in the joint treatment of physical-price linkage and financial information transmission. The other lithium product captures cross-product price discovery; Albemarle and Ganfeng provide forward-looking producer-equity signals; search and news variables proxy attention and narrative; MVIS and macro controls represent sector and risk conditions. Mode-specific selection shows where these information families enter the fitted system, but it does not identify structural causality. The evidence is therefore about conditional information content within a forecasting design, not about a causal channel from sentiment or equities to lithium prices.</w:t>
      </w:r>
    </w:p>
    <w:p>
      <w:pPr>
        <w:spacing w:after="160" w:line="320" w:lineRule="auto"/>
        <w:jc w:val="both"/>
      </w:pPr>
      <w:r>
        <w:rPr>
          <w:rFonts w:ascii="Calibri" w:hAnsi="Calibri"/>
          <w:b w:val="0"/>
          <w:i w:val="0"/>
          <w:color w:val="000000"/>
          <w:sz w:val="22"/>
        </w:rPr>
        <w:t>A second contribution is model-risk evidence. The empirical winner changes by commodity, metric, and decomposition family; interval calibration fails at central coverage levels; and abstention does not reliably improve drawdown or Sharpe. These findings matter for commodity finance because forecast accuracy, uncertainty quality, and portfolio utility are distinct objects. A model should not be called financially superior because it wins one error column or produces a large simulated cumulative return.</w:t>
      </w:r>
    </w:p>
    <w:p>
      <w:pPr>
        <w:pStyle w:val="Heading2"/>
      </w:pPr>
      <w:r>
        <w:t>8.2 Research-integrity limitation</w:t>
      </w:r>
    </w:p>
    <w:p>
      <w:pPr>
        <w:spacing w:after="160" w:line="320" w:lineRule="auto"/>
        <w:jc w:val="both"/>
      </w:pPr>
      <w:r>
        <w:rPr>
          <w:rFonts w:ascii="Calibri" w:hAnsi="Calibri"/>
          <w:b w:val="0"/>
          <w:i w:val="0"/>
          <w:color w:val="000000"/>
          <w:sz w:val="22"/>
        </w:rPr>
        <w:t>The defining limitation is evaluation timing. Full-sample VMD and CEEMDAN use the entire target path to estimate modes. The released-style ARIMA path applies a fitted model to the observed testing target and reports filtered fitted values. Global preprocessing and static feature selection can also incorporate test-distribution information. Consequently, the headline errors, intervals, DM tests, and trading statistics answer a retrospective reconstruction question. A separate causal walk-forward analysis is required before making genuine out-of-sample or deployability claims.</w:t>
      </w:r>
    </w:p>
    <w:p>
      <w:pPr>
        <w:spacing w:after="160" w:line="320" w:lineRule="auto"/>
        <w:jc w:val="both"/>
      </w:pPr>
      <w:r>
        <w:rPr>
          <w:rFonts w:ascii="Calibri" w:hAnsi="Calibri"/>
          <w:b w:val="0"/>
          <w:i w:val="0"/>
          <w:color w:val="000000"/>
          <w:sz w:val="22"/>
        </w:rPr>
        <w:t>Additional limitations include a short post-2023 common sample, differing price units and market microstructure, potential continuation-series roll effects, daily aggregation of sparse news, Google Trends normalization, and the absence of inventories, physical premia, freight, conversion margins, contract-level liquidity, financing, and implementable shorting assumptions. The two equity signals are not exhaustive representations of global lithium supply. Benchmark-relative and factor-adjusted calculations cannot repair noncausal forecasts; they only make the economic comparison more transparent.</w:t>
      </w:r>
    </w:p>
    <w:p>
      <w:pPr>
        <w:pStyle w:val="Heading2"/>
      </w:pPr>
      <w:r>
        <w:t>8.3 Claim-evidence discipline</w:t>
      </w:r>
    </w:p>
    <w:p>
      <w:pPr>
        <w:spacing w:after="160" w:line="320" w:lineRule="auto"/>
        <w:jc w:val="both"/>
      </w:pPr>
      <w:r>
        <w:rPr>
          <w:rFonts w:ascii="Calibri" w:hAnsi="Calibri"/>
          <w:b w:val="0"/>
          <w:i w:val="0"/>
          <w:color w:val="000000"/>
          <w:sz w:val="22"/>
        </w:rPr>
        <w:t>The matrix below converts the manuscript's central conclusions into explicit evidence gates. It prevents an architectural description, one favorable error column, a blocked-trade count, or a large simulated return from silently becoming a broader claim.</w:t>
      </w:r>
    </w:p>
    <w:p>
      <w:r>
        <w:rPr>
          <w:rFonts w:ascii="Calibri" w:hAnsi="Calibri"/>
          <w:b/>
          <w:i w:val="0"/>
          <w:color w:val="1F4D78"/>
          <w:sz w:val="20"/>
        </w:rPr>
        <w:t>Claim-evidence matrix</w:t>
      </w:r>
    </w:p>
    <w:tbl>
      <w:tblPr>
        <w:tblStyle w:val="TableGrid"/>
        <w:tblW w:type="dxa" w:w="9360"/>
        <w:jc w:val="left"/>
        <w:tblLayout w:type="fixed"/>
        <w:tblLook w:firstColumn="1" w:firstRow="1" w:lastColumn="0" w:lastRow="0" w:noHBand="0" w:noVBand="1" w:val="04A0"/>
        <w:tblInd w:w="120" w:type="dxa"/>
      </w:tblPr>
      <w:tblGrid>
        <w:gridCol w:w="2365"/>
        <w:gridCol w:w="3497"/>
        <w:gridCol w:w="3498"/>
      </w:tblGrid>
      <w:tr>
        <w:trPr>
          <w:tblHeader w:val="true"/>
        </w:trPr>
        <w:tc>
          <w:tcPr>
            <w:tcW w:type="dxa" w:w="2365"/>
            <w:shd w:fill="F4F6F9"/>
            <w:vAlign w:val="center"/>
            <w:tcMar>
              <w:top w:w="80" w:type="dxa"/>
              <w:bottom w:w="80" w:type="dxa"/>
              <w:start w:w="120" w:type="dxa"/>
              <w:end w:w="120" w:type="dxa"/>
            </w:tcMar>
          </w:tcPr>
          <w:p>
            <w:pPr>
              <w:jc w:val="center"/>
            </w:pPr>
            <w:r/>
            <w:r>
              <w:rPr>
                <w:rFonts w:ascii="Calibri" w:hAnsi="Calibri"/>
                <w:b/>
                <w:i w:val="0"/>
                <w:color w:val="0B2545"/>
                <w:sz w:val="13"/>
              </w:rPr>
              <w:t>Claim domain</w:t>
            </w:r>
          </w:p>
        </w:tc>
        <w:tc>
          <w:tcPr>
            <w:tcW w:type="dxa" w:w="3497"/>
            <w:shd w:fill="F4F6F9"/>
            <w:vAlign w:val="center"/>
            <w:tcMar>
              <w:top w:w="80" w:type="dxa"/>
              <w:bottom w:w="80" w:type="dxa"/>
              <w:start w:w="120" w:type="dxa"/>
              <w:end w:w="120" w:type="dxa"/>
            </w:tcMar>
          </w:tcPr>
          <w:p>
            <w:pPr>
              <w:jc w:val="center"/>
            </w:pPr>
            <w:r/>
            <w:r>
              <w:rPr>
                <w:rFonts w:ascii="Calibri" w:hAnsi="Calibri"/>
                <w:b/>
                <w:i w:val="0"/>
                <w:color w:val="0B2545"/>
                <w:sz w:val="13"/>
              </w:rPr>
              <w:t>Required evidence</w:t>
            </w:r>
          </w:p>
        </w:tc>
        <w:tc>
          <w:tcPr>
            <w:tcW w:type="dxa" w:w="3498"/>
            <w:shd w:fill="F4F6F9"/>
            <w:vAlign w:val="center"/>
            <w:tcMar>
              <w:top w:w="80" w:type="dxa"/>
              <w:bottom w:w="80" w:type="dxa"/>
              <w:start w:w="120" w:type="dxa"/>
              <w:end w:w="120" w:type="dxa"/>
            </w:tcMar>
          </w:tcPr>
          <w:p>
            <w:pPr>
              <w:jc w:val="center"/>
            </w:pPr>
            <w:r/>
            <w:r>
              <w:rPr>
                <w:rFonts w:ascii="Calibri" w:hAnsi="Calibri"/>
                <w:b/>
                <w:i w:val="0"/>
                <w:color w:val="0B2545"/>
                <w:sz w:val="13"/>
              </w:rPr>
              <w:t>Supported conclusion</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Forecasting superiority</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Tables 7-9; locked RMSE/MAE gate; DM loss tests</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The adaptive model does not clear the pre-specified dual-target RMSE-and-MAE gate; claims must remain target- and metric-specific.</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Interval trading rule</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Signal is nonzero only when |F[t]-P[t-1]| exceeds q90</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The rule is coherent; the origin price, not the interval center, determines abstention.</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Downside protection</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Table 11 target-specific Scheme 2 versus Scheme 2'</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carbonate: Sharpe 7.52-&gt;7.64; MDD -13.68%-&gt;-3.02%; hydroxide: Sharpe 4.35-&gt;3.81; MDD -4.35%-&gt;-2.03%. No systematic benefit is asserted unless both targets improve.</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Real-time validity</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Implementation audit matrix and timestamped forecast ledger</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Full-sample decomposition and observed-test filtering are noncausal; results are retrospective.</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Economic significance</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Matched buy-and-hold and five-factor HAC attribution</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Returns and alpha are descriptive within-protocol quantities, not implementable abnormal performance.</w:t>
            </w:r>
          </w:p>
        </w:tc>
      </w:tr>
      <w:tr>
        <w:tc>
          <w:tcPr>
            <w:tcW w:type="dxa" w:w="236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Finance contribution</w:t>
            </w:r>
          </w:p>
        </w:tc>
        <w:tc>
          <w:tcPr>
            <w:tcW w:type="dxa" w:w="34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Two linked lithium prices plus cross-product, equity, attention, news, sector and risk blocks</w:t>
            </w:r>
          </w:p>
        </w:tc>
        <w:tc>
          <w:tcPr>
            <w:tcW w:type="dxa" w:w="349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Contribution is adaptive information routing and model-risk evidence in linked lithium markets.</w:t>
            </w:r>
          </w:p>
        </w:tc>
      </w:tr>
    </w:tbl>
    <w:p>
      <w:pPr>
        <w:spacing w:after="60"/>
      </w:pPr>
    </w:p>
    <w:p>
      <w:pPr>
        <w:pStyle w:val="Heading1"/>
      </w:pPr>
      <w:r>
        <w:t>9. Conclusion</w:t>
      </w:r>
    </w:p>
    <w:p>
      <w:pPr>
        <w:spacing w:after="160" w:line="320" w:lineRule="auto"/>
        <w:jc w:val="both"/>
      </w:pPr>
      <w:r>
        <w:rPr>
          <w:rFonts w:ascii="Calibri" w:hAnsi="Calibri"/>
          <w:b w:val="0"/>
          <w:i w:val="0"/>
          <w:color w:val="000000"/>
          <w:sz w:val="22"/>
        </w:rPr>
        <w:t>This study develops an end-to-end adaptive multimodal lithium-price forecasting method and evaluates it through twelve main tables, thirteen figures, complete machine-readable ledgers, and a benchmark-relative economic appendix. It constructs a lithium-specific database, evaluates two quoted prices, retains the fixed reference-style architecture as a comparator, selects component routes and candidate weights on development data, tests predictive-loss differences, reports interval calibration, defines a reproducible uncertainty gate, and translates forecasts into cost-adjusted trading schemes. The adaptive model does not clear the pre-specified dual-target RMSE-and-MAE gate; claims must remain target- and metric-specific. The trading rule is coherent but its risk effect is reported target by target. Large simulated returns remain retrospective and noncausal even after factor adjustment. The finance contribution is adaptive information routing and transparent model-risk evidence in linked lithium markets, not an unsupported assertion that complexity guarantees deployable alpha.</w:t>
      </w:r>
    </w:p>
    <w:p>
      <w:pPr>
        <w:pStyle w:val="Heading1"/>
      </w:pPr>
      <w:r>
        <w:t>References</w:t>
      </w:r>
    </w:p>
    <w:p>
      <w:pPr>
        <w:spacing w:after="80"/>
        <w:ind w:left="360" w:hanging="360"/>
      </w:pPr>
      <w:r>
        <w:rPr>
          <w:rFonts w:ascii="Calibri" w:hAnsi="Calibri"/>
          <w:b w:val="0"/>
          <w:i w:val="0"/>
          <w:color w:val="000000"/>
          <w:sz w:val="19"/>
        </w:rPr>
        <w:t>Diebold, F. X., &amp; Mariano, R. S. (1995). Comparing predictive accuracy. Journal of Business &amp; Economic Statistics, 13(3), 253–263.</w:t>
      </w:r>
    </w:p>
    <w:p>
      <w:pPr>
        <w:spacing w:after="80"/>
        <w:ind w:left="360" w:hanging="360"/>
      </w:pPr>
      <w:r>
        <w:rPr>
          <w:rFonts w:ascii="Calibri" w:hAnsi="Calibri"/>
          <w:b w:val="0"/>
          <w:i w:val="0"/>
          <w:color w:val="000000"/>
          <w:sz w:val="19"/>
        </w:rPr>
        <w:t>Dragomiretskiy, K., &amp; Zosso, D. (2014). Variational mode decomposition. IEEE Transactions on Signal Processing, 62(3), 531–544.</w:t>
      </w:r>
    </w:p>
    <w:p>
      <w:pPr>
        <w:spacing w:after="80"/>
        <w:ind w:left="360" w:hanging="360"/>
      </w:pPr>
      <w:r>
        <w:rPr>
          <w:rFonts w:ascii="Calibri" w:hAnsi="Calibri"/>
          <w:b w:val="0"/>
          <w:i w:val="0"/>
          <w:color w:val="000000"/>
          <w:sz w:val="19"/>
        </w:rPr>
        <w:t>Hochreiter, S., &amp; Schmidhuber, J. (1997). Long short-term memory. Neural Computation, 9(8), 1735–1780.</w:t>
      </w:r>
    </w:p>
    <w:p>
      <w:pPr>
        <w:spacing w:after="80"/>
        <w:ind w:left="360" w:hanging="360"/>
      </w:pPr>
      <w:r>
        <w:rPr>
          <w:rFonts w:ascii="Calibri" w:hAnsi="Calibri"/>
          <w:b w:val="0"/>
          <w:i w:val="0"/>
          <w:color w:val="000000"/>
          <w:sz w:val="19"/>
        </w:rPr>
        <w:t>Box, G. E. P., Jenkins, G. M., Reinsel, G. C., &amp; Ljung, G. M. (2015). Time Series Analysis: Forecasting and Control (5th ed.). Wiley.</w:t>
      </w:r>
    </w:p>
    <w:p>
      <w:pPr>
        <w:spacing w:after="80"/>
        <w:ind w:left="360" w:hanging="360"/>
      </w:pPr>
      <w:r>
        <w:rPr>
          <w:rFonts w:ascii="Calibri" w:hAnsi="Calibri"/>
          <w:b w:val="0"/>
          <w:i w:val="0"/>
          <w:color w:val="000000"/>
          <w:sz w:val="19"/>
        </w:rPr>
        <w:t>Tibshirani, R. (1996). Regression shrinkage and selection via the lasso. Journal of the Royal Statistical Society: Series B, 58(1), 267–288.</w:t>
      </w:r>
    </w:p>
    <w:p>
      <w:pPr>
        <w:spacing w:after="80"/>
        <w:ind w:left="360" w:hanging="360"/>
      </w:pPr>
      <w:r>
        <w:rPr>
          <w:rFonts w:ascii="Calibri" w:hAnsi="Calibri"/>
          <w:b w:val="0"/>
          <w:i w:val="0"/>
          <w:color w:val="000000"/>
          <w:sz w:val="19"/>
        </w:rPr>
        <w:t>Torres, M. E., Colominas, M. A., Schlotthauer, G., &amp; Flandrin, P. (2011). A complete ensemble empirical mode decomposition with adaptive noise. Proceedings of ICASSP, 4144–4147.</w:t>
      </w:r>
    </w:p>
    <w:p>
      <w:pPr>
        <w:spacing w:after="80"/>
        <w:ind w:left="360" w:hanging="360"/>
      </w:pPr>
      <w:r>
        <w:rPr>
          <w:rFonts w:ascii="Calibri" w:hAnsi="Calibri"/>
          <w:b w:val="0"/>
          <w:i w:val="0"/>
          <w:color w:val="000000"/>
          <w:sz w:val="19"/>
        </w:rPr>
        <w:t>Data sources: project-supplied COMEX and SMM workbooks; Yahoo Finance market and equity histories; Google Trends; MediaCloud; and MVIS. Checksums and complete machine-readable ledgers accompany the manuscript.</w:t>
      </w:r>
    </w:p>
    <w:p>
      <w:pPr>
        <w:pStyle w:val="Heading1"/>
      </w:pPr>
      <w:r>
        <w:t>Appendix: reproducibility and robustness</w:t>
      </w:r>
    </w:p>
    <w:p>
      <w:pPr>
        <w:spacing w:after="160" w:line="320" w:lineRule="auto"/>
        <w:jc w:val="both"/>
      </w:pPr>
      <w:r>
        <w:rPr>
          <w:rFonts w:ascii="Calibri" w:hAnsi="Calibri"/>
          <w:b w:val="0"/>
          <w:i w:val="0"/>
          <w:color w:val="000000"/>
          <w:sz w:val="22"/>
        </w:rPr>
        <w:t>The companion appendix_ledgers directory contains every publication-facing forecast, metric, DM comparison, interval observation, interval metric, trading result, mode-level selection, component summary, adaptive candidate score, component route, and validation verdict. The asset manifest records the empirical run identifier, protocol classification, captions, adaptive selections, and SHA-256 checksums. The exported ledgers use the same seven single-model and six decomposition-model comparison set reported in the manuscript.</w:t>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Appendix Table A1. </w:t>
      </w:r>
      <w:r>
        <w:rPr>
          <w:rFonts w:ascii="Calibri" w:hAnsi="Calibri"/>
          <w:b w:val="0"/>
          <w:i/>
          <w:color w:val="000000"/>
          <w:sz w:val="18"/>
        </w:rPr>
        <w:t>Benchmark-relative and descriptive factor-adjusted performance of the proposed trading schemes.</w:t>
      </w:r>
    </w:p>
    <w:tbl>
      <w:tblPr>
        <w:tblStyle w:val="TableGrid"/>
        <w:tblW w:type="dxa" w:w="13680"/>
        <w:jc w:val="left"/>
        <w:tblLayout w:type="fixed"/>
        <w:tblLook w:firstColumn="1" w:firstRow="1" w:lastColumn="0" w:lastRow="0" w:noHBand="0" w:noVBand="1" w:val="04A0"/>
        <w:tblInd w:w="120" w:type="dxa"/>
      </w:tblPr>
      <w:tblGrid>
        <w:gridCol w:w="1150"/>
        <w:gridCol w:w="1150"/>
        <w:gridCol w:w="1278"/>
        <w:gridCol w:w="1278"/>
        <w:gridCol w:w="1150"/>
        <w:gridCol w:w="1534"/>
        <w:gridCol w:w="1662"/>
        <w:gridCol w:w="1534"/>
        <w:gridCol w:w="1150"/>
        <w:gridCol w:w="894"/>
        <w:gridCol w:w="900"/>
      </w:tblGrid>
      <w:tr>
        <w:trPr>
          <w:tblHeader w:val="true"/>
        </w:trPr>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Scheme</w:t>
            </w:r>
          </w:p>
        </w:tc>
        <w:tc>
          <w:tcPr>
            <w:tcW w:type="dxa" w:w="1278"/>
            <w:shd w:fill="F4F6F9"/>
            <w:vAlign w:val="center"/>
            <w:tcMar>
              <w:top w:w="80" w:type="dxa"/>
              <w:bottom w:w="80" w:type="dxa"/>
              <w:start w:w="120" w:type="dxa"/>
              <w:end w:w="120" w:type="dxa"/>
            </w:tcMar>
          </w:tcPr>
          <w:p>
            <w:pPr>
              <w:jc w:val="center"/>
            </w:pPr>
            <w:r/>
            <w:r>
              <w:rPr>
                <w:rFonts w:ascii="Calibri" w:hAnsi="Calibri"/>
                <w:b/>
                <w:i w:val="0"/>
                <w:color w:val="0B2545"/>
                <w:sz w:val="12"/>
              </w:rPr>
              <w:t>Strategy %</w:t>
            </w:r>
          </w:p>
        </w:tc>
        <w:tc>
          <w:tcPr>
            <w:tcW w:type="dxa" w:w="1278"/>
            <w:shd w:fill="F4F6F9"/>
            <w:vAlign w:val="center"/>
            <w:tcMar>
              <w:top w:w="80" w:type="dxa"/>
              <w:bottom w:w="80" w:type="dxa"/>
              <w:start w:w="120" w:type="dxa"/>
              <w:end w:w="120" w:type="dxa"/>
            </w:tcMar>
          </w:tcPr>
          <w:p>
            <w:pPr>
              <w:jc w:val="center"/>
            </w:pPr>
            <w:r/>
            <w:r>
              <w:rPr>
                <w:rFonts w:ascii="Calibri" w:hAnsi="Calibri"/>
                <w:b/>
                <w:i w:val="0"/>
                <w:color w:val="0B2545"/>
                <w:sz w:val="12"/>
              </w:rPr>
              <w:t>Buy/hold %</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Excess pp</w:t>
            </w:r>
          </w:p>
        </w:tc>
        <w:tc>
          <w:tcPr>
            <w:tcW w:type="dxa" w:w="1534"/>
            <w:shd w:fill="F4F6F9"/>
            <w:vAlign w:val="center"/>
            <w:tcMar>
              <w:top w:w="80" w:type="dxa"/>
              <w:bottom w:w="80" w:type="dxa"/>
              <w:start w:w="120" w:type="dxa"/>
              <w:end w:w="120" w:type="dxa"/>
            </w:tcMar>
          </w:tcPr>
          <w:p>
            <w:pPr>
              <w:jc w:val="center"/>
            </w:pPr>
            <w:r/>
            <w:r>
              <w:rPr>
                <w:rFonts w:ascii="Calibri" w:hAnsi="Calibri"/>
                <w:b/>
                <w:i w:val="0"/>
                <w:color w:val="0B2545"/>
                <w:sz w:val="12"/>
              </w:rPr>
              <w:t>Alpha % ann.</w:t>
            </w:r>
          </w:p>
        </w:tc>
        <w:tc>
          <w:tcPr>
            <w:tcW w:type="dxa" w:w="1662"/>
            <w:shd w:fill="F4F6F9"/>
            <w:vAlign w:val="center"/>
            <w:tcMar>
              <w:top w:w="80" w:type="dxa"/>
              <w:bottom w:w="80" w:type="dxa"/>
              <w:start w:w="120" w:type="dxa"/>
              <w:end w:w="120" w:type="dxa"/>
            </w:tcMar>
          </w:tcPr>
          <w:p>
            <w:pPr>
              <w:jc w:val="center"/>
            </w:pPr>
            <w:r/>
            <w:r>
              <w:rPr>
                <w:rFonts w:ascii="Calibri" w:hAnsi="Calibri"/>
                <w:b/>
                <w:i w:val="0"/>
                <w:color w:val="0B2545"/>
                <w:sz w:val="12"/>
              </w:rPr>
              <w:t>Alpha t (HAC)</w:t>
            </w:r>
          </w:p>
        </w:tc>
        <w:tc>
          <w:tcPr>
            <w:tcW w:type="dxa" w:w="1534"/>
            <w:shd w:fill="F4F6F9"/>
            <w:vAlign w:val="center"/>
            <w:tcMar>
              <w:top w:w="80" w:type="dxa"/>
              <w:bottom w:w="80" w:type="dxa"/>
              <w:start w:w="120" w:type="dxa"/>
              <w:end w:w="120" w:type="dxa"/>
            </w:tcMar>
          </w:tcPr>
          <w:p>
            <w:pPr>
              <w:jc w:val="center"/>
            </w:pPr>
            <w:r/>
            <w:r>
              <w:rPr>
                <w:rFonts w:ascii="Calibri" w:hAnsi="Calibri"/>
                <w:b/>
                <w:i w:val="0"/>
                <w:color w:val="0B2545"/>
                <w:sz w:val="12"/>
              </w:rPr>
              <w:t>Lithium beta</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MVIS beta</w:t>
            </w:r>
          </w:p>
        </w:tc>
        <w:tc>
          <w:tcPr>
            <w:tcW w:type="dxa" w:w="894"/>
            <w:shd w:fill="F4F6F9"/>
            <w:vAlign w:val="center"/>
            <w:tcMar>
              <w:top w:w="80" w:type="dxa"/>
              <w:bottom w:w="80" w:type="dxa"/>
              <w:start w:w="120" w:type="dxa"/>
              <w:end w:w="120" w:type="dxa"/>
            </w:tcMar>
          </w:tcPr>
          <w:p>
            <w:pPr>
              <w:jc w:val="center"/>
            </w:pPr>
            <w:r/>
            <w:r>
              <w:rPr>
                <w:rFonts w:ascii="Calibri" w:hAnsi="Calibri"/>
                <w:b/>
                <w:i w:val="0"/>
                <w:color w:val="0B2545"/>
                <w:sz w:val="12"/>
              </w:rPr>
              <w:t>R2</w:t>
            </w:r>
          </w:p>
        </w:tc>
        <w:tc>
          <w:tcPr>
            <w:tcW w:type="dxa" w:w="900"/>
            <w:shd w:fill="F4F6F9"/>
            <w:vAlign w:val="center"/>
            <w:tcMar>
              <w:top w:w="80" w:type="dxa"/>
              <w:bottom w:w="80" w:type="dxa"/>
              <w:start w:w="120" w:type="dxa"/>
              <w:end w:w="120" w:type="dxa"/>
            </w:tcMar>
          </w:tcPr>
          <w:p>
            <w:pPr>
              <w:jc w:val="center"/>
            </w:pPr>
            <w:r/>
            <w:r>
              <w:rPr>
                <w:rFonts w:ascii="Calibri" w:hAnsi="Calibri"/>
                <w:b/>
                <w:i w:val="0"/>
                <w:color w:val="0B2545"/>
                <w:sz w:val="12"/>
              </w:rPr>
              <w:t>N</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236.19</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121.37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246.82</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0.10</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212.98</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98.16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247.14</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2.64</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-0.04</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0.05</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221.53</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106.71</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236.27</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0.10</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198.48</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83.66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236.14</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2.54</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-0.04</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0.05</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253.77</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147.00</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153.51</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191.85</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85.08</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105.80</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1.93</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0.73</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232.50</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125.73</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138.26</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180.59</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73.82</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96.12</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1.78</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0.73</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bl>
    <w:p>
      <w:pPr>
        <w:spacing w:after="60"/>
      </w:pPr>
    </w:p>
    <w:p>
      <w:pPr>
        <w:spacing w:after="160" w:line="320" w:lineRule="auto"/>
        <w:jc w:val="both"/>
      </w:pPr>
      <w:r>
        <w:rPr>
          <w:rFonts w:ascii="Calibri" w:hAnsi="Calibri"/>
          <w:b w:val="0"/>
          <w:i w:val="0"/>
          <w:color w:val="000000"/>
          <w:sz w:val="22"/>
        </w:rPr>
        <w:t>Appendix Table A1 is deliberately target-specific rather than averaged across lithium products. Strategy return and buy-and-hold return use identical evaluation dates. Excess return is their percentage-point difference. Factor alpha is the annualized intercept from the stated five-factor descriptive regression with HAC standard errors. Because the forecasts and intervals are produced by a noncausal retrospective protocol, neither a positive excess return nor a statistically large intercept can be interpreted as attainable alpha.</w:t>
      </w:r>
    </w:p>
    <w:p>
      <w:pPr>
        <w:spacing w:after="160" w:line="320" w:lineRule="auto"/>
        <w:jc w:val="both"/>
      </w:pPr>
      <w:r>
        <w:rPr>
          <w:rFonts w:ascii="Calibri" w:hAnsi="Calibri"/>
          <w:b w:val="0"/>
          <w:i w:val="0"/>
          <w:color w:val="000000"/>
          <w:sz w:val="22"/>
        </w:rPr>
        <w:t>A journal-grade real-time extension should execute the rightmost column of the implementation audit matrix, freeze all design decisions before the final test, retain a passive lithium benchmark and implementable contract benchmark, and report forecast, interval, and trading results without replacing unfavorable outcomes. The present ledgers provide the reproducibility base for that extension.</w:t>
      </w:r>
    </w:p>
    <w:sectPr w:rsidR="00FC693F" w:rsidRPr="0006063C" w:rsidSect="00034616">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55555"/>
        <w:sz w:val="17"/>
      </w:rPr>
      <w:t xml:space="preserve">Static retrospective evaluation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555555"/>
        <w:sz w:val="17"/>
      </w:rPr>
      <w:t>Multimodal Lithium-Price Forecasting | Proposed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