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jc w:val="center"/>
      </w:pPr>
      <w:r>
        <w:rPr>
          <w:rFonts w:ascii="Calibri" w:hAnsi="Calibri"/>
          <w:b/>
          <w:i w:val="0"/>
          <w:color w:val="1F4D78"/>
          <w:sz w:val="22"/>
        </w:rPr>
        <w:t>RESEARCH MANUSCRIPT</w:t>
      </w:r>
    </w:p>
    <w:p>
      <w:pPr>
        <w:spacing w:before="240" w:after="240"/>
        <w:jc w:val="center"/>
      </w:pPr>
      <w:r>
        <w:rPr>
          <w:rFonts w:ascii="Calibri" w:hAnsi="Calibri"/>
          <w:b/>
          <w:i w:val="0"/>
          <w:color w:val="0B2545"/>
          <w:sz w:val="50"/>
        </w:rPr>
        <w:t>From Multimodal Signals to Lithium-Price Forecasting and Trading</w:t>
      </w:r>
    </w:p>
    <w:p>
      <w:pPr>
        <w:spacing w:after="480"/>
        <w:jc w:val="center"/>
      </w:pPr>
      <w:r>
        <w:rPr>
          <w:rFonts w:ascii="Calibri" w:hAnsi="Calibri"/>
          <w:b w:val="0"/>
          <w:i/>
          <w:color w:val="555555"/>
          <w:sz w:val="26"/>
        </w:rPr>
        <w:t>A Liu-structured retrospective replication for lithium hydroxide and lithium carbonate</w:t>
      </w:r>
    </w:p>
    <w:p>
      <w:pPr>
        <w:jc w:val="center"/>
      </w:pPr>
      <w:r>
        <w:rPr>
          <w:rFonts w:ascii="Calibri" w:hAnsi="Calibri"/>
          <w:b w:val="0"/>
          <w:i w:val="0"/>
          <w:color w:val="555555"/>
          <w:sz w:val="20"/>
        </w:rPr>
        <w:t>Pratham Lahoti</w:t>
        <w:br/>
        <w:t>Empirical run: lithium_paper_20260817T102754Z</w:t>
        <w:br/>
        <w:t>Prepared: 2026-08-17</w:t>
      </w:r>
    </w:p>
    <w:p>
      <w:pPr>
        <w:spacing w:before="600"/>
        <w:jc w:val="center"/>
      </w:pPr>
      <w:r>
        <w:rPr>
          <w:rFonts w:ascii="Calibri" w:hAnsi="Calibri"/>
          <w:b w:val="0"/>
          <w:i/>
          <w:color w:val="9B1C1C"/>
          <w:sz w:val="19"/>
        </w:rPr>
        <w:t>Protocol disclosure: this manuscript intentionally reproduces the reference study's static, full-sample decomposition style. It is retrospective and noncausal; results must not be interpreted as live out-of-sample performance.</w:t>
      </w:r>
    </w:p>
    <w:p>
      <w:r>
        <w:br w:type="page"/>
      </w:r>
    </w:p>
    <w:p>
      <w:pPr>
        <w:pStyle w:val="Heading1"/>
      </w:pPr>
      <w:r>
        <w:t>Abstract</w:t>
      </w:r>
    </w:p>
    <w:p>
      <w:pPr>
        <w:spacing w:after="160" w:line="320" w:lineRule="auto"/>
        <w:jc w:val="both"/>
      </w:pPr>
      <w:r>
        <w:rPr>
          <w:rFonts w:ascii="Calibri" w:hAnsi="Calibri"/>
          <w:b w:val="0"/>
          <w:i w:val="0"/>
          <w:color w:val="000000"/>
          <w:sz w:val="22"/>
        </w:rPr>
        <w:t>This study transfers the multimodal decomposition-and-trading framework of Liu et al. (2025) from carbon allowances to two lithium markets: COMEX lithium hydroxide CIF CJK futures and SMM battery-grade lithium carbonate spot prices. Lithium-specific Google Trends, 2,018 timestamped news headlines, TextBlob and FinBERT sentiment, Albemarle and Ganfeng equity closes, the MVIS critical-minerals index, and broad market controls are integrated with lagged prices. Seven single forecasters, four decomposition comparators, and a proposed VMD-LASSO-ARIMA/LSTM hybrid are evaluated on chronological 80:20 testing sets. The proposed model records RMSE 0.5360 for hydroxide, improving on the best single model (ARIMA, 0.6437), and RMSE 3672.30 for carbonate, close to the best single model (ARIMA, 3612.20). Decomposition competitors sometimes perform better, so the evidence supports conditional rather than universal model superiority. Interval, Diebold-Mariano, and trading analyses complete the reference-style evaluation. Because full-sample decomposition and observed-test ARIMA filtering use test-period information, all findings are explicitly classified as retrospective replication evidence.</w:t>
      </w:r>
    </w:p>
    <w:p>
      <w:pPr>
        <w:spacing w:after="160" w:line="320" w:lineRule="auto"/>
        <w:jc w:val="both"/>
      </w:pPr>
      <w:r>
        <w:rPr>
          <w:rFonts w:ascii="Calibri" w:hAnsi="Calibri"/>
          <w:b/>
          <w:i w:val="0"/>
          <w:color w:val="000000"/>
          <w:sz w:val="22"/>
        </w:rPr>
        <w:t>Keywords:</w:t>
      </w:r>
      <w:r>
        <w:rPr>
          <w:rFonts w:ascii="Calibri" w:hAnsi="Calibri"/>
          <w:b w:val="0"/>
          <w:i w:val="0"/>
          <w:color w:val="000000"/>
          <w:sz w:val="22"/>
        </w:rPr>
        <w:t xml:space="preserve"> lithium price; multimodal data; variational mode decomposition; LASSO; ARIMA; LSTM; sentiment; interval forecasting; trading.</w:t>
      </w:r>
    </w:p>
    <w:p>
      <w:pPr>
        <w:pStyle w:val="Heading1"/>
      </w:pPr>
      <w:r>
        <w:t>1. Introduction</w:t>
      </w:r>
    </w:p>
    <w:p>
      <w:pPr>
        <w:spacing w:after="160" w:line="320" w:lineRule="auto"/>
        <w:jc w:val="both"/>
      </w:pPr>
      <w:r>
        <w:rPr>
          <w:rFonts w:ascii="Calibri" w:hAnsi="Calibri"/>
          <w:b w:val="0"/>
          <w:i w:val="0"/>
          <w:color w:val="000000"/>
          <w:sz w:val="22"/>
        </w:rPr>
        <w:t>Lithium prices transmit information about electric-vehicle demand, battery manufacturing, mine supply, conversion capacity, inventories, policy, and investor expectations. Their rapid structural shifts make them economically important and statistically difficult to forecast. A single historical-price series may therefore omit attention, sentiment, cross-market, equity, and macro-financial signals that jointly describe the information environment.</w:t>
      </w:r>
    </w:p>
    <w:p>
      <w:pPr>
        <w:spacing w:after="160" w:line="320" w:lineRule="auto"/>
        <w:jc w:val="both"/>
      </w:pPr>
      <w:r>
        <w:rPr>
          <w:rFonts w:ascii="Calibri" w:hAnsi="Calibri"/>
          <w:b w:val="0"/>
          <w:i w:val="0"/>
          <w:color w:val="000000"/>
          <w:sz w:val="22"/>
        </w:rPr>
        <w:t>Liu et al. (2025) combine multimodal indicators, VMD, LASSO, ARIMA and LSTM forecasts, prediction intervals, and trading rules for Chinese carbon markets. This paper asks whether the same empirical architecture can be transferred coherently to lithium markets. It retains the reference study's twelve-table and thirteen-figure organization and implements its static 80:20 logic in a new domain.</w:t>
      </w:r>
    </w:p>
    <w:p>
      <w:pPr>
        <w:spacing w:after="160" w:line="320" w:lineRule="auto"/>
        <w:jc w:val="both"/>
      </w:pPr>
      <w:r>
        <w:rPr>
          <w:rFonts w:ascii="Calibri" w:hAnsi="Calibri"/>
          <w:b w:val="0"/>
          <w:i w:val="0"/>
          <w:color w:val="000000"/>
          <w:sz w:val="22"/>
        </w:rPr>
        <w:t>The contribution is threefold. First, it constructs a lithium-specific multimodal dataset rather than treating eight heterogeneous mining equities as separate prediction targets. Second, it evaluates two directly relevant lithium price series and uses Albemarle and Ganfeng only as lagged information signals. Third, it makes the evaluation convention explicit: full-sample decompositions and observed-test filtering produce a retrospective fit assessment, not a causal forecast backtest.</w:t>
      </w:r>
    </w:p>
    <w:p>
      <w:pPr>
        <w:pStyle w:val="Heading1"/>
      </w:pPr>
      <w:r>
        <w:t>2. Literature review and positioning</w:t>
      </w:r>
    </w:p>
    <w:p>
      <w:pPr>
        <w:keepNext/>
        <w:spacing w:before="100" w:after="80"/>
      </w:pPr>
      <w:r>
        <w:rPr>
          <w:rFonts w:ascii="Calibri" w:hAnsi="Calibri"/>
          <w:b/>
          <w:i w:val="0"/>
          <w:color w:val="1F4D78"/>
          <w:sz w:val="18"/>
        </w:rPr>
        <w:t xml:space="preserve">Table 1. </w:t>
      </w:r>
      <w:r>
        <w:rPr>
          <w:rFonts w:ascii="Calibri" w:hAnsi="Calibri"/>
          <w:b w:val="0"/>
          <w:i/>
          <w:color w:val="000000"/>
          <w:sz w:val="18"/>
        </w:rPr>
        <w:t>Representative research works in lithium and energy-price forecasting.</w:t>
      </w:r>
    </w:p>
    <w:tbl>
      <w:tblPr>
        <w:tblStyle w:val="TableGrid"/>
        <w:tblW w:type="dxa" w:w="9360"/>
        <w:jc w:val="left"/>
        <w:tblLayout w:type="fixed"/>
        <w:tblLook w:firstColumn="1" w:firstRow="1" w:lastColumn="0" w:lastRow="0" w:noHBand="0" w:noVBand="1" w:val="04A0"/>
      </w:tblPr>
      <w:tblGrid>
        <w:gridCol w:w="2340"/>
        <w:gridCol w:w="2198"/>
        <w:gridCol w:w="2410"/>
        <w:gridCol w:w="2412"/>
      </w:tblGrid>
      <w:tr>
        <w:trPr>
          <w:tblHeader w:val="true"/>
        </w:trPr>
        <w:tc>
          <w:tcPr>
            <w:tcW w:type="dxa" w:w="2340"/>
            <w:shd w:fill="F4F6F9"/>
            <w:vAlign w:val="center"/>
          </w:tcPr>
          <w:p>
            <w:pPr>
              <w:jc w:val="center"/>
            </w:pPr>
            <w:r/>
            <w:r>
              <w:rPr>
                <w:rFonts w:ascii="Calibri" w:hAnsi="Calibri"/>
                <w:b/>
                <w:i w:val="0"/>
                <w:color w:val="0B2545"/>
                <w:sz w:val="13"/>
              </w:rPr>
              <w:t>Study</w:t>
            </w:r>
          </w:p>
        </w:tc>
        <w:tc>
          <w:tcPr>
            <w:tcW w:type="dxa" w:w="2198"/>
            <w:shd w:fill="F4F6F9"/>
            <w:vAlign w:val="center"/>
          </w:tcPr>
          <w:p>
            <w:pPr>
              <w:jc w:val="center"/>
            </w:pPr>
            <w:r/>
            <w:r>
              <w:rPr>
                <w:rFonts w:ascii="Calibri" w:hAnsi="Calibri"/>
                <w:b/>
                <w:i w:val="0"/>
                <w:color w:val="0B2545"/>
                <w:sz w:val="13"/>
              </w:rPr>
              <w:t>Research focus</w:t>
            </w:r>
          </w:p>
        </w:tc>
        <w:tc>
          <w:tcPr>
            <w:tcW w:type="dxa" w:w="2410"/>
            <w:shd w:fill="F4F6F9"/>
            <w:vAlign w:val="center"/>
          </w:tcPr>
          <w:p>
            <w:pPr>
              <w:jc w:val="center"/>
            </w:pPr>
            <w:r/>
            <w:r>
              <w:rPr>
                <w:rFonts w:ascii="Calibri" w:hAnsi="Calibri"/>
                <w:b/>
                <w:i w:val="0"/>
                <w:color w:val="0B2545"/>
                <w:sz w:val="13"/>
              </w:rPr>
              <w:t>Method</w:t>
            </w:r>
          </w:p>
        </w:tc>
        <w:tc>
          <w:tcPr>
            <w:tcW w:type="dxa" w:w="2412"/>
            <w:shd w:fill="F4F6F9"/>
            <w:vAlign w:val="center"/>
          </w:tcPr>
          <w:p>
            <w:pPr>
              <w:jc w:val="center"/>
            </w:pPr>
            <w:r/>
            <w:r>
              <w:rPr>
                <w:rFonts w:ascii="Calibri" w:hAnsi="Calibri"/>
                <w:b/>
                <w:i w:val="0"/>
                <w:color w:val="0B2545"/>
                <w:sz w:val="13"/>
              </w:rPr>
              <w:t>Role in this study</w:t>
            </w:r>
          </w:p>
        </w:tc>
      </w:tr>
      <w:tr>
        <w:tc>
          <w:tcPr>
            <w:tcW w:type="dxa" w:w="2340"/>
            <w:vAlign w:val="center"/>
          </w:tcPr>
          <w:p>
            <w:pPr>
              <w:spacing w:after="0" w:line="240" w:lineRule="auto"/>
              <w:jc w:val="left"/>
            </w:pPr>
            <w:r/>
            <w:r>
              <w:rPr>
                <w:rFonts w:ascii="Calibri" w:hAnsi="Calibri"/>
                <w:b w:val="0"/>
                <w:i w:val="0"/>
                <w:color w:val="000000"/>
                <w:sz w:val="13"/>
              </w:rPr>
              <w:t>Hochreiter and Schmidhuber (1997)</w:t>
            </w:r>
          </w:p>
        </w:tc>
        <w:tc>
          <w:tcPr>
            <w:tcW w:type="dxa" w:w="2198"/>
            <w:vAlign w:val="center"/>
          </w:tcPr>
          <w:p>
            <w:pPr>
              <w:spacing w:after="0" w:line="240" w:lineRule="auto"/>
              <w:jc w:val="center"/>
            </w:pPr>
            <w:r/>
            <w:r>
              <w:rPr>
                <w:rFonts w:ascii="Calibri" w:hAnsi="Calibri"/>
                <w:b w:val="0"/>
                <w:i w:val="0"/>
                <w:color w:val="000000"/>
                <w:sz w:val="13"/>
              </w:rPr>
              <w:t>Sequence learning</w:t>
            </w:r>
          </w:p>
        </w:tc>
        <w:tc>
          <w:tcPr>
            <w:tcW w:type="dxa" w:w="2410"/>
            <w:vAlign w:val="center"/>
          </w:tcPr>
          <w:p>
            <w:pPr>
              <w:spacing w:after="0" w:line="240" w:lineRule="auto"/>
              <w:jc w:val="center"/>
            </w:pPr>
            <w:r/>
            <w:r>
              <w:rPr>
                <w:rFonts w:ascii="Calibri" w:hAnsi="Calibri"/>
                <w:b w:val="0"/>
                <w:i w:val="0"/>
                <w:color w:val="000000"/>
                <w:sz w:val="13"/>
              </w:rPr>
              <w:t>LSTM</w:t>
            </w:r>
          </w:p>
        </w:tc>
        <w:tc>
          <w:tcPr>
            <w:tcW w:type="dxa" w:w="2412"/>
            <w:vAlign w:val="center"/>
          </w:tcPr>
          <w:p>
            <w:pPr>
              <w:spacing w:after="0" w:line="240" w:lineRule="auto"/>
              <w:jc w:val="center"/>
            </w:pPr>
            <w:r/>
            <w:r>
              <w:rPr>
                <w:rFonts w:ascii="Calibri" w:hAnsi="Calibri"/>
                <w:b w:val="0"/>
                <w:i w:val="0"/>
                <w:color w:val="000000"/>
                <w:sz w:val="13"/>
              </w:rPr>
              <w:t>Recurrent nonlinear forecasting</w:t>
            </w:r>
          </w:p>
        </w:tc>
      </w:tr>
      <w:tr>
        <w:tc>
          <w:tcPr>
            <w:tcW w:type="dxa" w:w="2340"/>
            <w:vAlign w:val="center"/>
          </w:tcPr>
          <w:p>
            <w:pPr>
              <w:spacing w:after="0" w:line="240" w:lineRule="auto"/>
              <w:jc w:val="left"/>
            </w:pPr>
            <w:r/>
            <w:r>
              <w:rPr>
                <w:rFonts w:ascii="Calibri" w:hAnsi="Calibri"/>
                <w:b w:val="0"/>
                <w:i w:val="0"/>
                <w:color w:val="000000"/>
                <w:sz w:val="13"/>
              </w:rPr>
              <w:t>Tibshirani (1996)</w:t>
            </w:r>
          </w:p>
        </w:tc>
        <w:tc>
          <w:tcPr>
            <w:tcW w:type="dxa" w:w="2198"/>
            <w:vAlign w:val="center"/>
          </w:tcPr>
          <w:p>
            <w:pPr>
              <w:spacing w:after="0" w:line="240" w:lineRule="auto"/>
              <w:jc w:val="center"/>
            </w:pPr>
            <w:r/>
            <w:r>
              <w:rPr>
                <w:rFonts w:ascii="Calibri" w:hAnsi="Calibri"/>
                <w:b w:val="0"/>
                <w:i w:val="0"/>
                <w:color w:val="000000"/>
                <w:sz w:val="13"/>
              </w:rPr>
              <w:t>Sparse regression</w:t>
            </w:r>
          </w:p>
        </w:tc>
        <w:tc>
          <w:tcPr>
            <w:tcW w:type="dxa" w:w="2410"/>
            <w:vAlign w:val="center"/>
          </w:tcPr>
          <w:p>
            <w:pPr>
              <w:spacing w:after="0" w:line="240" w:lineRule="auto"/>
              <w:jc w:val="center"/>
            </w:pPr>
            <w:r/>
            <w:r>
              <w:rPr>
                <w:rFonts w:ascii="Calibri" w:hAnsi="Calibri"/>
                <w:b w:val="0"/>
                <w:i w:val="0"/>
                <w:color w:val="000000"/>
                <w:sz w:val="13"/>
              </w:rPr>
              <w:t>LASSO</w:t>
            </w:r>
          </w:p>
        </w:tc>
        <w:tc>
          <w:tcPr>
            <w:tcW w:type="dxa" w:w="2412"/>
            <w:vAlign w:val="center"/>
          </w:tcPr>
          <w:p>
            <w:pPr>
              <w:spacing w:after="0" w:line="240" w:lineRule="auto"/>
              <w:jc w:val="center"/>
            </w:pPr>
            <w:r/>
            <w:r>
              <w:rPr>
                <w:rFonts w:ascii="Calibri" w:hAnsi="Calibri"/>
                <w:b w:val="0"/>
                <w:i w:val="0"/>
                <w:color w:val="000000"/>
                <w:sz w:val="13"/>
              </w:rPr>
              <w:t>Multimodal indicator selection</w:t>
            </w:r>
          </w:p>
        </w:tc>
      </w:tr>
      <w:tr>
        <w:tc>
          <w:tcPr>
            <w:tcW w:type="dxa" w:w="2340"/>
            <w:vAlign w:val="center"/>
          </w:tcPr>
          <w:p>
            <w:pPr>
              <w:spacing w:after="0" w:line="240" w:lineRule="auto"/>
              <w:jc w:val="left"/>
            </w:pPr>
            <w:r/>
            <w:r>
              <w:rPr>
                <w:rFonts w:ascii="Calibri" w:hAnsi="Calibri"/>
                <w:b w:val="0"/>
                <w:i w:val="0"/>
                <w:color w:val="000000"/>
                <w:sz w:val="13"/>
              </w:rPr>
              <w:t>Dragomiretskiy and Zosso (2014)</w:t>
            </w:r>
          </w:p>
        </w:tc>
        <w:tc>
          <w:tcPr>
            <w:tcW w:type="dxa" w:w="2198"/>
            <w:vAlign w:val="center"/>
          </w:tcPr>
          <w:p>
            <w:pPr>
              <w:spacing w:after="0" w:line="240" w:lineRule="auto"/>
              <w:jc w:val="center"/>
            </w:pPr>
            <w:r/>
            <w:r>
              <w:rPr>
                <w:rFonts w:ascii="Calibri" w:hAnsi="Calibri"/>
                <w:b w:val="0"/>
                <w:i w:val="0"/>
                <w:color w:val="000000"/>
                <w:sz w:val="13"/>
              </w:rPr>
              <w:t>Signal decomposition</w:t>
            </w:r>
          </w:p>
        </w:tc>
        <w:tc>
          <w:tcPr>
            <w:tcW w:type="dxa" w:w="2410"/>
            <w:vAlign w:val="center"/>
          </w:tcPr>
          <w:p>
            <w:pPr>
              <w:spacing w:after="0" w:line="240" w:lineRule="auto"/>
              <w:jc w:val="center"/>
            </w:pPr>
            <w:r/>
            <w:r>
              <w:rPr>
                <w:rFonts w:ascii="Calibri" w:hAnsi="Calibri"/>
                <w:b w:val="0"/>
                <w:i w:val="0"/>
                <w:color w:val="000000"/>
                <w:sz w:val="13"/>
              </w:rPr>
              <w:t>VMD</w:t>
            </w:r>
          </w:p>
        </w:tc>
        <w:tc>
          <w:tcPr>
            <w:tcW w:type="dxa" w:w="2412"/>
            <w:vAlign w:val="center"/>
          </w:tcPr>
          <w:p>
            <w:pPr>
              <w:spacing w:after="0" w:line="240" w:lineRule="auto"/>
              <w:jc w:val="center"/>
            </w:pPr>
            <w:r/>
            <w:r>
              <w:rPr>
                <w:rFonts w:ascii="Calibri" w:hAnsi="Calibri"/>
                <w:b w:val="0"/>
                <w:i w:val="0"/>
                <w:color w:val="000000"/>
                <w:sz w:val="13"/>
              </w:rPr>
              <w:t>Adaptive narrow-band modes</w:t>
            </w:r>
          </w:p>
        </w:tc>
      </w:tr>
      <w:tr>
        <w:tc>
          <w:tcPr>
            <w:tcW w:type="dxa" w:w="2340"/>
            <w:vAlign w:val="center"/>
          </w:tcPr>
          <w:p>
            <w:pPr>
              <w:spacing w:after="0" w:line="240" w:lineRule="auto"/>
              <w:jc w:val="left"/>
            </w:pPr>
            <w:r/>
            <w:r>
              <w:rPr>
                <w:rFonts w:ascii="Calibri" w:hAnsi="Calibri"/>
                <w:b w:val="0"/>
                <w:i w:val="0"/>
                <w:color w:val="000000"/>
                <w:sz w:val="13"/>
              </w:rPr>
              <w:t>Torres et al. (2011)</w:t>
            </w:r>
          </w:p>
        </w:tc>
        <w:tc>
          <w:tcPr>
            <w:tcW w:type="dxa" w:w="2198"/>
            <w:vAlign w:val="center"/>
          </w:tcPr>
          <w:p>
            <w:pPr>
              <w:spacing w:after="0" w:line="240" w:lineRule="auto"/>
              <w:jc w:val="center"/>
            </w:pPr>
            <w:r/>
            <w:r>
              <w:rPr>
                <w:rFonts w:ascii="Calibri" w:hAnsi="Calibri"/>
                <w:b w:val="0"/>
                <w:i w:val="0"/>
                <w:color w:val="000000"/>
                <w:sz w:val="13"/>
              </w:rPr>
              <w:t>Noise-assisted decomposition</w:t>
            </w:r>
          </w:p>
        </w:tc>
        <w:tc>
          <w:tcPr>
            <w:tcW w:type="dxa" w:w="2410"/>
            <w:vAlign w:val="center"/>
          </w:tcPr>
          <w:p>
            <w:pPr>
              <w:spacing w:after="0" w:line="240" w:lineRule="auto"/>
              <w:jc w:val="center"/>
            </w:pPr>
            <w:r/>
            <w:r>
              <w:rPr>
                <w:rFonts w:ascii="Calibri" w:hAnsi="Calibri"/>
                <w:b w:val="0"/>
                <w:i w:val="0"/>
                <w:color w:val="000000"/>
                <w:sz w:val="13"/>
              </w:rPr>
              <w:t>CEEMDAN</w:t>
            </w:r>
          </w:p>
        </w:tc>
        <w:tc>
          <w:tcPr>
            <w:tcW w:type="dxa" w:w="2412"/>
            <w:vAlign w:val="center"/>
          </w:tcPr>
          <w:p>
            <w:pPr>
              <w:spacing w:after="0" w:line="240" w:lineRule="auto"/>
              <w:jc w:val="center"/>
            </w:pPr>
            <w:r/>
            <w:r>
              <w:rPr>
                <w:rFonts w:ascii="Calibri" w:hAnsi="Calibri"/>
                <w:b w:val="0"/>
                <w:i w:val="0"/>
                <w:color w:val="000000"/>
                <w:sz w:val="13"/>
              </w:rPr>
              <w:t>Decomposition comparator</w:t>
            </w:r>
          </w:p>
        </w:tc>
      </w:tr>
      <w:tr>
        <w:tc>
          <w:tcPr>
            <w:tcW w:type="dxa" w:w="2340"/>
            <w:vAlign w:val="center"/>
          </w:tcPr>
          <w:p>
            <w:pPr>
              <w:spacing w:after="0" w:line="240" w:lineRule="auto"/>
              <w:jc w:val="left"/>
            </w:pPr>
            <w:r/>
            <w:r>
              <w:rPr>
                <w:rFonts w:ascii="Calibri" w:hAnsi="Calibri"/>
                <w:b w:val="0"/>
                <w:i w:val="0"/>
                <w:color w:val="000000"/>
                <w:sz w:val="13"/>
              </w:rPr>
              <w:t>Diebold and Mariano (1995)</w:t>
            </w:r>
          </w:p>
        </w:tc>
        <w:tc>
          <w:tcPr>
            <w:tcW w:type="dxa" w:w="2198"/>
            <w:vAlign w:val="center"/>
          </w:tcPr>
          <w:p>
            <w:pPr>
              <w:spacing w:after="0" w:line="240" w:lineRule="auto"/>
              <w:jc w:val="center"/>
            </w:pPr>
            <w:r/>
            <w:r>
              <w:rPr>
                <w:rFonts w:ascii="Calibri" w:hAnsi="Calibri"/>
                <w:b w:val="0"/>
                <w:i w:val="0"/>
                <w:color w:val="000000"/>
                <w:sz w:val="13"/>
              </w:rPr>
              <w:t>Predictive-accuracy testing</w:t>
            </w:r>
          </w:p>
        </w:tc>
        <w:tc>
          <w:tcPr>
            <w:tcW w:type="dxa" w:w="2410"/>
            <w:vAlign w:val="center"/>
          </w:tcPr>
          <w:p>
            <w:pPr>
              <w:spacing w:after="0" w:line="240" w:lineRule="auto"/>
              <w:jc w:val="center"/>
            </w:pPr>
            <w:r/>
            <w:r>
              <w:rPr>
                <w:rFonts w:ascii="Calibri" w:hAnsi="Calibri"/>
                <w:b w:val="0"/>
                <w:i w:val="0"/>
                <w:color w:val="000000"/>
                <w:sz w:val="13"/>
              </w:rPr>
              <w:t>DM test</w:t>
            </w:r>
          </w:p>
        </w:tc>
        <w:tc>
          <w:tcPr>
            <w:tcW w:type="dxa" w:w="2412"/>
            <w:vAlign w:val="center"/>
          </w:tcPr>
          <w:p>
            <w:pPr>
              <w:spacing w:after="0" w:line="240" w:lineRule="auto"/>
              <w:jc w:val="center"/>
            </w:pPr>
            <w:r/>
            <w:r>
              <w:rPr>
                <w:rFonts w:ascii="Calibri" w:hAnsi="Calibri"/>
                <w:b w:val="0"/>
                <w:i w:val="0"/>
                <w:color w:val="000000"/>
                <w:sz w:val="13"/>
              </w:rPr>
              <w:t>Pairwise loss comparison</w:t>
            </w:r>
          </w:p>
        </w:tc>
      </w:tr>
      <w:tr>
        <w:tc>
          <w:tcPr>
            <w:tcW w:type="dxa" w:w="2340"/>
            <w:vAlign w:val="center"/>
          </w:tcPr>
          <w:p>
            <w:pPr>
              <w:spacing w:after="0" w:line="240" w:lineRule="auto"/>
              <w:jc w:val="left"/>
            </w:pPr>
            <w:r/>
            <w:r>
              <w:rPr>
                <w:rFonts w:ascii="Calibri" w:hAnsi="Calibri"/>
                <w:b w:val="0"/>
                <w:i w:val="0"/>
                <w:color w:val="000000"/>
                <w:sz w:val="13"/>
              </w:rPr>
              <w:t>Liu et al. (2025)</w:t>
            </w:r>
          </w:p>
        </w:tc>
        <w:tc>
          <w:tcPr>
            <w:tcW w:type="dxa" w:w="2198"/>
            <w:vAlign w:val="center"/>
          </w:tcPr>
          <w:p>
            <w:pPr>
              <w:spacing w:after="0" w:line="240" w:lineRule="auto"/>
              <w:jc w:val="center"/>
            </w:pPr>
            <w:r/>
            <w:r>
              <w:rPr>
                <w:rFonts w:ascii="Calibri" w:hAnsi="Calibri"/>
                <w:b w:val="0"/>
                <w:i w:val="0"/>
                <w:color w:val="000000"/>
                <w:sz w:val="13"/>
              </w:rPr>
              <w:t>Carbon prices and trading</w:t>
            </w:r>
          </w:p>
        </w:tc>
        <w:tc>
          <w:tcPr>
            <w:tcW w:type="dxa" w:w="2410"/>
            <w:vAlign w:val="center"/>
          </w:tcPr>
          <w:p>
            <w:pPr>
              <w:spacing w:after="0" w:line="240" w:lineRule="auto"/>
              <w:jc w:val="center"/>
            </w:pPr>
            <w:r/>
            <w:r>
              <w:rPr>
                <w:rFonts w:ascii="Calibri" w:hAnsi="Calibri"/>
                <w:b w:val="0"/>
                <w:i w:val="0"/>
                <w:color w:val="000000"/>
                <w:sz w:val="13"/>
              </w:rPr>
              <w:t>VMD-LASSO-ARIMA/LSTM</w:t>
            </w:r>
          </w:p>
        </w:tc>
        <w:tc>
          <w:tcPr>
            <w:tcW w:type="dxa" w:w="2412"/>
            <w:vAlign w:val="center"/>
          </w:tcPr>
          <w:p>
            <w:pPr>
              <w:spacing w:after="0" w:line="240" w:lineRule="auto"/>
              <w:jc w:val="center"/>
            </w:pPr>
            <w:r/>
            <w:r>
              <w:rPr>
                <w:rFonts w:ascii="Calibri" w:hAnsi="Calibri"/>
                <w:b w:val="0"/>
                <w:i w:val="0"/>
                <w:color w:val="000000"/>
                <w:sz w:val="13"/>
              </w:rPr>
              <w:t>Structural methodological template</w:t>
            </w:r>
          </w:p>
        </w:tc>
      </w:tr>
      <w:tr>
        <w:tc>
          <w:tcPr>
            <w:tcW w:type="dxa" w:w="2340"/>
            <w:vAlign w:val="center"/>
          </w:tcPr>
          <w:p>
            <w:pPr>
              <w:spacing w:after="0" w:line="240" w:lineRule="auto"/>
              <w:jc w:val="left"/>
            </w:pPr>
            <w:r/>
            <w:r>
              <w:rPr>
                <w:rFonts w:ascii="Calibri" w:hAnsi="Calibri"/>
                <w:b w:val="0"/>
                <w:i w:val="0"/>
                <w:color w:val="000000"/>
                <w:sz w:val="13"/>
              </w:rPr>
              <w:t>This study</w:t>
            </w:r>
          </w:p>
        </w:tc>
        <w:tc>
          <w:tcPr>
            <w:tcW w:type="dxa" w:w="2198"/>
            <w:vAlign w:val="center"/>
          </w:tcPr>
          <w:p>
            <w:pPr>
              <w:spacing w:after="0" w:line="240" w:lineRule="auto"/>
              <w:jc w:val="center"/>
            </w:pPr>
            <w:r/>
            <w:r>
              <w:rPr>
                <w:rFonts w:ascii="Calibri" w:hAnsi="Calibri"/>
                <w:b w:val="0"/>
                <w:i w:val="0"/>
                <w:color w:val="000000"/>
                <w:sz w:val="13"/>
              </w:rPr>
              <w:t>Lithium hydroxide and carbonate</w:t>
            </w:r>
          </w:p>
        </w:tc>
        <w:tc>
          <w:tcPr>
            <w:tcW w:type="dxa" w:w="2410"/>
            <w:vAlign w:val="center"/>
          </w:tcPr>
          <w:p>
            <w:pPr>
              <w:spacing w:after="0" w:line="240" w:lineRule="auto"/>
              <w:jc w:val="center"/>
            </w:pPr>
            <w:r/>
            <w:r>
              <w:rPr>
                <w:rFonts w:ascii="Calibri" w:hAnsi="Calibri"/>
                <w:b w:val="0"/>
                <w:i w:val="0"/>
                <w:color w:val="000000"/>
                <w:sz w:val="13"/>
              </w:rPr>
              <w:t>Multimodal Liu-structured replication</w:t>
            </w:r>
          </w:p>
        </w:tc>
        <w:tc>
          <w:tcPr>
            <w:tcW w:type="dxa" w:w="2412"/>
            <w:vAlign w:val="center"/>
          </w:tcPr>
          <w:p>
            <w:pPr>
              <w:spacing w:after="0" w:line="240" w:lineRule="auto"/>
              <w:jc w:val="center"/>
            </w:pPr>
            <w:r/>
            <w:r>
              <w:rPr>
                <w:rFonts w:ascii="Calibri" w:hAnsi="Calibri"/>
                <w:b w:val="0"/>
                <w:i w:val="0"/>
                <w:color w:val="000000"/>
                <w:sz w:val="13"/>
              </w:rPr>
              <w:t>Cross-market lithium application and protocol audit</w:t>
            </w:r>
          </w:p>
        </w:tc>
      </w:tr>
    </w:tbl>
    <w:p>
      <w:pPr>
        <w:spacing w:after="60"/>
      </w:pPr>
    </w:p>
    <w:p>
      <w:pPr>
        <w:pStyle w:val="Heading3"/>
      </w:pPr>
      <w:r>
        <w:t>Interpretation of Table 1</w:t>
      </w:r>
    </w:p>
    <w:p>
      <w:pPr>
        <w:spacing w:after="160" w:line="320" w:lineRule="auto"/>
        <w:jc w:val="both"/>
      </w:pPr>
      <w:r>
        <w:rPr>
          <w:rFonts w:ascii="Calibri" w:hAnsi="Calibri"/>
          <w:b/>
          <w:i w:val="0"/>
          <w:color w:val="000000"/>
          <w:sz w:val="22"/>
        </w:rPr>
        <w:t>Purpose:</w:t>
      </w:r>
      <w:r>
        <w:rPr>
          <w:rFonts w:ascii="Calibri" w:hAnsi="Calibri"/>
          <w:b w:val="0"/>
          <w:i w:val="0"/>
          <w:color w:val="000000"/>
          <w:sz w:val="22"/>
        </w:rPr>
        <w:t xml:space="preserve"> The table identifies the methodological lineage of the study rather than claiming an exhaustive lithium-forecasting review. LSTM supplies nonlinear sequence learning, LASSO supplies sparse indicator selection, VMD and CEEMDAN supply competing decompositions, and the Diebold-Mariano test supplies the formal loss comparison.</w:t>
      </w:r>
    </w:p>
    <w:p>
      <w:pPr>
        <w:spacing w:after="160" w:line="320" w:lineRule="auto"/>
        <w:jc w:val="both"/>
      </w:pPr>
      <w:r>
        <w:rPr>
          <w:rFonts w:ascii="Calibri" w:hAnsi="Calibri"/>
          <w:b/>
          <w:i w:val="0"/>
          <w:color w:val="000000"/>
          <w:sz w:val="22"/>
        </w:rPr>
        <w:t>Research gap:</w:t>
      </w:r>
      <w:r>
        <w:rPr>
          <w:rFonts w:ascii="Calibri" w:hAnsi="Calibri"/>
          <w:b w:val="0"/>
          <w:i w:val="0"/>
          <w:color w:val="000000"/>
          <w:sz w:val="22"/>
        </w:rPr>
        <w:t xml:space="preserve"> Liu et al. (2025) is the direct structural reference because it joins decomposition, multimodal predictors, point forecasts, intervals, and trading in one design. The present paper changes both the economic domain and the targets: it forecasts traded or assessed lithium prices rather than carbon allowances or mining-company shares.</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The literature table positions a replication and transfer study. It does not establish that the listed methods are uniquely optimal, and Figure 1's Crossref counts should not be treated as a PRISMA-style systematic review.</w:t>
      </w:r>
    </w:p>
    <w:p>
      <w:pPr>
        <w:keepNext/>
        <w:spacing w:before="100" w:after="80"/>
      </w:pPr>
      <w:r>
        <w:rPr>
          <w:rFonts w:ascii="Calibri" w:hAnsi="Calibri"/>
          <w:b/>
          <w:i w:val="0"/>
          <w:color w:val="1F4D78"/>
          <w:sz w:val="18"/>
        </w:rPr>
        <w:t xml:space="preserve">Figure 1. </w:t>
      </w:r>
      <w:r>
        <w:rPr>
          <w:rFonts w:ascii="Calibri" w:hAnsi="Calibri"/>
          <w:b w:val="0"/>
          <w:i/>
          <w:color w:val="000000"/>
          <w:sz w:val="18"/>
        </w:rPr>
        <w:t>Time trend of candidate publications in lithium-price forecasting. Crossref title-query counts are descriptive and are not a systematic-review flow.</w:t>
      </w:r>
    </w:p>
    <w:p>
      <w:pPr>
        <w:spacing w:after="180"/>
        <w:jc w:val="center"/>
      </w:pPr>
      <w:r>
        <w:drawing>
          <wp:inline xmlns:a="http://schemas.openxmlformats.org/drawingml/2006/main" xmlns:pic="http://schemas.openxmlformats.org/drawingml/2006/picture">
            <wp:extent cx="5760720" cy="2767404"/>
            <wp:docPr id="1" name="Picture 1"/>
            <wp:cNvGraphicFramePr>
              <a:graphicFrameLocks noChangeAspect="1"/>
            </wp:cNvGraphicFramePr>
            <a:graphic>
              <a:graphicData uri="http://schemas.openxmlformats.org/drawingml/2006/picture">
                <pic:pic>
                  <pic:nvPicPr>
                    <pic:cNvPr id="0" name="fig1_publication_trend.png"/>
                    <pic:cNvPicPr/>
                  </pic:nvPicPr>
                  <pic:blipFill>
                    <a:blip r:embed="rId11"/>
                    <a:stretch>
                      <a:fillRect/>
                    </a:stretch>
                  </pic:blipFill>
                  <pic:spPr>
                    <a:xfrm>
                      <a:off x="0" y="0"/>
                      <a:ext cx="5760720" cy="2767404"/>
                    </a:xfrm>
                    <a:prstGeom prst="rect"/>
                  </pic:spPr>
                </pic:pic>
              </a:graphicData>
            </a:graphic>
          </wp:inline>
        </w:drawing>
      </w:r>
    </w:p>
    <w:p>
      <w:pPr>
        <w:spacing w:after="160" w:line="320" w:lineRule="auto"/>
        <w:jc w:val="both"/>
      </w:pPr>
      <w:r>
        <w:rPr>
          <w:rFonts w:ascii="Calibri" w:hAnsi="Calibri"/>
          <w:b w:val="0"/>
          <w:i w:val="0"/>
          <w:color w:val="000000"/>
          <w:sz w:val="22"/>
        </w:rPr>
        <w:t>Decomposition-based energy-price studies seek to separate slowly varying structure from high-frequency fluctuations before applying specialized predictors. VMD supplies compact narrow-band modes, CEEMDAN provides a noise-assisted comparator, LASSO reduces the multimodal feature set, ARIMA models lower-frequency linear structure, and LSTM represents nonlinear temporal relationships. The present study is a domain replication and protocol audit rather than a claim that model complexity is intrinsically superior.</w:t>
      </w:r>
    </w:p>
    <w:p>
      <w:pPr>
        <w:pStyle w:val="Heading1"/>
      </w:pPr>
      <w:r>
        <w:t>3. Methodology</w:t>
      </w:r>
    </w:p>
    <w:p>
      <w:pPr>
        <w:keepNext/>
        <w:spacing w:before="100" w:after="80"/>
      </w:pPr>
      <w:r>
        <w:rPr>
          <w:rFonts w:ascii="Calibri" w:hAnsi="Calibri"/>
          <w:b/>
          <w:i w:val="0"/>
          <w:color w:val="1F4D78"/>
          <w:sz w:val="18"/>
        </w:rPr>
        <w:t xml:space="preserve">Figure 2. </w:t>
      </w:r>
      <w:r>
        <w:rPr>
          <w:rFonts w:ascii="Calibri" w:hAnsi="Calibri"/>
          <w:b w:val="0"/>
          <w:i/>
          <w:color w:val="000000"/>
          <w:sz w:val="18"/>
        </w:rPr>
        <w:t>Conceptual structure of the LSTM model used as a nonlinear recurrent forecaster.</w:t>
      </w:r>
    </w:p>
    <w:p>
      <w:pPr>
        <w:spacing w:after="180"/>
        <w:jc w:val="center"/>
      </w:pPr>
      <w:r>
        <w:drawing>
          <wp:inline xmlns:a="http://schemas.openxmlformats.org/drawingml/2006/main" xmlns:pic="http://schemas.openxmlformats.org/drawingml/2006/picture">
            <wp:extent cx="5760720" cy="2370399"/>
            <wp:docPr id="2" name="Picture 2"/>
            <wp:cNvGraphicFramePr>
              <a:graphicFrameLocks noChangeAspect="1"/>
            </wp:cNvGraphicFramePr>
            <a:graphic>
              <a:graphicData uri="http://schemas.openxmlformats.org/drawingml/2006/picture">
                <pic:pic>
                  <pic:nvPicPr>
                    <pic:cNvPr id="0" name="fig2_lstm_structure.png"/>
                    <pic:cNvPicPr/>
                  </pic:nvPicPr>
                  <pic:blipFill>
                    <a:blip r:embed="rId12"/>
                    <a:stretch>
                      <a:fillRect/>
                    </a:stretch>
                  </pic:blipFill>
                  <pic:spPr>
                    <a:xfrm>
                      <a:off x="0" y="0"/>
                      <a:ext cx="5760720" cy="2370399"/>
                    </a:xfrm>
                    <a:prstGeom prst="rect"/>
                  </pic:spPr>
                </pic:pic>
              </a:graphicData>
            </a:graphic>
          </wp:inline>
        </w:drawing>
      </w:r>
    </w:p>
    <w:p>
      <w:pPr>
        <w:keepNext/>
        <w:spacing w:before="100" w:after="80"/>
      </w:pPr>
      <w:r>
        <w:rPr>
          <w:rFonts w:ascii="Calibri" w:hAnsi="Calibri"/>
          <w:b/>
          <w:i w:val="0"/>
          <w:color w:val="1F4D78"/>
          <w:sz w:val="18"/>
        </w:rPr>
        <w:t xml:space="preserve">Figure 3. </w:t>
      </w:r>
      <w:r>
        <w:rPr>
          <w:rFonts w:ascii="Calibri" w:hAnsi="Calibri"/>
          <w:b w:val="0"/>
          <w:i/>
          <w:color w:val="000000"/>
          <w:sz w:val="18"/>
        </w:rPr>
        <w:t>Framework of the Liu-structured retrospective multimodal lithium-price study.</w:t>
      </w:r>
    </w:p>
    <w:p>
      <w:pPr>
        <w:spacing w:after="180"/>
        <w:jc w:val="center"/>
      </w:pPr>
      <w:r>
        <w:drawing>
          <wp:inline xmlns:a="http://schemas.openxmlformats.org/drawingml/2006/main" xmlns:pic="http://schemas.openxmlformats.org/drawingml/2006/picture">
            <wp:extent cx="5760720" cy="2270330"/>
            <wp:docPr id="3" name="Picture 3"/>
            <wp:cNvGraphicFramePr>
              <a:graphicFrameLocks noChangeAspect="1"/>
            </wp:cNvGraphicFramePr>
            <a:graphic>
              <a:graphicData uri="http://schemas.openxmlformats.org/drawingml/2006/picture">
                <pic:pic>
                  <pic:nvPicPr>
                    <pic:cNvPr id="0" name="fig3_framework.png"/>
                    <pic:cNvPicPr/>
                  </pic:nvPicPr>
                  <pic:blipFill>
                    <a:blip r:embed="rId13"/>
                    <a:stretch>
                      <a:fillRect/>
                    </a:stretch>
                  </pic:blipFill>
                  <pic:spPr>
                    <a:xfrm>
                      <a:off x="0" y="0"/>
                      <a:ext cx="5760720" cy="2270330"/>
                    </a:xfrm>
                    <a:prstGeom prst="rect"/>
                  </pic:spPr>
                </pic:pic>
              </a:graphicData>
            </a:graphic>
          </wp:inline>
        </w:drawing>
      </w:r>
    </w:p>
    <w:p>
      <w:pPr>
        <w:pStyle w:val="Heading2"/>
      </w:pPr>
      <w:r>
        <w:t>3.1 Forecasting architecture</w:t>
      </w:r>
    </w:p>
    <w:p>
      <w:pPr>
        <w:spacing w:after="160" w:line="320" w:lineRule="auto"/>
        <w:jc w:val="both"/>
      </w:pPr>
      <w:r>
        <w:rPr>
          <w:rFonts w:ascii="Calibri" w:hAnsi="Calibri"/>
          <w:b w:val="0"/>
          <w:i w:val="0"/>
          <w:color w:val="000000"/>
          <w:sz w:val="22"/>
        </w:rPr>
        <w:t>For each target, lagged target observations are combined with cross-lithium, lithium-equity, Google Trends, lithium-news, and market-control blocks. LASSO is applied separately to each decomposed series. The first two VMD modes are routed to ARIMA and the remaining modes to LSTM, following the reference implementation's operational routing. Component forecasts and the forecast VMD reconstruction residual are summed to recover the price forecast.</w:t>
      </w:r>
    </w:p>
    <w:p>
      <w:pPr>
        <w:spacing w:after="160" w:line="320" w:lineRule="auto"/>
        <w:jc w:val="both"/>
      </w:pPr>
      <w:r>
        <w:rPr>
          <w:rFonts w:ascii="Calibri" w:hAnsi="Calibri"/>
          <w:b w:val="0"/>
          <w:i w:val="0"/>
          <w:color w:val="000000"/>
          <w:sz w:val="22"/>
        </w:rPr>
        <w:t>Seven single-model benchmarks—exponential smoothing (ES), ARIMA, SVR, random forest (RF), multilayer perceptron (MLP), extreme learning machine (ELM), and LSTM—are fitted to the undecomposed price problem. CEEMDAN-ARIMA, VMD-ARIMA, CEEMDAN-LSTM and VMD-LSTM isolate the contribution of decomposition and forecasting family. The random walk is retained in a companion robustness ledger but excluded from Table 7 to match the reference paper's benchmark design.</w:t>
      </w:r>
    </w:p>
    <w:p>
      <w:pPr>
        <w:pStyle w:val="Heading2"/>
      </w:pPr>
      <w:r>
        <w:t>3.2 Evaluation</w:t>
      </w:r>
    </w:p>
    <w:p>
      <w:pPr>
        <w:spacing w:after="160" w:line="320" w:lineRule="auto"/>
        <w:jc w:val="both"/>
      </w:pPr>
      <w:r>
        <w:rPr>
          <w:rFonts w:ascii="Calibri" w:hAnsi="Calibri"/>
          <w:b w:val="0"/>
          <w:i w:val="0"/>
          <w:color w:val="000000"/>
          <w:sz w:val="22"/>
        </w:rPr>
        <w:t>Point accuracy is summarized by RMSE, MAE, MASE, MAPE, symmetric MAPE, and directional accuracy. Pairwise Diebold-Mariano tests use squared-error loss. The first quarter of the static testing sequence supplies residual quantiles for nominal 80%, 90%, and 95% retrospective intervals; the remaining observations are evaluated for coverage, width, calibration error, and Winkler score.</w:t>
      </w:r>
    </w:p>
    <w:p>
      <w:pPr>
        <w:spacing w:after="160" w:line="320" w:lineRule="auto"/>
        <w:jc w:val="both"/>
      </w:pPr>
      <w:r>
        <w:rPr>
          <w:rFonts w:ascii="Calibri" w:hAnsi="Calibri"/>
          <w:b w:val="0"/>
          <w:i w:val="0"/>
          <w:color w:val="000000"/>
          <w:sz w:val="22"/>
        </w:rPr>
        <w:t>Scheme 1 takes the sign of the forecast price change. Scheme 1' applies an interval-width filter. Scheme 2 deducts 10 basis points when the position changes, and Scheme 2' combines costs and the uncertainty filter. Cumulative return, daily return, maximum drawdown, Sharpe ratio, transaction count, and hit rate are reported. These are mechanical retrospective simulations and do not include bid-ask spreads beyond the stated charge, market impact, liquidity constraints, margin, or contract-roll implementation.</w:t>
      </w:r>
    </w:p>
    <w:p>
      <w:pPr>
        <w:keepNext/>
        <w:spacing w:before="100" w:after="80"/>
      </w:pPr>
      <w:r>
        <w:rPr>
          <w:rFonts w:ascii="Calibri" w:hAnsi="Calibri"/>
          <w:b/>
          <w:i w:val="0"/>
          <w:color w:val="1F4D78"/>
          <w:sz w:val="18"/>
        </w:rPr>
        <w:t xml:space="preserve">Table 2. </w:t>
      </w:r>
      <w:r>
        <w:rPr>
          <w:rFonts w:ascii="Calibri" w:hAnsi="Calibri"/>
          <w:b w:val="0"/>
          <w:i/>
          <w:color w:val="000000"/>
          <w:sz w:val="18"/>
        </w:rPr>
        <w:t>Parameter settings used in this study.</w:t>
      </w:r>
    </w:p>
    <w:tbl>
      <w:tblPr>
        <w:tblStyle w:val="TableGrid"/>
        <w:tblW w:type="dxa" w:w="9360"/>
        <w:jc w:val="left"/>
        <w:tblLayout w:type="fixed"/>
        <w:tblLook w:firstColumn="1" w:firstRow="1" w:lastColumn="0" w:lastRow="0" w:noHBand="0" w:noVBand="1" w:val="04A0"/>
      </w:tblPr>
      <w:tblGrid>
        <w:gridCol w:w="2044"/>
        <w:gridCol w:w="3657"/>
        <w:gridCol w:w="3659"/>
      </w:tblGrid>
      <w:tr>
        <w:trPr>
          <w:tblHeader w:val="true"/>
        </w:trPr>
        <w:tc>
          <w:tcPr>
            <w:tcW w:type="dxa" w:w="2044"/>
            <w:shd w:fill="F4F6F9"/>
            <w:vAlign w:val="center"/>
          </w:tcPr>
          <w:p>
            <w:pPr>
              <w:jc w:val="center"/>
            </w:pPr>
            <w:r/>
            <w:r>
              <w:rPr>
                <w:rFonts w:ascii="Calibri" w:hAnsi="Calibri"/>
                <w:b/>
                <w:i w:val="0"/>
                <w:color w:val="0B2545"/>
                <w:sz w:val="14"/>
              </w:rPr>
              <w:t>Parameter</w:t>
            </w:r>
          </w:p>
        </w:tc>
        <w:tc>
          <w:tcPr>
            <w:tcW w:type="dxa" w:w="3657"/>
            <w:shd w:fill="F4F6F9"/>
            <w:vAlign w:val="center"/>
          </w:tcPr>
          <w:p>
            <w:pPr>
              <w:jc w:val="center"/>
            </w:pPr>
            <w:r/>
            <w:r>
              <w:rPr>
                <w:rFonts w:ascii="Calibri" w:hAnsi="Calibri"/>
                <w:b/>
                <w:i w:val="0"/>
                <w:color w:val="0B2545"/>
                <w:sz w:val="14"/>
              </w:rPr>
              <w:t>Setting</w:t>
            </w:r>
          </w:p>
        </w:tc>
        <w:tc>
          <w:tcPr>
            <w:tcW w:type="dxa" w:w="3659"/>
            <w:shd w:fill="F4F6F9"/>
            <w:vAlign w:val="center"/>
          </w:tcPr>
          <w:p>
            <w:pPr>
              <w:jc w:val="center"/>
            </w:pPr>
            <w:r/>
            <w:r>
              <w:rPr>
                <w:rFonts w:ascii="Calibri" w:hAnsi="Calibri"/>
                <w:b/>
                <w:i w:val="0"/>
                <w:color w:val="0B2545"/>
                <w:sz w:val="14"/>
              </w:rPr>
              <w:t>Function</w:t>
            </w:r>
          </w:p>
        </w:tc>
      </w:tr>
      <w:tr>
        <w:tc>
          <w:tcPr>
            <w:tcW w:type="dxa" w:w="2044"/>
            <w:vAlign w:val="center"/>
          </w:tcPr>
          <w:p>
            <w:pPr>
              <w:spacing w:after="0" w:line="240" w:lineRule="auto"/>
              <w:jc w:val="left"/>
            </w:pPr>
            <w:r/>
            <w:r>
              <w:rPr>
                <w:rFonts w:ascii="Calibri" w:hAnsi="Calibri"/>
                <w:b w:val="0"/>
                <w:i w:val="0"/>
                <w:color w:val="000000"/>
                <w:sz w:val="14"/>
              </w:rPr>
              <w:t>Chronological split</w:t>
            </w:r>
          </w:p>
        </w:tc>
        <w:tc>
          <w:tcPr>
            <w:tcW w:type="dxa" w:w="3657"/>
            <w:vAlign w:val="center"/>
          </w:tcPr>
          <w:p>
            <w:pPr>
              <w:spacing w:after="0" w:line="240" w:lineRule="auto"/>
              <w:jc w:val="center"/>
            </w:pPr>
            <w:r/>
            <w:r>
              <w:rPr>
                <w:rFonts w:ascii="Calibri" w:hAnsi="Calibri"/>
                <w:b w:val="0"/>
                <w:i w:val="0"/>
                <w:color w:val="000000"/>
                <w:sz w:val="14"/>
              </w:rPr>
              <w:t>80:20</w:t>
            </w:r>
          </w:p>
        </w:tc>
        <w:tc>
          <w:tcPr>
            <w:tcW w:type="dxa" w:w="3659"/>
            <w:vAlign w:val="center"/>
          </w:tcPr>
          <w:p>
            <w:pPr>
              <w:spacing w:after="0" w:line="240" w:lineRule="auto"/>
              <w:jc w:val="center"/>
            </w:pPr>
            <w:r/>
            <w:r>
              <w:rPr>
                <w:rFonts w:ascii="Calibri" w:hAnsi="Calibri"/>
                <w:b w:val="0"/>
                <w:i w:val="0"/>
                <w:color w:val="000000"/>
                <w:sz w:val="14"/>
              </w:rPr>
              <w:t>Static training and testing sets</w:t>
            </w:r>
          </w:p>
        </w:tc>
      </w:tr>
      <w:tr>
        <w:tc>
          <w:tcPr>
            <w:tcW w:type="dxa" w:w="2044"/>
            <w:vAlign w:val="center"/>
          </w:tcPr>
          <w:p>
            <w:pPr>
              <w:spacing w:after="0" w:line="240" w:lineRule="auto"/>
              <w:jc w:val="left"/>
            </w:pPr>
            <w:r/>
            <w:r>
              <w:rPr>
                <w:rFonts w:ascii="Calibri" w:hAnsi="Calibri"/>
                <w:b w:val="0"/>
                <w:i w:val="0"/>
                <w:color w:val="000000"/>
                <w:sz w:val="14"/>
              </w:rPr>
              <w:t>Lag order</w:t>
            </w:r>
          </w:p>
        </w:tc>
        <w:tc>
          <w:tcPr>
            <w:tcW w:type="dxa" w:w="3657"/>
            <w:vAlign w:val="center"/>
          </w:tcPr>
          <w:p>
            <w:pPr>
              <w:spacing w:after="0" w:line="240" w:lineRule="auto"/>
              <w:jc w:val="center"/>
            </w:pPr>
            <w:r/>
            <w:r>
              <w:rPr>
                <w:rFonts w:ascii="Calibri" w:hAnsi="Calibri"/>
                <w:b w:val="0"/>
                <w:i w:val="0"/>
                <w:color w:val="000000"/>
                <w:sz w:val="14"/>
              </w:rPr>
              <w:t>5</w:t>
            </w:r>
          </w:p>
        </w:tc>
        <w:tc>
          <w:tcPr>
            <w:tcW w:type="dxa" w:w="3659"/>
            <w:vAlign w:val="center"/>
          </w:tcPr>
          <w:p>
            <w:pPr>
              <w:spacing w:after="0" w:line="240" w:lineRule="auto"/>
              <w:jc w:val="center"/>
            </w:pPr>
            <w:r/>
            <w:r>
              <w:rPr>
                <w:rFonts w:ascii="Calibri" w:hAnsi="Calibri"/>
                <w:b w:val="0"/>
                <w:i w:val="0"/>
                <w:color w:val="000000"/>
                <w:sz w:val="14"/>
              </w:rPr>
              <w:t>Lagged target and indicator features</w:t>
            </w:r>
          </w:p>
        </w:tc>
      </w:tr>
      <w:tr>
        <w:tc>
          <w:tcPr>
            <w:tcW w:type="dxa" w:w="2044"/>
            <w:vAlign w:val="center"/>
          </w:tcPr>
          <w:p>
            <w:pPr>
              <w:spacing w:after="0" w:line="240" w:lineRule="auto"/>
              <w:jc w:val="left"/>
            </w:pPr>
            <w:r/>
            <w:r>
              <w:rPr>
                <w:rFonts w:ascii="Calibri" w:hAnsi="Calibri"/>
                <w:b w:val="0"/>
                <w:i w:val="0"/>
                <w:color w:val="000000"/>
                <w:sz w:val="14"/>
              </w:rPr>
              <w:t>VMD modes</w:t>
            </w:r>
          </w:p>
        </w:tc>
        <w:tc>
          <w:tcPr>
            <w:tcW w:type="dxa" w:w="3657"/>
            <w:vAlign w:val="center"/>
          </w:tcPr>
          <w:p>
            <w:pPr>
              <w:spacing w:after="0" w:line="240" w:lineRule="auto"/>
              <w:jc w:val="center"/>
            </w:pPr>
            <w:r/>
            <w:r>
              <w:rPr>
                <w:rFonts w:ascii="Calibri" w:hAnsi="Calibri"/>
                <w:b w:val="0"/>
                <w:i w:val="0"/>
                <w:color w:val="000000"/>
                <w:sz w:val="14"/>
              </w:rPr>
              <w:t>lithium_hydroxide: 9; lithium_carbonate: 8</w:t>
            </w:r>
          </w:p>
        </w:tc>
        <w:tc>
          <w:tcPr>
            <w:tcW w:type="dxa" w:w="3659"/>
            <w:vAlign w:val="center"/>
          </w:tcPr>
          <w:p>
            <w:pPr>
              <w:spacing w:after="0" w:line="240" w:lineRule="auto"/>
              <w:jc w:val="center"/>
            </w:pPr>
            <w:r/>
            <w:r>
              <w:rPr>
                <w:rFonts w:ascii="Calibri" w:hAnsi="Calibri"/>
                <w:b w:val="0"/>
                <w:i w:val="0"/>
                <w:color w:val="000000"/>
                <w:sz w:val="14"/>
              </w:rPr>
              <w:t>Target-specific decomposition</w:t>
            </w:r>
          </w:p>
        </w:tc>
      </w:tr>
      <w:tr>
        <w:tc>
          <w:tcPr>
            <w:tcW w:type="dxa" w:w="2044"/>
            <w:vAlign w:val="center"/>
          </w:tcPr>
          <w:p>
            <w:pPr>
              <w:spacing w:after="0" w:line="240" w:lineRule="auto"/>
              <w:jc w:val="left"/>
            </w:pPr>
            <w:r/>
            <w:r>
              <w:rPr>
                <w:rFonts w:ascii="Calibri" w:hAnsi="Calibri"/>
                <w:b w:val="0"/>
                <w:i w:val="0"/>
                <w:color w:val="000000"/>
                <w:sz w:val="14"/>
              </w:rPr>
              <w:t>LSTM hidden units</w:t>
            </w:r>
          </w:p>
        </w:tc>
        <w:tc>
          <w:tcPr>
            <w:tcW w:type="dxa" w:w="3657"/>
            <w:vAlign w:val="center"/>
          </w:tcPr>
          <w:p>
            <w:pPr>
              <w:spacing w:after="0" w:line="240" w:lineRule="auto"/>
              <w:jc w:val="center"/>
            </w:pPr>
            <w:r/>
            <w:r>
              <w:rPr>
                <w:rFonts w:ascii="Calibri" w:hAnsi="Calibri"/>
                <w:b w:val="0"/>
                <w:i w:val="0"/>
                <w:color w:val="000000"/>
                <w:sz w:val="14"/>
              </w:rPr>
              <w:t>64</w:t>
            </w:r>
          </w:p>
        </w:tc>
        <w:tc>
          <w:tcPr>
            <w:tcW w:type="dxa" w:w="3659"/>
            <w:vAlign w:val="center"/>
          </w:tcPr>
          <w:p>
            <w:pPr>
              <w:spacing w:after="0" w:line="240" w:lineRule="auto"/>
              <w:jc w:val="center"/>
            </w:pPr>
            <w:r/>
            <w:r>
              <w:rPr>
                <w:rFonts w:ascii="Calibri" w:hAnsi="Calibri"/>
                <w:b w:val="0"/>
                <w:i w:val="0"/>
                <w:color w:val="000000"/>
                <w:sz w:val="14"/>
              </w:rPr>
              <w:t>One recurrent layer</w:t>
            </w:r>
          </w:p>
        </w:tc>
      </w:tr>
      <w:tr>
        <w:tc>
          <w:tcPr>
            <w:tcW w:type="dxa" w:w="2044"/>
            <w:vAlign w:val="center"/>
          </w:tcPr>
          <w:p>
            <w:pPr>
              <w:spacing w:after="0" w:line="240" w:lineRule="auto"/>
              <w:jc w:val="left"/>
            </w:pPr>
            <w:r/>
            <w:r>
              <w:rPr>
                <w:rFonts w:ascii="Calibri" w:hAnsi="Calibri"/>
                <w:b w:val="0"/>
                <w:i w:val="0"/>
                <w:color w:val="000000"/>
                <w:sz w:val="14"/>
              </w:rPr>
              <w:t>LSTM epochs</w:t>
            </w:r>
          </w:p>
        </w:tc>
        <w:tc>
          <w:tcPr>
            <w:tcW w:type="dxa" w:w="3657"/>
            <w:vAlign w:val="center"/>
          </w:tcPr>
          <w:p>
            <w:pPr>
              <w:spacing w:after="0" w:line="240" w:lineRule="auto"/>
              <w:jc w:val="center"/>
            </w:pPr>
            <w:r/>
            <w:r>
              <w:rPr>
                <w:rFonts w:ascii="Calibri" w:hAnsi="Calibri"/>
                <w:b w:val="0"/>
                <w:i w:val="0"/>
                <w:color w:val="000000"/>
                <w:sz w:val="14"/>
              </w:rPr>
              <w:t>100</w:t>
            </w:r>
          </w:p>
        </w:tc>
        <w:tc>
          <w:tcPr>
            <w:tcW w:type="dxa" w:w="3659"/>
            <w:vAlign w:val="center"/>
          </w:tcPr>
          <w:p>
            <w:pPr>
              <w:spacing w:after="0" w:line="240" w:lineRule="auto"/>
              <w:jc w:val="center"/>
            </w:pPr>
            <w:r/>
            <w:r>
              <w:rPr>
                <w:rFonts w:ascii="Calibri" w:hAnsi="Calibri"/>
                <w:b w:val="0"/>
                <w:i w:val="0"/>
                <w:color w:val="000000"/>
                <w:sz w:val="14"/>
              </w:rPr>
              <w:t>Training iterations</w:t>
            </w:r>
          </w:p>
        </w:tc>
      </w:tr>
      <w:tr>
        <w:tc>
          <w:tcPr>
            <w:tcW w:type="dxa" w:w="2044"/>
            <w:vAlign w:val="center"/>
          </w:tcPr>
          <w:p>
            <w:pPr>
              <w:spacing w:after="0" w:line="240" w:lineRule="auto"/>
              <w:jc w:val="left"/>
            </w:pPr>
            <w:r/>
            <w:r>
              <w:rPr>
                <w:rFonts w:ascii="Calibri" w:hAnsi="Calibri"/>
                <w:b w:val="0"/>
                <w:i w:val="0"/>
                <w:color w:val="000000"/>
                <w:sz w:val="14"/>
              </w:rPr>
              <w:t>LSTM batch size</w:t>
            </w:r>
          </w:p>
        </w:tc>
        <w:tc>
          <w:tcPr>
            <w:tcW w:type="dxa" w:w="3657"/>
            <w:vAlign w:val="center"/>
          </w:tcPr>
          <w:p>
            <w:pPr>
              <w:spacing w:after="0" w:line="240" w:lineRule="auto"/>
              <w:jc w:val="center"/>
            </w:pPr>
            <w:r/>
            <w:r>
              <w:rPr>
                <w:rFonts w:ascii="Calibri" w:hAnsi="Calibri"/>
                <w:b w:val="0"/>
                <w:i w:val="0"/>
                <w:color w:val="000000"/>
                <w:sz w:val="14"/>
              </w:rPr>
              <w:t>64</w:t>
            </w:r>
          </w:p>
        </w:tc>
        <w:tc>
          <w:tcPr>
            <w:tcW w:type="dxa" w:w="3659"/>
            <w:vAlign w:val="center"/>
          </w:tcPr>
          <w:p>
            <w:pPr>
              <w:spacing w:after="0" w:line="240" w:lineRule="auto"/>
              <w:jc w:val="center"/>
            </w:pPr>
            <w:r/>
            <w:r>
              <w:rPr>
                <w:rFonts w:ascii="Calibri" w:hAnsi="Calibri"/>
                <w:b w:val="0"/>
                <w:i w:val="0"/>
                <w:color w:val="000000"/>
                <w:sz w:val="14"/>
              </w:rPr>
              <w:t>Mini-batch size</w:t>
            </w:r>
          </w:p>
        </w:tc>
      </w:tr>
      <w:tr>
        <w:tc>
          <w:tcPr>
            <w:tcW w:type="dxa" w:w="2044"/>
            <w:vAlign w:val="center"/>
          </w:tcPr>
          <w:p>
            <w:pPr>
              <w:spacing w:after="0" w:line="240" w:lineRule="auto"/>
              <w:jc w:val="left"/>
            </w:pPr>
            <w:r/>
            <w:r>
              <w:rPr>
                <w:rFonts w:ascii="Calibri" w:hAnsi="Calibri"/>
                <w:b w:val="0"/>
                <w:i w:val="0"/>
                <w:color w:val="000000"/>
                <w:sz w:val="14"/>
              </w:rPr>
              <w:t>RF estimators</w:t>
            </w:r>
          </w:p>
        </w:tc>
        <w:tc>
          <w:tcPr>
            <w:tcW w:type="dxa" w:w="3657"/>
            <w:vAlign w:val="center"/>
          </w:tcPr>
          <w:p>
            <w:pPr>
              <w:spacing w:after="0" w:line="240" w:lineRule="auto"/>
              <w:jc w:val="center"/>
            </w:pPr>
            <w:r/>
            <w:r>
              <w:rPr>
                <w:rFonts w:ascii="Calibri" w:hAnsi="Calibri"/>
                <w:b w:val="0"/>
                <w:i w:val="0"/>
                <w:color w:val="000000"/>
                <w:sz w:val="14"/>
              </w:rPr>
              <w:t>100</w:t>
            </w:r>
          </w:p>
        </w:tc>
        <w:tc>
          <w:tcPr>
            <w:tcW w:type="dxa" w:w="3659"/>
            <w:vAlign w:val="center"/>
          </w:tcPr>
          <w:p>
            <w:pPr>
              <w:spacing w:after="0" w:line="240" w:lineRule="auto"/>
              <w:jc w:val="center"/>
            </w:pPr>
            <w:r/>
            <w:r>
              <w:rPr>
                <w:rFonts w:ascii="Calibri" w:hAnsi="Calibri"/>
                <w:b w:val="0"/>
                <w:i w:val="0"/>
                <w:color w:val="000000"/>
                <w:sz w:val="14"/>
              </w:rPr>
              <w:t>Single-model benchmark</w:t>
            </w:r>
          </w:p>
        </w:tc>
      </w:tr>
      <w:tr>
        <w:tc>
          <w:tcPr>
            <w:tcW w:type="dxa" w:w="2044"/>
            <w:vAlign w:val="center"/>
          </w:tcPr>
          <w:p>
            <w:pPr>
              <w:spacing w:after="0" w:line="240" w:lineRule="auto"/>
              <w:jc w:val="left"/>
            </w:pPr>
            <w:r/>
            <w:r>
              <w:rPr>
                <w:rFonts w:ascii="Calibri" w:hAnsi="Calibri"/>
                <w:b w:val="0"/>
                <w:i w:val="0"/>
                <w:color w:val="000000"/>
                <w:sz w:val="14"/>
              </w:rPr>
              <w:t>SVR</w:t>
            </w:r>
          </w:p>
        </w:tc>
        <w:tc>
          <w:tcPr>
            <w:tcW w:type="dxa" w:w="3657"/>
            <w:vAlign w:val="center"/>
          </w:tcPr>
          <w:p>
            <w:pPr>
              <w:spacing w:after="0" w:line="240" w:lineRule="auto"/>
              <w:jc w:val="center"/>
            </w:pPr>
            <w:r/>
            <w:r>
              <w:rPr>
                <w:rFonts w:ascii="Calibri" w:hAnsi="Calibri"/>
                <w:b w:val="0"/>
                <w:i w:val="0"/>
                <w:color w:val="000000"/>
                <w:sz w:val="14"/>
              </w:rPr>
              <w:t>RBF; C=8.1; gamma=0.1</w:t>
            </w:r>
          </w:p>
        </w:tc>
        <w:tc>
          <w:tcPr>
            <w:tcW w:type="dxa" w:w="3659"/>
            <w:vAlign w:val="center"/>
          </w:tcPr>
          <w:p>
            <w:pPr>
              <w:spacing w:after="0" w:line="240" w:lineRule="auto"/>
              <w:jc w:val="center"/>
            </w:pPr>
            <w:r/>
            <w:r>
              <w:rPr>
                <w:rFonts w:ascii="Calibri" w:hAnsi="Calibri"/>
                <w:b w:val="0"/>
                <w:i w:val="0"/>
                <w:color w:val="000000"/>
                <w:sz w:val="14"/>
              </w:rPr>
              <w:t>Single-model benchmark</w:t>
            </w:r>
          </w:p>
        </w:tc>
      </w:tr>
      <w:tr>
        <w:tc>
          <w:tcPr>
            <w:tcW w:type="dxa" w:w="2044"/>
            <w:vAlign w:val="center"/>
          </w:tcPr>
          <w:p>
            <w:pPr>
              <w:spacing w:after="0" w:line="240" w:lineRule="auto"/>
              <w:jc w:val="left"/>
            </w:pPr>
            <w:r/>
            <w:r>
              <w:rPr>
                <w:rFonts w:ascii="Calibri" w:hAnsi="Calibri"/>
                <w:b w:val="0"/>
                <w:i w:val="0"/>
                <w:color w:val="000000"/>
                <w:sz w:val="14"/>
              </w:rPr>
              <w:t>Interval levels</w:t>
            </w:r>
          </w:p>
        </w:tc>
        <w:tc>
          <w:tcPr>
            <w:tcW w:type="dxa" w:w="3657"/>
            <w:vAlign w:val="center"/>
          </w:tcPr>
          <w:p>
            <w:pPr>
              <w:spacing w:after="0" w:line="240" w:lineRule="auto"/>
              <w:jc w:val="center"/>
            </w:pPr>
            <w:r/>
            <w:r>
              <w:rPr>
                <w:rFonts w:ascii="Calibri" w:hAnsi="Calibri"/>
                <w:b w:val="0"/>
                <w:i w:val="0"/>
                <w:color w:val="000000"/>
                <w:sz w:val="14"/>
              </w:rPr>
              <w:t>80%, 90%, 95%</w:t>
            </w:r>
          </w:p>
        </w:tc>
        <w:tc>
          <w:tcPr>
            <w:tcW w:type="dxa" w:w="3659"/>
            <w:vAlign w:val="center"/>
          </w:tcPr>
          <w:p>
            <w:pPr>
              <w:spacing w:after="0" w:line="240" w:lineRule="auto"/>
              <w:jc w:val="center"/>
            </w:pPr>
            <w:r/>
            <w:r>
              <w:rPr>
                <w:rFonts w:ascii="Calibri" w:hAnsi="Calibri"/>
                <w:b w:val="0"/>
                <w:i w:val="0"/>
                <w:color w:val="000000"/>
                <w:sz w:val="14"/>
              </w:rPr>
              <w:t>Residual-quantile intervals</w:t>
            </w:r>
          </w:p>
        </w:tc>
      </w:tr>
      <w:tr>
        <w:tc>
          <w:tcPr>
            <w:tcW w:type="dxa" w:w="2044"/>
            <w:vAlign w:val="center"/>
          </w:tcPr>
          <w:p>
            <w:pPr>
              <w:spacing w:after="0" w:line="240" w:lineRule="auto"/>
              <w:jc w:val="left"/>
            </w:pPr>
            <w:r/>
            <w:r>
              <w:rPr>
                <w:rFonts w:ascii="Calibri" w:hAnsi="Calibri"/>
                <w:b w:val="0"/>
                <w:i w:val="0"/>
                <w:color w:val="000000"/>
                <w:sz w:val="14"/>
              </w:rPr>
              <w:t>Random seed</w:t>
            </w:r>
          </w:p>
        </w:tc>
        <w:tc>
          <w:tcPr>
            <w:tcW w:type="dxa" w:w="3657"/>
            <w:vAlign w:val="center"/>
          </w:tcPr>
          <w:p>
            <w:pPr>
              <w:spacing w:after="0" w:line="240" w:lineRule="auto"/>
              <w:jc w:val="center"/>
            </w:pPr>
            <w:r/>
            <w:r>
              <w:rPr>
                <w:rFonts w:ascii="Calibri" w:hAnsi="Calibri"/>
                <w:b w:val="0"/>
                <w:i w:val="0"/>
                <w:color w:val="000000"/>
                <w:sz w:val="14"/>
              </w:rPr>
              <w:t>42</w:t>
            </w:r>
          </w:p>
        </w:tc>
        <w:tc>
          <w:tcPr>
            <w:tcW w:type="dxa" w:w="3659"/>
            <w:vAlign w:val="center"/>
          </w:tcPr>
          <w:p>
            <w:pPr>
              <w:spacing w:after="0" w:line="240" w:lineRule="auto"/>
              <w:jc w:val="center"/>
            </w:pPr>
            <w:r/>
            <w:r>
              <w:rPr>
                <w:rFonts w:ascii="Calibri" w:hAnsi="Calibri"/>
                <w:b w:val="0"/>
                <w:i w:val="0"/>
                <w:color w:val="000000"/>
                <w:sz w:val="14"/>
              </w:rPr>
              <w:t>Reproducibility</w:t>
            </w:r>
          </w:p>
        </w:tc>
      </w:tr>
    </w:tbl>
    <w:p>
      <w:pPr>
        <w:spacing w:after="60"/>
      </w:pPr>
    </w:p>
    <w:p>
      <w:r>
        <w:br w:type="page"/>
      </w:r>
    </w:p>
    <w:p>
      <w:pPr>
        <w:pStyle w:val="Heading3"/>
      </w:pPr>
      <w:r>
        <w:t>Interpretation of Table 2</w:t>
      </w:r>
    </w:p>
    <w:p>
      <w:pPr>
        <w:spacing w:after="160" w:line="320" w:lineRule="auto"/>
        <w:jc w:val="both"/>
      </w:pPr>
      <w:r>
        <w:rPr>
          <w:rFonts w:ascii="Calibri" w:hAnsi="Calibri"/>
          <w:b/>
          <w:i w:val="0"/>
          <w:color w:val="000000"/>
          <w:sz w:val="22"/>
        </w:rPr>
        <w:t>Design choices:</w:t>
      </w:r>
      <w:r>
        <w:rPr>
          <w:rFonts w:ascii="Calibri" w:hAnsi="Calibri"/>
          <w:b w:val="0"/>
          <w:i w:val="0"/>
          <w:color w:val="000000"/>
          <w:sz w:val="22"/>
        </w:rPr>
        <w:t xml:space="preserve"> Five lags provide short daily memory without exhausting a sample of fewer than 720 aligned observations. Hydroxide uses nine VMD modes and carbonate eight because the two price series have different decomposition structures.</w:t>
      </w:r>
    </w:p>
    <w:p>
      <w:pPr>
        <w:spacing w:after="160" w:line="320" w:lineRule="auto"/>
        <w:jc w:val="both"/>
      </w:pPr>
      <w:r>
        <w:rPr>
          <w:rFonts w:ascii="Calibri" w:hAnsi="Calibri"/>
          <w:b/>
          <w:i w:val="0"/>
          <w:color w:val="000000"/>
          <w:sz w:val="22"/>
        </w:rPr>
        <w:t>Model capacity:</w:t>
      </w:r>
      <w:r>
        <w:rPr>
          <w:rFonts w:ascii="Calibri" w:hAnsi="Calibri"/>
          <w:b w:val="0"/>
          <w:i w:val="0"/>
          <w:color w:val="000000"/>
          <w:sz w:val="22"/>
        </w:rPr>
        <w:t xml:space="preserve"> The modest LSTM, 100-tree RF, and reference-style SVR settings support reproducibility and comparability with Liu et al.; seed 42 fixes stochastic initialization.</w:t>
      </w:r>
    </w:p>
    <w:p>
      <w:pPr>
        <w:spacing w:after="160" w:line="320" w:lineRule="auto"/>
        <w:jc w:val="both"/>
      </w:pPr>
      <w:r>
        <w:rPr>
          <w:rFonts w:ascii="Calibri" w:hAnsi="Calibri"/>
          <w:b/>
          <w:i w:val="0"/>
          <w:color w:val="000000"/>
          <w:sz w:val="22"/>
        </w:rPr>
        <w:t>Consequence for inference:</w:t>
      </w:r>
      <w:r>
        <w:rPr>
          <w:rFonts w:ascii="Calibri" w:hAnsi="Calibri"/>
          <w:b w:val="0"/>
          <w:i w:val="0"/>
          <w:color w:val="000000"/>
          <w:sz w:val="22"/>
        </w:rPr>
        <w:t xml:space="preserve"> The 80:20 split is chronological but static. Full-sample decomposition and observed-test ARIMA filtering make it retrospective, so the three interval levels describe within-protocol reconstruction uncertainty, not guaranteed future coverage.</w:t>
      </w:r>
    </w:p>
    <w:p>
      <w:pPr>
        <w:sectPr>
          <w:headerReference w:type="default" r:id="rId9"/>
          <w:footerReference w:type="default" r:id="rId10"/>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3. </w:t>
      </w:r>
      <w:r>
        <w:rPr>
          <w:rFonts w:ascii="Calibri" w:hAnsi="Calibri"/>
          <w:b w:val="0"/>
          <w:i/>
          <w:color w:val="000000"/>
          <w:sz w:val="18"/>
        </w:rPr>
        <w:t>Indicators used in this study.</w:t>
      </w:r>
    </w:p>
    <w:tbl>
      <w:tblPr>
        <w:tblStyle w:val="TableGrid"/>
        <w:tblW w:type="dxa" w:w="13680"/>
        <w:jc w:val="left"/>
        <w:tblLayout w:type="fixed"/>
        <w:tblLook w:firstColumn="1" w:firstRow="1" w:lastColumn="0" w:lastRow="0" w:noHBand="0" w:noVBand="1" w:val="04A0"/>
      </w:tblPr>
      <w:tblGrid>
        <w:gridCol w:w="3012"/>
        <w:gridCol w:w="4267"/>
        <w:gridCol w:w="2133"/>
        <w:gridCol w:w="4268"/>
      </w:tblGrid>
      <w:tr>
        <w:trPr>
          <w:tblHeader w:val="true"/>
        </w:trPr>
        <w:tc>
          <w:tcPr>
            <w:tcW w:type="dxa" w:w="3012"/>
            <w:shd w:fill="F4F6F9"/>
            <w:vAlign w:val="center"/>
          </w:tcPr>
          <w:p>
            <w:pPr>
              <w:jc w:val="center"/>
            </w:pPr>
            <w:r/>
            <w:r>
              <w:rPr>
                <w:rFonts w:ascii="Calibri" w:hAnsi="Calibri"/>
                <w:b/>
                <w:i w:val="0"/>
                <w:color w:val="0B2545"/>
                <w:sz w:val="12"/>
              </w:rPr>
              <w:t>Indicator</w:t>
            </w:r>
          </w:p>
        </w:tc>
        <w:tc>
          <w:tcPr>
            <w:tcW w:type="dxa" w:w="4267"/>
            <w:shd w:fill="F4F6F9"/>
            <w:vAlign w:val="center"/>
          </w:tcPr>
          <w:p>
            <w:pPr>
              <w:jc w:val="center"/>
            </w:pPr>
            <w:r/>
            <w:r>
              <w:rPr>
                <w:rFonts w:ascii="Calibri" w:hAnsi="Calibri"/>
                <w:b/>
                <w:i w:val="0"/>
                <w:color w:val="0B2545"/>
                <w:sz w:val="12"/>
              </w:rPr>
              <w:t>Definition</w:t>
            </w:r>
          </w:p>
        </w:tc>
        <w:tc>
          <w:tcPr>
            <w:tcW w:type="dxa" w:w="2133"/>
            <w:shd w:fill="F4F6F9"/>
            <w:vAlign w:val="center"/>
          </w:tcPr>
          <w:p>
            <w:pPr>
              <w:jc w:val="center"/>
            </w:pPr>
            <w:r/>
            <w:r>
              <w:rPr>
                <w:rFonts w:ascii="Calibri" w:hAnsi="Calibri"/>
                <w:b/>
                <w:i w:val="0"/>
                <w:color w:val="0B2545"/>
                <w:sz w:val="12"/>
              </w:rPr>
              <w:t>Data modality</w:t>
            </w:r>
          </w:p>
        </w:tc>
        <w:tc>
          <w:tcPr>
            <w:tcW w:type="dxa" w:w="4268"/>
            <w:shd w:fill="F4F6F9"/>
            <w:vAlign w:val="center"/>
          </w:tcPr>
          <w:p>
            <w:pPr>
              <w:jc w:val="center"/>
            </w:pPr>
            <w:r/>
            <w:r>
              <w:rPr>
                <w:rFonts w:ascii="Calibri" w:hAnsi="Calibri"/>
                <w:b/>
                <w:i w:val="0"/>
                <w:color w:val="0B2545"/>
                <w:sz w:val="12"/>
              </w:rPr>
              <w:t>Treatment</w:t>
            </w:r>
          </w:p>
        </w:tc>
      </w:tr>
      <w:tr>
        <w:tc>
          <w:tcPr>
            <w:tcW w:type="dxa" w:w="3012"/>
            <w:vAlign w:val="center"/>
          </w:tcPr>
          <w:p>
            <w:pPr>
              <w:spacing w:after="0" w:line="240" w:lineRule="auto"/>
              <w:jc w:val="left"/>
            </w:pPr>
            <w:r/>
            <w:r>
              <w:rPr>
                <w:rFonts w:ascii="Calibri" w:hAnsi="Calibri"/>
                <w:b w:val="0"/>
                <w:i w:val="0"/>
                <w:color w:val="000000"/>
                <w:sz w:val="12"/>
              </w:rPr>
              <w:t>Cross_Lithium_Close</w:t>
            </w:r>
          </w:p>
        </w:tc>
        <w:tc>
          <w:tcPr>
            <w:tcW w:type="dxa" w:w="4267"/>
            <w:vAlign w:val="center"/>
          </w:tcPr>
          <w:p>
            <w:pPr>
              <w:spacing w:after="0" w:line="240" w:lineRule="auto"/>
              <w:jc w:val="center"/>
            </w:pPr>
            <w:r/>
            <w:r>
              <w:rPr>
                <w:rFonts w:ascii="Calibri" w:hAnsi="Calibri"/>
                <w:b w:val="0"/>
                <w:i w:val="0"/>
                <w:color w:val="000000"/>
                <w:sz w:val="12"/>
              </w:rPr>
              <w:t>Price of the other lithium contract/spot target</w:t>
            </w:r>
          </w:p>
        </w:tc>
        <w:tc>
          <w:tcPr>
            <w:tcW w:type="dxa" w:w="2133"/>
            <w:vAlign w:val="center"/>
          </w:tcPr>
          <w:p>
            <w:pPr>
              <w:spacing w:after="0" w:line="240" w:lineRule="auto"/>
              <w:jc w:val="center"/>
            </w:pPr>
            <w:r/>
            <w:r>
              <w:rPr>
                <w:rFonts w:ascii="Calibri" w:hAnsi="Calibri"/>
                <w:b w:val="0"/>
                <w:i w:val="0"/>
                <w:color w:val="000000"/>
                <w:sz w:val="12"/>
              </w:rPr>
              <w:t>Cross Lithium</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Albemarle_Close</w:t>
            </w:r>
          </w:p>
        </w:tc>
        <w:tc>
          <w:tcPr>
            <w:tcW w:type="dxa" w:w="4267"/>
            <w:vAlign w:val="center"/>
          </w:tcPr>
          <w:p>
            <w:pPr>
              <w:spacing w:after="0" w:line="240" w:lineRule="auto"/>
              <w:jc w:val="center"/>
            </w:pPr>
            <w:r/>
            <w:r>
              <w:rPr>
                <w:rFonts w:ascii="Calibri" w:hAnsi="Calibri"/>
                <w:b w:val="0"/>
                <w:i w:val="0"/>
                <w:color w:val="000000"/>
                <w:sz w:val="12"/>
              </w:rPr>
              <w:t>Albemarle equity close</w:t>
            </w:r>
          </w:p>
        </w:tc>
        <w:tc>
          <w:tcPr>
            <w:tcW w:type="dxa" w:w="2133"/>
            <w:vAlign w:val="center"/>
          </w:tcPr>
          <w:p>
            <w:pPr>
              <w:spacing w:after="0" w:line="240" w:lineRule="auto"/>
              <w:jc w:val="center"/>
            </w:pPr>
            <w:r/>
            <w:r>
              <w:rPr>
                <w:rFonts w:ascii="Calibri" w:hAnsi="Calibri"/>
                <w:b w:val="0"/>
                <w:i w:val="0"/>
                <w:color w:val="000000"/>
                <w:sz w:val="12"/>
              </w:rPr>
              <w:t>Lithium Equities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Ganfeng_Lithium_Close</w:t>
            </w:r>
          </w:p>
        </w:tc>
        <w:tc>
          <w:tcPr>
            <w:tcW w:type="dxa" w:w="4267"/>
            <w:vAlign w:val="center"/>
          </w:tcPr>
          <w:p>
            <w:pPr>
              <w:spacing w:after="0" w:line="240" w:lineRule="auto"/>
              <w:jc w:val="center"/>
            </w:pPr>
            <w:r/>
            <w:r>
              <w:rPr>
                <w:rFonts w:ascii="Calibri" w:hAnsi="Calibri"/>
                <w:b w:val="0"/>
                <w:i w:val="0"/>
                <w:color w:val="000000"/>
                <w:sz w:val="12"/>
              </w:rPr>
              <w:t>Ganfeng Lithium equity close</w:t>
            </w:r>
          </w:p>
        </w:tc>
        <w:tc>
          <w:tcPr>
            <w:tcW w:type="dxa" w:w="2133"/>
            <w:vAlign w:val="center"/>
          </w:tcPr>
          <w:p>
            <w:pPr>
              <w:spacing w:after="0" w:line="240" w:lineRule="auto"/>
              <w:jc w:val="center"/>
            </w:pPr>
            <w:r/>
            <w:r>
              <w:rPr>
                <w:rFonts w:ascii="Calibri" w:hAnsi="Calibri"/>
                <w:b w:val="0"/>
                <w:i w:val="0"/>
                <w:color w:val="000000"/>
                <w:sz w:val="12"/>
              </w:rPr>
              <w:t>Lithium Equities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w:t>
            </w:r>
          </w:p>
        </w:tc>
        <w:tc>
          <w:tcPr>
            <w:tcW w:type="dxa" w:w="4267"/>
            <w:vAlign w:val="center"/>
          </w:tcPr>
          <w:p>
            <w:pPr>
              <w:spacing w:after="0" w:line="240" w:lineRule="auto"/>
              <w:jc w:val="center"/>
            </w:pPr>
            <w:r/>
            <w:r>
              <w:rPr>
                <w:rFonts w:ascii="Calibri" w:hAnsi="Calibri"/>
                <w:b w:val="0"/>
                <w:i w:val="0"/>
                <w:color w:val="000000"/>
                <w:sz w:val="12"/>
              </w:rPr>
              <w:t>Google Trends: lithium</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Trends_lithium_price</w:t>
            </w:r>
          </w:p>
        </w:tc>
        <w:tc>
          <w:tcPr>
            <w:tcW w:type="dxa" w:w="4267"/>
            <w:vAlign w:val="center"/>
          </w:tcPr>
          <w:p>
            <w:pPr>
              <w:spacing w:after="0" w:line="240" w:lineRule="auto"/>
              <w:jc w:val="center"/>
            </w:pPr>
            <w:r/>
            <w:r>
              <w:rPr>
                <w:rFonts w:ascii="Calibri" w:hAnsi="Calibri"/>
                <w:b w:val="0"/>
                <w:i w:val="0"/>
                <w:color w:val="000000"/>
                <w:sz w:val="12"/>
              </w:rPr>
              <w:t>Google Trends: lithium price</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Trends_lithium_carbonate</w:t>
            </w:r>
          </w:p>
        </w:tc>
        <w:tc>
          <w:tcPr>
            <w:tcW w:type="dxa" w:w="4267"/>
            <w:vAlign w:val="center"/>
          </w:tcPr>
          <w:p>
            <w:pPr>
              <w:spacing w:after="0" w:line="240" w:lineRule="auto"/>
              <w:jc w:val="center"/>
            </w:pPr>
            <w:r/>
            <w:r>
              <w:rPr>
                <w:rFonts w:ascii="Calibri" w:hAnsi="Calibri"/>
                <w:b w:val="0"/>
                <w:i w:val="0"/>
                <w:color w:val="000000"/>
                <w:sz w:val="12"/>
              </w:rPr>
              <w:t>Google Trends: lithium carbonate</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Trends_lithium_hydroxide</w:t>
            </w:r>
          </w:p>
        </w:tc>
        <w:tc>
          <w:tcPr>
            <w:tcW w:type="dxa" w:w="4267"/>
            <w:vAlign w:val="center"/>
          </w:tcPr>
          <w:p>
            <w:pPr>
              <w:spacing w:after="0" w:line="240" w:lineRule="auto"/>
              <w:jc w:val="center"/>
            </w:pPr>
            <w:r/>
            <w:r>
              <w:rPr>
                <w:rFonts w:ascii="Calibri" w:hAnsi="Calibri"/>
                <w:b w:val="0"/>
                <w:i w:val="0"/>
                <w:color w:val="000000"/>
                <w:sz w:val="12"/>
              </w:rPr>
              <w:t>Google Trends: lithium hydroxide</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Trends_lithium_battery</w:t>
            </w:r>
          </w:p>
        </w:tc>
        <w:tc>
          <w:tcPr>
            <w:tcW w:type="dxa" w:w="4267"/>
            <w:vAlign w:val="center"/>
          </w:tcPr>
          <w:p>
            <w:pPr>
              <w:spacing w:after="0" w:line="240" w:lineRule="auto"/>
              <w:jc w:val="center"/>
            </w:pPr>
            <w:r/>
            <w:r>
              <w:rPr>
                <w:rFonts w:ascii="Calibri" w:hAnsi="Calibri"/>
                <w:b w:val="0"/>
                <w:i w:val="0"/>
                <w:color w:val="000000"/>
                <w:sz w:val="12"/>
              </w:rPr>
              <w:t>Google Trends: lithium battery</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News_Article_Count</w:t>
            </w:r>
          </w:p>
        </w:tc>
        <w:tc>
          <w:tcPr>
            <w:tcW w:type="dxa" w:w="4267"/>
            <w:vAlign w:val="center"/>
          </w:tcPr>
          <w:p>
            <w:pPr>
              <w:spacing w:after="0" w:line="240" w:lineRule="auto"/>
              <w:jc w:val="center"/>
            </w:pPr>
            <w:r/>
            <w:r>
              <w:rPr>
                <w:rFonts w:ascii="Calibri" w:hAnsi="Calibri"/>
                <w:b w:val="0"/>
                <w:i w:val="0"/>
                <w:color w:val="000000"/>
                <w:sz w:val="12"/>
              </w:rPr>
              <w:t>Lithium-headline volume</w:t>
            </w:r>
          </w:p>
        </w:tc>
        <w:tc>
          <w:tcPr>
            <w:tcW w:type="dxa" w:w="2133"/>
            <w:vAlign w:val="center"/>
          </w:tcPr>
          <w:p>
            <w:pPr>
              <w:spacing w:after="0" w:line="240" w:lineRule="auto"/>
              <w:jc w:val="center"/>
            </w:pPr>
            <w:r/>
            <w:r>
              <w:rPr>
                <w:rFonts w:ascii="Calibri" w:hAnsi="Calibri"/>
                <w:b w:val="0"/>
                <w:i w:val="0"/>
                <w:color w:val="000000"/>
                <w:sz w:val="12"/>
              </w:rPr>
              <w:t>Lithium News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News_TextBlob_Polarity</w:t>
            </w:r>
          </w:p>
        </w:tc>
        <w:tc>
          <w:tcPr>
            <w:tcW w:type="dxa" w:w="4267"/>
            <w:vAlign w:val="center"/>
          </w:tcPr>
          <w:p>
            <w:pPr>
              <w:spacing w:after="0" w:line="240" w:lineRule="auto"/>
              <w:jc w:val="center"/>
            </w:pPr>
            <w:r/>
            <w:r>
              <w:rPr>
                <w:rFonts w:ascii="Calibri" w:hAnsi="Calibri"/>
                <w:b w:val="0"/>
                <w:i w:val="0"/>
                <w:color w:val="000000"/>
                <w:sz w:val="12"/>
              </w:rPr>
              <w:t>Lexicon sentiment of lithium headlines</w:t>
            </w:r>
          </w:p>
        </w:tc>
        <w:tc>
          <w:tcPr>
            <w:tcW w:type="dxa" w:w="2133"/>
            <w:vAlign w:val="center"/>
          </w:tcPr>
          <w:p>
            <w:pPr>
              <w:spacing w:after="0" w:line="240" w:lineRule="auto"/>
              <w:jc w:val="center"/>
            </w:pPr>
            <w:r/>
            <w:r>
              <w:rPr>
                <w:rFonts w:ascii="Calibri" w:hAnsi="Calibri"/>
                <w:b w:val="0"/>
                <w:i w:val="0"/>
                <w:color w:val="000000"/>
                <w:sz w:val="12"/>
              </w:rPr>
              <w:t>Lithium News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News_FinBERT_Score</w:t>
            </w:r>
          </w:p>
        </w:tc>
        <w:tc>
          <w:tcPr>
            <w:tcW w:type="dxa" w:w="4267"/>
            <w:vAlign w:val="center"/>
          </w:tcPr>
          <w:p>
            <w:pPr>
              <w:spacing w:after="0" w:line="240" w:lineRule="auto"/>
              <w:jc w:val="center"/>
            </w:pPr>
            <w:r/>
            <w:r>
              <w:rPr>
                <w:rFonts w:ascii="Calibri" w:hAnsi="Calibri"/>
                <w:b w:val="0"/>
                <w:i w:val="0"/>
                <w:color w:val="000000"/>
                <w:sz w:val="12"/>
              </w:rPr>
              <w:t>Financial-language sentiment of lithium headlines</w:t>
            </w:r>
          </w:p>
        </w:tc>
        <w:tc>
          <w:tcPr>
            <w:tcW w:type="dxa" w:w="2133"/>
            <w:vAlign w:val="center"/>
          </w:tcPr>
          <w:p>
            <w:pPr>
              <w:spacing w:after="0" w:line="240" w:lineRule="auto"/>
              <w:jc w:val="center"/>
            </w:pPr>
            <w:r/>
            <w:r>
              <w:rPr>
                <w:rFonts w:ascii="Calibri" w:hAnsi="Calibri"/>
                <w:b w:val="0"/>
                <w:i w:val="0"/>
                <w:color w:val="000000"/>
                <w:sz w:val="12"/>
              </w:rPr>
              <w:t>Lithium News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SP500</w:t>
            </w:r>
          </w:p>
        </w:tc>
        <w:tc>
          <w:tcPr>
            <w:tcW w:type="dxa" w:w="4267"/>
            <w:vAlign w:val="center"/>
          </w:tcPr>
          <w:p>
            <w:pPr>
              <w:spacing w:after="0" w:line="240" w:lineRule="auto"/>
              <w:jc w:val="center"/>
            </w:pPr>
            <w:r/>
            <w:r>
              <w:rPr>
                <w:rFonts w:ascii="Calibri" w:hAnsi="Calibri"/>
                <w:b w:val="0"/>
                <w:i w:val="0"/>
                <w:color w:val="000000"/>
                <w:sz w:val="12"/>
              </w:rPr>
              <w:t>S&amp;P 500 close</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VIX</w:t>
            </w:r>
          </w:p>
        </w:tc>
        <w:tc>
          <w:tcPr>
            <w:tcW w:type="dxa" w:w="4267"/>
            <w:vAlign w:val="center"/>
          </w:tcPr>
          <w:p>
            <w:pPr>
              <w:spacing w:after="0" w:line="240" w:lineRule="auto"/>
              <w:jc w:val="center"/>
            </w:pPr>
            <w:r/>
            <w:r>
              <w:rPr>
                <w:rFonts w:ascii="Calibri" w:hAnsi="Calibri"/>
                <w:b w:val="0"/>
                <w:i w:val="0"/>
                <w:color w:val="000000"/>
                <w:sz w:val="12"/>
              </w:rPr>
              <w:t>CBOE VIX close</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US_Dollar_Index</w:t>
            </w:r>
          </w:p>
        </w:tc>
        <w:tc>
          <w:tcPr>
            <w:tcW w:type="dxa" w:w="4267"/>
            <w:vAlign w:val="center"/>
          </w:tcPr>
          <w:p>
            <w:pPr>
              <w:spacing w:after="0" w:line="240" w:lineRule="auto"/>
              <w:jc w:val="center"/>
            </w:pPr>
            <w:r/>
            <w:r>
              <w:rPr>
                <w:rFonts w:ascii="Calibri" w:hAnsi="Calibri"/>
                <w:b w:val="0"/>
                <w:i w:val="0"/>
                <w:color w:val="000000"/>
                <w:sz w:val="12"/>
              </w:rPr>
              <w:t>US dollar index close</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MVIS_Critical_Minerals</w:t>
            </w:r>
          </w:p>
        </w:tc>
        <w:tc>
          <w:tcPr>
            <w:tcW w:type="dxa" w:w="4267"/>
            <w:vAlign w:val="center"/>
          </w:tcPr>
          <w:p>
            <w:pPr>
              <w:spacing w:after="0" w:line="240" w:lineRule="auto"/>
              <w:jc w:val="center"/>
            </w:pPr>
            <w:r/>
            <w:r>
              <w:rPr>
                <w:rFonts w:ascii="Calibri" w:hAnsi="Calibri"/>
                <w:b w:val="0"/>
                <w:i w:val="0"/>
                <w:color w:val="000000"/>
                <w:sz w:val="12"/>
              </w:rPr>
              <w:t>MVIS Global Rare Earth/Strategic Metals index</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bl>
    <w:p>
      <w:pPr>
        <w:spacing w:after="60"/>
      </w:pPr>
    </w:p>
    <w:p>
      <w:pPr>
        <w:pStyle w:val="Heading3"/>
      </w:pPr>
      <w:r>
        <w:t>Interpretation of Table 3</w:t>
      </w:r>
    </w:p>
    <w:p>
      <w:pPr>
        <w:spacing w:after="160" w:line="320" w:lineRule="auto"/>
        <w:jc w:val="both"/>
      </w:pPr>
      <w:r>
        <w:rPr>
          <w:rFonts w:ascii="Calibri" w:hAnsi="Calibri"/>
          <w:b/>
          <w:i w:val="0"/>
          <w:color w:val="000000"/>
          <w:sz w:val="22"/>
        </w:rPr>
        <w:t>Information architecture:</w:t>
      </w:r>
      <w:r>
        <w:rPr>
          <w:rFonts w:ascii="Calibri" w:hAnsi="Calibri"/>
          <w:b w:val="0"/>
          <w:i w:val="0"/>
          <w:color w:val="000000"/>
          <w:sz w:val="22"/>
        </w:rPr>
        <w:t xml:space="preserve"> The 15 indicators form five economically distinct blocks: one cross-lithium price, two lithium-equity signals, five Google Trends attention series, three lithium-news variables, and four market controls. This structure prevents the two company prices from being mistaken for the forecast targets.</w:t>
      </w:r>
    </w:p>
    <w:p>
      <w:pPr>
        <w:spacing w:after="160" w:line="320" w:lineRule="auto"/>
        <w:jc w:val="both"/>
      </w:pPr>
      <w:r>
        <w:rPr>
          <w:rFonts w:ascii="Calibri" w:hAnsi="Calibri"/>
          <w:b/>
          <w:i w:val="0"/>
          <w:color w:val="000000"/>
          <w:sz w:val="22"/>
        </w:rPr>
        <w:t>Economic interpretation:</w:t>
      </w:r>
      <w:r>
        <w:rPr>
          <w:rFonts w:ascii="Calibri" w:hAnsi="Calibri"/>
          <w:b w:val="0"/>
          <w:i w:val="0"/>
          <w:color w:val="000000"/>
          <w:sz w:val="22"/>
        </w:rPr>
        <w:t xml:space="preserve"> Cross-lithium price captures linkage between hydroxide and carbonate; Albemarle and Ganfeng proxy listed-market expectations; attention and news variables capture information demand and tone; and the S&amp;P 500, VIX, dollar, and MVIS variables capture broad risk and sector conditions.</w:t>
      </w:r>
    </w:p>
    <w:p>
      <w:pPr>
        <w:spacing w:after="160" w:line="320" w:lineRule="auto"/>
        <w:jc w:val="both"/>
      </w:pPr>
      <w:r>
        <w:rPr>
          <w:rFonts w:ascii="Calibri" w:hAnsi="Calibri"/>
          <w:b/>
          <w:i w:val="0"/>
          <w:color w:val="000000"/>
          <w:sz w:val="22"/>
        </w:rPr>
        <w:t>Timing qualification:</w:t>
      </w:r>
      <w:r>
        <w:rPr>
          <w:rFonts w:ascii="Calibri" w:hAnsi="Calibri"/>
          <w:b w:val="0"/>
          <w:i w:val="0"/>
          <w:color w:val="000000"/>
          <w:sz w:val="22"/>
        </w:rPr>
        <w:t xml:space="preserve"> Indicators are aligned to target dates and lagged in the model frame, but lagging alone does not make the overall experiment causal. Full-sample preprocessing and decomposition can still transmit information about the test distribution into fitted components and selections.</w:t>
      </w:r>
    </w:p>
    <w:p>
      <w:pPr>
        <w:sectPr>
          <w:pgSz w:w="15840" w:h="12240" w:orient="landscape"/>
          <w:pgMar w:top="1037" w:right="1037" w:bottom="1037" w:left="1037" w:header="605" w:footer="605" w:gutter="0"/>
          <w:cols w:space="720"/>
          <w:docGrid w:linePitch="360"/>
        </w:sectPr>
      </w:pPr>
    </w:p>
    <w:p>
      <w:pPr>
        <w:pStyle w:val="Heading1"/>
      </w:pPr>
      <w:r>
        <w:t>4. Data and descriptive evidence</w:t>
      </w:r>
    </w:p>
    <w:p>
      <w:pPr>
        <w:spacing w:after="160" w:line="320" w:lineRule="auto"/>
        <w:jc w:val="both"/>
      </w:pPr>
      <w:r>
        <w:rPr>
          <w:rFonts w:ascii="Calibri" w:hAnsi="Calibri"/>
          <w:b w:val="0"/>
          <w:i w:val="0"/>
          <w:color w:val="000000"/>
          <w:sz w:val="22"/>
        </w:rPr>
        <w:t>The targets are the COMEX lithium hydroxide CIF CJK electronic futures continuation and the SMM 99.5% battery-grade domestic lithium carbonate spot series. The common multimodal sample begins in May 2023 and ends in March 2026. Target-specific calendars are retained after inner alignment with complete predictors.</w:t>
      </w:r>
    </w:p>
    <w:p>
      <w:pPr>
        <w:spacing w:after="160" w:line="320" w:lineRule="auto"/>
        <w:jc w:val="both"/>
      </w:pPr>
      <w:r>
        <w:rPr>
          <w:rFonts w:ascii="Calibri" w:hAnsi="Calibri"/>
          <w:b w:val="0"/>
          <w:i w:val="0"/>
          <w:color w:val="000000"/>
          <w:sz w:val="22"/>
        </w:rPr>
        <w:t>The information set contains the other lithium price, Albemarle and Ganfeng equity closes, five jointly normalized Google Trends series, lithium-specific headline volume, TextBlob polarity, FinBERT sentiment, the S&amp;P 500, VIX, US dollar index, and MVIS critical-minerals index. Company prices are signals, not forecast targets. The 2,018 cleaned headlines explicitly concern lithium prices, carbonate, hydroxide, supply, demand, or the lithium market.</w:t>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4. </w:t>
      </w:r>
      <w:r>
        <w:rPr>
          <w:rFonts w:ascii="Calibri" w:hAnsi="Calibri"/>
          <w:b w:val="0"/>
          <w:i/>
          <w:color w:val="000000"/>
          <w:sz w:val="18"/>
        </w:rPr>
        <w:t>Statistical information for the forecasting targets and multimodal indicators.</w:t>
      </w:r>
    </w:p>
    <w:tbl>
      <w:tblPr>
        <w:tblStyle w:val="TableGrid"/>
        <w:tblW w:type="dxa" w:w="13680"/>
        <w:jc w:val="left"/>
        <w:tblLayout w:type="fixed"/>
        <w:tblLook w:firstColumn="1" w:firstRow="1" w:lastColumn="0" w:lastRow="0" w:noHBand="0" w:noVBand="1" w:val="04A0"/>
      </w:tblPr>
      <w:tblGrid>
        <w:gridCol w:w="4605"/>
        <w:gridCol w:w="2302"/>
        <w:gridCol w:w="1083"/>
        <w:gridCol w:w="1489"/>
        <w:gridCol w:w="1354"/>
        <w:gridCol w:w="1354"/>
        <w:gridCol w:w="1493"/>
      </w:tblGrid>
      <w:tr>
        <w:trPr>
          <w:tblHeader w:val="true"/>
        </w:trPr>
        <w:tc>
          <w:tcPr>
            <w:tcW w:type="dxa" w:w="4605"/>
            <w:shd w:fill="F4F6F9"/>
            <w:vAlign w:val="center"/>
          </w:tcPr>
          <w:p>
            <w:pPr>
              <w:jc w:val="center"/>
            </w:pPr>
            <w:r/>
            <w:r>
              <w:rPr>
                <w:rFonts w:ascii="Calibri" w:hAnsi="Calibri"/>
                <w:b/>
                <w:i w:val="0"/>
                <w:color w:val="0B2545"/>
                <w:sz w:val="11"/>
              </w:rPr>
              <w:t>Series</w:t>
            </w:r>
          </w:p>
        </w:tc>
        <w:tc>
          <w:tcPr>
            <w:tcW w:type="dxa" w:w="2302"/>
            <w:shd w:fill="F4F6F9"/>
            <w:vAlign w:val="center"/>
          </w:tcPr>
          <w:p>
            <w:pPr>
              <w:jc w:val="center"/>
            </w:pPr>
            <w:r/>
            <w:r>
              <w:rPr>
                <w:rFonts w:ascii="Calibri" w:hAnsi="Calibri"/>
                <w:b/>
                <w:i w:val="0"/>
                <w:color w:val="0B2545"/>
                <w:sz w:val="11"/>
              </w:rPr>
              <w:t>Panel</w:t>
            </w:r>
          </w:p>
        </w:tc>
        <w:tc>
          <w:tcPr>
            <w:tcW w:type="dxa" w:w="1083"/>
            <w:shd w:fill="F4F6F9"/>
            <w:vAlign w:val="center"/>
          </w:tcPr>
          <w:p>
            <w:pPr>
              <w:jc w:val="center"/>
            </w:pPr>
            <w:r/>
            <w:r>
              <w:rPr>
                <w:rFonts w:ascii="Calibri" w:hAnsi="Calibri"/>
                <w:b/>
                <w:i w:val="0"/>
                <w:color w:val="0B2545"/>
                <w:sz w:val="11"/>
              </w:rPr>
              <w:t>N</w:t>
            </w:r>
          </w:p>
        </w:tc>
        <w:tc>
          <w:tcPr>
            <w:tcW w:type="dxa" w:w="1489"/>
            <w:shd w:fill="F4F6F9"/>
            <w:vAlign w:val="center"/>
          </w:tcPr>
          <w:p>
            <w:pPr>
              <w:jc w:val="center"/>
            </w:pPr>
            <w:r/>
            <w:r>
              <w:rPr>
                <w:rFonts w:ascii="Calibri" w:hAnsi="Calibri"/>
                <w:b/>
                <w:i w:val="0"/>
                <w:color w:val="0B2545"/>
                <w:sz w:val="11"/>
              </w:rPr>
              <w:t>Mean</w:t>
            </w:r>
          </w:p>
        </w:tc>
        <w:tc>
          <w:tcPr>
            <w:tcW w:type="dxa" w:w="1354"/>
            <w:shd w:fill="F4F6F9"/>
            <w:vAlign w:val="center"/>
          </w:tcPr>
          <w:p>
            <w:pPr>
              <w:jc w:val="center"/>
            </w:pPr>
            <w:r/>
            <w:r>
              <w:rPr>
                <w:rFonts w:ascii="Calibri" w:hAnsi="Calibri"/>
                <w:b/>
                <w:i w:val="0"/>
                <w:color w:val="0B2545"/>
                <w:sz w:val="11"/>
              </w:rPr>
              <w:t>Std. dev.</w:t>
            </w:r>
          </w:p>
        </w:tc>
        <w:tc>
          <w:tcPr>
            <w:tcW w:type="dxa" w:w="1354"/>
            <w:shd w:fill="F4F6F9"/>
            <w:vAlign w:val="center"/>
          </w:tcPr>
          <w:p>
            <w:pPr>
              <w:jc w:val="center"/>
            </w:pPr>
            <w:r/>
            <w:r>
              <w:rPr>
                <w:rFonts w:ascii="Calibri" w:hAnsi="Calibri"/>
                <w:b/>
                <w:i w:val="0"/>
                <w:color w:val="0B2545"/>
                <w:sz w:val="11"/>
              </w:rPr>
              <w:t>Minimum</w:t>
            </w:r>
          </w:p>
        </w:tc>
        <w:tc>
          <w:tcPr>
            <w:tcW w:type="dxa" w:w="1493"/>
            <w:shd w:fill="F4F6F9"/>
            <w:vAlign w:val="center"/>
          </w:tcPr>
          <w:p>
            <w:pPr>
              <w:jc w:val="center"/>
            </w:pPr>
            <w:r/>
            <w:r>
              <w:rPr>
                <w:rFonts w:ascii="Calibri" w:hAnsi="Calibri"/>
                <w:b/>
                <w:i w:val="0"/>
                <w:color w:val="0B2545"/>
                <w:sz w:val="11"/>
              </w:rPr>
              <w:t>Maximum</w:t>
            </w:r>
          </w:p>
        </w:tc>
      </w:tr>
      <w:tr>
        <w:tc>
          <w:tcPr>
            <w:tcW w:type="dxa" w:w="4605"/>
            <w:vAlign w:val="center"/>
          </w:tcPr>
          <w:p>
            <w:pPr>
              <w:spacing w:after="0" w:line="240" w:lineRule="auto"/>
              <w:jc w:val="left"/>
            </w:pPr>
            <w:r/>
            <w:r>
              <w:rPr>
                <w:rFonts w:ascii="Calibri" w:hAnsi="Calibri"/>
                <w:b w:val="0"/>
                <w:i w:val="0"/>
                <w:color w:val="000000"/>
                <w:sz w:val="11"/>
              </w:rPr>
              <w:t>COMEX lithium hydroxide CIF CJK futures</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16.1793</w:t>
            </w:r>
          </w:p>
        </w:tc>
        <w:tc>
          <w:tcPr>
            <w:tcW w:type="dxa" w:w="1354"/>
            <w:vAlign w:val="center"/>
          </w:tcPr>
          <w:p>
            <w:pPr>
              <w:spacing w:after="0" w:line="240" w:lineRule="auto"/>
              <w:jc w:val="center"/>
            </w:pPr>
            <w:r/>
            <w:r>
              <w:rPr>
                <w:rFonts w:ascii="Calibri" w:hAnsi="Calibri"/>
                <w:b w:val="0"/>
                <w:i w:val="0"/>
                <w:color w:val="000000"/>
                <w:sz w:val="11"/>
              </w:rPr>
              <w:t>10.6226</w:t>
            </w:r>
          </w:p>
        </w:tc>
        <w:tc>
          <w:tcPr>
            <w:tcW w:type="dxa" w:w="1354"/>
            <w:vAlign w:val="center"/>
          </w:tcPr>
          <w:p>
            <w:pPr>
              <w:spacing w:after="0" w:line="240" w:lineRule="auto"/>
              <w:jc w:val="center"/>
            </w:pPr>
            <w:r/>
            <w:r>
              <w:rPr>
                <w:rFonts w:ascii="Calibri" w:hAnsi="Calibri"/>
                <w:b w:val="0"/>
                <w:i w:val="0"/>
                <w:color w:val="000000"/>
                <w:sz w:val="11"/>
              </w:rPr>
              <w:t>7.9500</w:t>
            </w:r>
          </w:p>
        </w:tc>
        <w:tc>
          <w:tcPr>
            <w:tcW w:type="dxa" w:w="1493"/>
            <w:vAlign w:val="center"/>
          </w:tcPr>
          <w:p>
            <w:pPr>
              <w:spacing w:after="0" w:line="240" w:lineRule="auto"/>
              <w:jc w:val="center"/>
            </w:pPr>
            <w:r/>
            <w:r>
              <w:rPr>
                <w:rFonts w:ascii="Calibri" w:hAnsi="Calibri"/>
                <w:b w:val="0"/>
                <w:i w:val="0"/>
                <w:color w:val="000000"/>
                <w:sz w:val="11"/>
              </w:rPr>
              <w:t>47.3100</w:t>
            </w:r>
          </w:p>
        </w:tc>
      </w:tr>
      <w:tr>
        <w:tc>
          <w:tcPr>
            <w:tcW w:type="dxa" w:w="4605"/>
            <w:vAlign w:val="center"/>
          </w:tcPr>
          <w:p>
            <w:pPr>
              <w:spacing w:after="0" w:line="240" w:lineRule="auto"/>
              <w:jc w:val="left"/>
            </w:pPr>
            <w:r/>
            <w:r>
              <w:rPr>
                <w:rFonts w:ascii="Calibri" w:hAnsi="Calibri"/>
                <w:b w:val="0"/>
                <w:i w:val="0"/>
                <w:color w:val="000000"/>
                <w:sz w:val="11"/>
              </w:rPr>
              <w:t>Cross_Lithium_Close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117847.7654</w:t>
            </w:r>
          </w:p>
        </w:tc>
        <w:tc>
          <w:tcPr>
            <w:tcW w:type="dxa" w:w="1354"/>
            <w:vAlign w:val="center"/>
          </w:tcPr>
          <w:p>
            <w:pPr>
              <w:spacing w:after="0" w:line="240" w:lineRule="auto"/>
              <w:jc w:val="center"/>
            </w:pPr>
            <w:r/>
            <w:r>
              <w:rPr>
                <w:rFonts w:ascii="Calibri" w:hAnsi="Calibri"/>
                <w:b w:val="0"/>
                <w:i w:val="0"/>
                <w:color w:val="000000"/>
                <w:sz w:val="11"/>
              </w:rPr>
              <w:t>65912.1252</w:t>
            </w:r>
          </w:p>
        </w:tc>
        <w:tc>
          <w:tcPr>
            <w:tcW w:type="dxa" w:w="1354"/>
            <w:vAlign w:val="center"/>
          </w:tcPr>
          <w:p>
            <w:pPr>
              <w:spacing w:after="0" w:line="240" w:lineRule="auto"/>
              <w:jc w:val="center"/>
            </w:pPr>
            <w:r/>
            <w:r>
              <w:rPr>
                <w:rFonts w:ascii="Calibri" w:hAnsi="Calibri"/>
                <w:b w:val="0"/>
                <w:i w:val="0"/>
                <w:color w:val="000000"/>
                <w:sz w:val="11"/>
              </w:rPr>
              <w:t>59900.0000</w:t>
            </w:r>
          </w:p>
        </w:tc>
        <w:tc>
          <w:tcPr>
            <w:tcW w:type="dxa" w:w="1493"/>
            <w:vAlign w:val="center"/>
          </w:tcPr>
          <w:p>
            <w:pPr>
              <w:spacing w:after="0" w:line="240" w:lineRule="auto"/>
              <w:jc w:val="center"/>
            </w:pPr>
            <w:r/>
            <w:r>
              <w:rPr>
                <w:rFonts w:ascii="Calibri" w:hAnsi="Calibri"/>
                <w:b w:val="0"/>
                <w:i w:val="0"/>
                <w:color w:val="000000"/>
                <w:sz w:val="11"/>
              </w:rPr>
              <w:t>314000.0000</w:t>
            </w:r>
          </w:p>
        </w:tc>
      </w:tr>
      <w:tr>
        <w:tc>
          <w:tcPr>
            <w:tcW w:type="dxa" w:w="4605"/>
            <w:vAlign w:val="center"/>
          </w:tcPr>
          <w:p>
            <w:pPr>
              <w:spacing w:after="0" w:line="240" w:lineRule="auto"/>
              <w:jc w:val="left"/>
            </w:pPr>
            <w:r/>
            <w:r>
              <w:rPr>
                <w:rFonts w:ascii="Calibri" w:hAnsi="Calibri"/>
                <w:b w:val="0"/>
                <w:i w:val="0"/>
                <w:color w:val="000000"/>
                <w:sz w:val="11"/>
              </w:rPr>
              <w:t>Albemarle_Close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119.4812</w:t>
            </w:r>
          </w:p>
        </w:tc>
        <w:tc>
          <w:tcPr>
            <w:tcW w:type="dxa" w:w="1354"/>
            <w:vAlign w:val="center"/>
          </w:tcPr>
          <w:p>
            <w:pPr>
              <w:spacing w:after="0" w:line="240" w:lineRule="auto"/>
              <w:jc w:val="center"/>
            </w:pPr>
            <w:r/>
            <w:r>
              <w:rPr>
                <w:rFonts w:ascii="Calibri" w:hAnsi="Calibri"/>
                <w:b w:val="0"/>
                <w:i w:val="0"/>
                <w:color w:val="000000"/>
                <w:sz w:val="11"/>
              </w:rPr>
              <w:t>45.8361</w:t>
            </w:r>
          </w:p>
        </w:tc>
        <w:tc>
          <w:tcPr>
            <w:tcW w:type="dxa" w:w="1354"/>
            <w:vAlign w:val="center"/>
          </w:tcPr>
          <w:p>
            <w:pPr>
              <w:spacing w:after="0" w:line="240" w:lineRule="auto"/>
              <w:jc w:val="center"/>
            </w:pPr>
            <w:r/>
            <w:r>
              <w:rPr>
                <w:rFonts w:ascii="Calibri" w:hAnsi="Calibri"/>
                <w:b w:val="0"/>
                <w:i w:val="0"/>
                <w:color w:val="000000"/>
                <w:sz w:val="11"/>
              </w:rPr>
              <w:t>50.7600</w:t>
            </w:r>
          </w:p>
        </w:tc>
        <w:tc>
          <w:tcPr>
            <w:tcW w:type="dxa" w:w="1493"/>
            <w:vAlign w:val="center"/>
          </w:tcPr>
          <w:p>
            <w:pPr>
              <w:spacing w:after="0" w:line="240" w:lineRule="auto"/>
              <w:jc w:val="center"/>
            </w:pPr>
            <w:r/>
            <w:r>
              <w:rPr>
                <w:rFonts w:ascii="Calibri" w:hAnsi="Calibri"/>
                <w:b w:val="0"/>
                <w:i w:val="0"/>
                <w:color w:val="000000"/>
                <w:sz w:val="11"/>
              </w:rPr>
              <w:t>243.4400</w:t>
            </w:r>
          </w:p>
        </w:tc>
      </w:tr>
      <w:tr>
        <w:tc>
          <w:tcPr>
            <w:tcW w:type="dxa" w:w="4605"/>
            <w:vAlign w:val="center"/>
          </w:tcPr>
          <w:p>
            <w:pPr>
              <w:spacing w:after="0" w:line="240" w:lineRule="auto"/>
              <w:jc w:val="left"/>
            </w:pPr>
            <w:r/>
            <w:r>
              <w:rPr>
                <w:rFonts w:ascii="Calibri" w:hAnsi="Calibri"/>
                <w:b w:val="0"/>
                <w:i w:val="0"/>
                <w:color w:val="000000"/>
                <w:sz w:val="11"/>
              </w:rPr>
              <w:t>Ganfeng_Lithium_Close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6.1056</w:t>
            </w:r>
          </w:p>
        </w:tc>
        <w:tc>
          <w:tcPr>
            <w:tcW w:type="dxa" w:w="1354"/>
            <w:vAlign w:val="center"/>
          </w:tcPr>
          <w:p>
            <w:pPr>
              <w:spacing w:after="0" w:line="240" w:lineRule="auto"/>
              <w:jc w:val="center"/>
            </w:pPr>
            <w:r/>
            <w:r>
              <w:rPr>
                <w:rFonts w:ascii="Calibri" w:hAnsi="Calibri"/>
                <w:b w:val="0"/>
                <w:i w:val="0"/>
                <w:color w:val="000000"/>
                <w:sz w:val="11"/>
              </w:rPr>
              <w:t>1.9515</w:t>
            </w:r>
          </w:p>
        </w:tc>
        <w:tc>
          <w:tcPr>
            <w:tcW w:type="dxa" w:w="1354"/>
            <w:vAlign w:val="center"/>
          </w:tcPr>
          <w:p>
            <w:pPr>
              <w:spacing w:after="0" w:line="240" w:lineRule="auto"/>
              <w:jc w:val="center"/>
            </w:pPr>
            <w:r/>
            <w:r>
              <w:rPr>
                <w:rFonts w:ascii="Calibri" w:hAnsi="Calibri"/>
                <w:b w:val="0"/>
                <w:i w:val="0"/>
                <w:color w:val="000000"/>
                <w:sz w:val="11"/>
              </w:rPr>
              <w:t>3.5550</w:t>
            </w:r>
          </w:p>
        </w:tc>
        <w:tc>
          <w:tcPr>
            <w:tcW w:type="dxa" w:w="1493"/>
            <w:vAlign w:val="center"/>
          </w:tcPr>
          <w:p>
            <w:pPr>
              <w:spacing w:after="0" w:line="240" w:lineRule="auto"/>
              <w:jc w:val="center"/>
            </w:pPr>
            <w:r/>
            <w:r>
              <w:rPr>
                <w:rFonts w:ascii="Calibri" w:hAnsi="Calibri"/>
                <w:b w:val="0"/>
                <w:i w:val="0"/>
                <w:color w:val="000000"/>
                <w:sz w:val="11"/>
              </w:rPr>
              <w:t>10.7050</w:t>
            </w:r>
          </w:p>
        </w:tc>
      </w:tr>
      <w:tr>
        <w:tc>
          <w:tcPr>
            <w:tcW w:type="dxa" w:w="4605"/>
            <w:vAlign w:val="center"/>
          </w:tcPr>
          <w:p>
            <w:pPr>
              <w:spacing w:after="0" w:line="240" w:lineRule="auto"/>
              <w:jc w:val="left"/>
            </w:pPr>
            <w:r/>
            <w:r>
              <w:rPr>
                <w:rFonts w:ascii="Calibri" w:hAnsi="Calibri"/>
                <w:b w:val="0"/>
                <w:i w:val="0"/>
                <w:color w:val="000000"/>
                <w:sz w:val="11"/>
              </w:rPr>
              <w:t>Trends_lithium</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56.7283</w:t>
            </w:r>
          </w:p>
        </w:tc>
        <w:tc>
          <w:tcPr>
            <w:tcW w:type="dxa" w:w="1354"/>
            <w:vAlign w:val="center"/>
          </w:tcPr>
          <w:p>
            <w:pPr>
              <w:spacing w:after="0" w:line="240" w:lineRule="auto"/>
              <w:jc w:val="center"/>
            </w:pPr>
            <w:r/>
            <w:r>
              <w:rPr>
                <w:rFonts w:ascii="Calibri" w:hAnsi="Calibri"/>
                <w:b w:val="0"/>
                <w:i w:val="0"/>
                <w:color w:val="000000"/>
                <w:sz w:val="11"/>
              </w:rPr>
              <w:t>14.0280</w:t>
            </w:r>
          </w:p>
        </w:tc>
        <w:tc>
          <w:tcPr>
            <w:tcW w:type="dxa" w:w="1354"/>
            <w:vAlign w:val="center"/>
          </w:tcPr>
          <w:p>
            <w:pPr>
              <w:spacing w:after="0" w:line="240" w:lineRule="auto"/>
              <w:jc w:val="center"/>
            </w:pPr>
            <w:r/>
            <w:r>
              <w:rPr>
                <w:rFonts w:ascii="Calibri" w:hAnsi="Calibri"/>
                <w:b w:val="0"/>
                <w:i w:val="0"/>
                <w:color w:val="000000"/>
                <w:sz w:val="11"/>
              </w:rPr>
              <w:t>43.0000</w:t>
            </w:r>
          </w:p>
        </w:tc>
        <w:tc>
          <w:tcPr>
            <w:tcW w:type="dxa" w:w="1493"/>
            <w:vAlign w:val="center"/>
          </w:tcPr>
          <w:p>
            <w:pPr>
              <w:spacing w:after="0" w:line="240" w:lineRule="auto"/>
              <w:jc w:val="center"/>
            </w:pPr>
            <w:r/>
            <w:r>
              <w:rPr>
                <w:rFonts w:ascii="Calibri" w:hAnsi="Calibri"/>
                <w:b w:val="0"/>
                <w:i w:val="0"/>
                <w:color w:val="000000"/>
                <w:sz w:val="11"/>
              </w:rPr>
              <w:t>100.0000</w:t>
            </w:r>
          </w:p>
        </w:tc>
      </w:tr>
      <w:tr>
        <w:tc>
          <w:tcPr>
            <w:tcW w:type="dxa" w:w="4605"/>
            <w:vAlign w:val="center"/>
          </w:tcPr>
          <w:p>
            <w:pPr>
              <w:spacing w:after="0" w:line="240" w:lineRule="auto"/>
              <w:jc w:val="left"/>
            </w:pPr>
            <w:r/>
            <w:r>
              <w:rPr>
                <w:rFonts w:ascii="Calibri" w:hAnsi="Calibri"/>
                <w:b w:val="0"/>
                <w:i w:val="0"/>
                <w:color w:val="000000"/>
                <w:sz w:val="11"/>
              </w:rPr>
              <w:t>Trends_lithium_price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4.0056</w:t>
            </w:r>
          </w:p>
        </w:tc>
        <w:tc>
          <w:tcPr>
            <w:tcW w:type="dxa" w:w="1354"/>
            <w:vAlign w:val="center"/>
          </w:tcPr>
          <w:p>
            <w:pPr>
              <w:spacing w:after="0" w:line="240" w:lineRule="auto"/>
              <w:jc w:val="center"/>
            </w:pPr>
            <w:r/>
            <w:r>
              <w:rPr>
                <w:rFonts w:ascii="Calibri" w:hAnsi="Calibri"/>
                <w:b w:val="0"/>
                <w:i w:val="0"/>
                <w:color w:val="000000"/>
                <w:sz w:val="11"/>
              </w:rPr>
              <w:t>3.7882</w:t>
            </w:r>
          </w:p>
        </w:tc>
        <w:tc>
          <w:tcPr>
            <w:tcW w:type="dxa" w:w="1354"/>
            <w:vAlign w:val="center"/>
          </w:tcPr>
          <w:p>
            <w:pPr>
              <w:spacing w:after="0" w:line="240" w:lineRule="auto"/>
              <w:jc w:val="center"/>
            </w:pPr>
            <w:r/>
            <w:r>
              <w:rPr>
                <w:rFonts w:ascii="Calibri" w:hAnsi="Calibri"/>
                <w:b w:val="0"/>
                <w:i w:val="0"/>
                <w:color w:val="000000"/>
                <w:sz w:val="11"/>
              </w:rPr>
              <w:t>2.0000</w:t>
            </w:r>
          </w:p>
        </w:tc>
        <w:tc>
          <w:tcPr>
            <w:tcW w:type="dxa" w:w="1493"/>
            <w:vAlign w:val="center"/>
          </w:tcPr>
          <w:p>
            <w:pPr>
              <w:spacing w:after="0" w:line="240" w:lineRule="auto"/>
              <w:jc w:val="center"/>
            </w:pPr>
            <w:r/>
            <w:r>
              <w:rPr>
                <w:rFonts w:ascii="Calibri" w:hAnsi="Calibri"/>
                <w:b w:val="0"/>
                <w:i w:val="0"/>
                <w:color w:val="000000"/>
                <w:sz w:val="11"/>
              </w:rPr>
              <w:t>18.0000</w:t>
            </w:r>
          </w:p>
        </w:tc>
      </w:tr>
      <w:tr>
        <w:tc>
          <w:tcPr>
            <w:tcW w:type="dxa" w:w="4605"/>
            <w:vAlign w:val="center"/>
          </w:tcPr>
          <w:p>
            <w:pPr>
              <w:spacing w:after="0" w:line="240" w:lineRule="auto"/>
              <w:jc w:val="left"/>
            </w:pPr>
            <w:r/>
            <w:r>
              <w:rPr>
                <w:rFonts w:ascii="Calibri" w:hAnsi="Calibri"/>
                <w:b w:val="0"/>
                <w:i w:val="0"/>
                <w:color w:val="000000"/>
                <w:sz w:val="11"/>
              </w:rPr>
              <w:t>Trends_lithium_carbonate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1.0616</w:t>
            </w:r>
          </w:p>
        </w:tc>
        <w:tc>
          <w:tcPr>
            <w:tcW w:type="dxa" w:w="1354"/>
            <w:vAlign w:val="center"/>
          </w:tcPr>
          <w:p>
            <w:pPr>
              <w:spacing w:after="0" w:line="240" w:lineRule="auto"/>
              <w:jc w:val="center"/>
            </w:pPr>
            <w:r/>
            <w:r>
              <w:rPr>
                <w:rFonts w:ascii="Calibri" w:hAnsi="Calibri"/>
                <w:b w:val="0"/>
                <w:i w:val="0"/>
                <w:color w:val="000000"/>
                <w:sz w:val="11"/>
              </w:rPr>
              <w:t>0.3694</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2.0000</w:t>
            </w:r>
          </w:p>
        </w:tc>
      </w:tr>
      <w:tr>
        <w:tc>
          <w:tcPr>
            <w:tcW w:type="dxa" w:w="4605"/>
            <w:vAlign w:val="center"/>
          </w:tcPr>
          <w:p>
            <w:pPr>
              <w:spacing w:after="0" w:line="240" w:lineRule="auto"/>
              <w:jc w:val="left"/>
            </w:pPr>
            <w:r/>
            <w:r>
              <w:rPr>
                <w:rFonts w:ascii="Calibri" w:hAnsi="Calibri"/>
                <w:b w:val="0"/>
                <w:i w:val="0"/>
                <w:color w:val="000000"/>
                <w:sz w:val="11"/>
              </w:rPr>
              <w:t>Trends_lithium_hydroxide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0.1933</w:t>
            </w:r>
          </w:p>
        </w:tc>
        <w:tc>
          <w:tcPr>
            <w:tcW w:type="dxa" w:w="1354"/>
            <w:vAlign w:val="center"/>
          </w:tcPr>
          <w:p>
            <w:pPr>
              <w:spacing w:after="0" w:line="240" w:lineRule="auto"/>
              <w:jc w:val="center"/>
            </w:pPr>
            <w:r/>
            <w:r>
              <w:rPr>
                <w:rFonts w:ascii="Calibri" w:hAnsi="Calibri"/>
                <w:b w:val="0"/>
                <w:i w:val="0"/>
                <w:color w:val="000000"/>
                <w:sz w:val="11"/>
              </w:rPr>
              <w:t>0.3951</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1.0000</w:t>
            </w:r>
          </w:p>
        </w:tc>
      </w:tr>
      <w:tr>
        <w:tc>
          <w:tcPr>
            <w:tcW w:type="dxa" w:w="4605"/>
            <w:vAlign w:val="center"/>
          </w:tcPr>
          <w:p>
            <w:pPr>
              <w:spacing w:after="0" w:line="240" w:lineRule="auto"/>
              <w:jc w:val="left"/>
            </w:pPr>
            <w:r/>
            <w:r>
              <w:rPr>
                <w:rFonts w:ascii="Calibri" w:hAnsi="Calibri"/>
                <w:b w:val="0"/>
                <w:i w:val="0"/>
                <w:color w:val="000000"/>
                <w:sz w:val="11"/>
              </w:rPr>
              <w:t>Trends_lithium_battery</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17.8291</w:t>
            </w:r>
          </w:p>
        </w:tc>
        <w:tc>
          <w:tcPr>
            <w:tcW w:type="dxa" w:w="1354"/>
            <w:vAlign w:val="center"/>
          </w:tcPr>
          <w:p>
            <w:pPr>
              <w:spacing w:after="0" w:line="240" w:lineRule="auto"/>
              <w:jc w:val="center"/>
            </w:pPr>
            <w:r/>
            <w:r>
              <w:rPr>
                <w:rFonts w:ascii="Calibri" w:hAnsi="Calibri"/>
                <w:b w:val="0"/>
                <w:i w:val="0"/>
                <w:color w:val="000000"/>
                <w:sz w:val="11"/>
              </w:rPr>
              <w:t>5.2784</w:t>
            </w:r>
          </w:p>
        </w:tc>
        <w:tc>
          <w:tcPr>
            <w:tcW w:type="dxa" w:w="1354"/>
            <w:vAlign w:val="center"/>
          </w:tcPr>
          <w:p>
            <w:pPr>
              <w:spacing w:after="0" w:line="240" w:lineRule="auto"/>
              <w:jc w:val="center"/>
            </w:pPr>
            <w:r/>
            <w:r>
              <w:rPr>
                <w:rFonts w:ascii="Calibri" w:hAnsi="Calibri"/>
                <w:b w:val="0"/>
                <w:i w:val="0"/>
                <w:color w:val="000000"/>
                <w:sz w:val="11"/>
              </w:rPr>
              <w:t>13.0000</w:t>
            </w:r>
          </w:p>
        </w:tc>
        <w:tc>
          <w:tcPr>
            <w:tcW w:type="dxa" w:w="1493"/>
            <w:vAlign w:val="center"/>
          </w:tcPr>
          <w:p>
            <w:pPr>
              <w:spacing w:after="0" w:line="240" w:lineRule="auto"/>
              <w:jc w:val="center"/>
            </w:pPr>
            <w:r/>
            <w:r>
              <w:rPr>
                <w:rFonts w:ascii="Calibri" w:hAnsi="Calibri"/>
                <w:b w:val="0"/>
                <w:i w:val="0"/>
                <w:color w:val="000000"/>
                <w:sz w:val="11"/>
              </w:rPr>
              <w:t>36.0000</w:t>
            </w:r>
          </w:p>
        </w:tc>
      </w:tr>
      <w:tr>
        <w:tc>
          <w:tcPr>
            <w:tcW w:type="dxa" w:w="4605"/>
            <w:vAlign w:val="center"/>
          </w:tcPr>
          <w:p>
            <w:pPr>
              <w:spacing w:after="0" w:line="240" w:lineRule="auto"/>
              <w:jc w:val="left"/>
            </w:pPr>
            <w:r/>
            <w:r>
              <w:rPr>
                <w:rFonts w:ascii="Calibri" w:hAnsi="Calibri"/>
                <w:b w:val="0"/>
                <w:i w:val="0"/>
                <w:color w:val="000000"/>
                <w:sz w:val="11"/>
              </w:rPr>
              <w:t>News_Article_Count</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2.6383</w:t>
            </w:r>
          </w:p>
        </w:tc>
        <w:tc>
          <w:tcPr>
            <w:tcW w:type="dxa" w:w="1354"/>
            <w:vAlign w:val="center"/>
          </w:tcPr>
          <w:p>
            <w:pPr>
              <w:spacing w:after="0" w:line="240" w:lineRule="auto"/>
              <w:jc w:val="center"/>
            </w:pPr>
            <w:r/>
            <w:r>
              <w:rPr>
                <w:rFonts w:ascii="Calibri" w:hAnsi="Calibri"/>
                <w:b w:val="0"/>
                <w:i w:val="0"/>
                <w:color w:val="000000"/>
                <w:sz w:val="11"/>
              </w:rPr>
              <w:t>2.6123</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40.0000</w:t>
            </w:r>
          </w:p>
        </w:tc>
      </w:tr>
      <w:tr>
        <w:tc>
          <w:tcPr>
            <w:tcW w:type="dxa" w:w="4605"/>
            <w:vAlign w:val="center"/>
          </w:tcPr>
          <w:p>
            <w:pPr>
              <w:spacing w:after="0" w:line="240" w:lineRule="auto"/>
              <w:jc w:val="left"/>
            </w:pPr>
            <w:r/>
            <w:r>
              <w:rPr>
                <w:rFonts w:ascii="Calibri" w:hAnsi="Calibri"/>
                <w:b w:val="0"/>
                <w:i w:val="0"/>
                <w:color w:val="000000"/>
                <w:sz w:val="11"/>
              </w:rPr>
              <w:t>News_TextBlob_Polarity</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0.0521</w:t>
            </w:r>
          </w:p>
        </w:tc>
        <w:tc>
          <w:tcPr>
            <w:tcW w:type="dxa" w:w="1354"/>
            <w:vAlign w:val="center"/>
          </w:tcPr>
          <w:p>
            <w:pPr>
              <w:spacing w:after="0" w:line="240" w:lineRule="auto"/>
              <w:jc w:val="center"/>
            </w:pPr>
            <w:r/>
            <w:r>
              <w:rPr>
                <w:rFonts w:ascii="Calibri" w:hAnsi="Calibri"/>
                <w:b w:val="0"/>
                <w:i w:val="0"/>
                <w:color w:val="000000"/>
                <w:sz w:val="11"/>
              </w:rPr>
              <w:t>0.1121</w:t>
            </w:r>
          </w:p>
        </w:tc>
        <w:tc>
          <w:tcPr>
            <w:tcW w:type="dxa" w:w="1354"/>
            <w:vAlign w:val="center"/>
          </w:tcPr>
          <w:p>
            <w:pPr>
              <w:spacing w:after="0" w:line="240" w:lineRule="auto"/>
              <w:jc w:val="center"/>
            </w:pPr>
            <w:r/>
            <w:r>
              <w:rPr>
                <w:rFonts w:ascii="Calibri" w:hAnsi="Calibri"/>
                <w:b w:val="0"/>
                <w:i w:val="0"/>
                <w:color w:val="000000"/>
                <w:sz w:val="11"/>
              </w:rPr>
              <w:t>-0.4333</w:t>
            </w:r>
          </w:p>
        </w:tc>
        <w:tc>
          <w:tcPr>
            <w:tcW w:type="dxa" w:w="1493"/>
            <w:vAlign w:val="center"/>
          </w:tcPr>
          <w:p>
            <w:pPr>
              <w:spacing w:after="0" w:line="240" w:lineRule="auto"/>
              <w:jc w:val="center"/>
            </w:pPr>
            <w:r/>
            <w:r>
              <w:rPr>
                <w:rFonts w:ascii="Calibri" w:hAnsi="Calibri"/>
                <w:b w:val="0"/>
                <w:i w:val="0"/>
                <w:color w:val="000000"/>
                <w:sz w:val="11"/>
              </w:rPr>
              <w:t>0.8000</w:t>
            </w:r>
          </w:p>
        </w:tc>
      </w:tr>
      <w:tr>
        <w:tc>
          <w:tcPr>
            <w:tcW w:type="dxa" w:w="4605"/>
            <w:vAlign w:val="center"/>
          </w:tcPr>
          <w:p>
            <w:pPr>
              <w:spacing w:after="0" w:line="240" w:lineRule="auto"/>
              <w:jc w:val="left"/>
            </w:pPr>
            <w:r/>
            <w:r>
              <w:rPr>
                <w:rFonts w:ascii="Calibri" w:hAnsi="Calibri"/>
                <w:b w:val="0"/>
                <w:i w:val="0"/>
                <w:color w:val="000000"/>
                <w:sz w:val="11"/>
              </w:rPr>
              <w:t>News_FinBERT_Score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0.2116</w:t>
            </w:r>
          </w:p>
        </w:tc>
        <w:tc>
          <w:tcPr>
            <w:tcW w:type="dxa" w:w="1354"/>
            <w:vAlign w:val="center"/>
          </w:tcPr>
          <w:p>
            <w:pPr>
              <w:spacing w:after="0" w:line="240" w:lineRule="auto"/>
              <w:jc w:val="center"/>
            </w:pPr>
            <w:r/>
            <w:r>
              <w:rPr>
                <w:rFonts w:ascii="Calibri" w:hAnsi="Calibri"/>
                <w:b w:val="0"/>
                <w:i w:val="0"/>
                <w:color w:val="000000"/>
                <w:sz w:val="11"/>
              </w:rPr>
              <w:t>0.3766</w:t>
            </w:r>
          </w:p>
        </w:tc>
        <w:tc>
          <w:tcPr>
            <w:tcW w:type="dxa" w:w="1354"/>
            <w:vAlign w:val="center"/>
          </w:tcPr>
          <w:p>
            <w:pPr>
              <w:spacing w:after="0" w:line="240" w:lineRule="auto"/>
              <w:jc w:val="center"/>
            </w:pPr>
            <w:r/>
            <w:r>
              <w:rPr>
                <w:rFonts w:ascii="Calibri" w:hAnsi="Calibri"/>
                <w:b w:val="0"/>
                <w:i w:val="0"/>
                <w:color w:val="000000"/>
                <w:sz w:val="11"/>
              </w:rPr>
              <w:t>-0.9694</w:t>
            </w:r>
          </w:p>
        </w:tc>
        <w:tc>
          <w:tcPr>
            <w:tcW w:type="dxa" w:w="1493"/>
            <w:vAlign w:val="center"/>
          </w:tcPr>
          <w:p>
            <w:pPr>
              <w:spacing w:after="0" w:line="240" w:lineRule="auto"/>
              <w:jc w:val="center"/>
            </w:pPr>
            <w:r/>
            <w:r>
              <w:rPr>
                <w:rFonts w:ascii="Calibri" w:hAnsi="Calibri"/>
                <w:b w:val="0"/>
                <w:i w:val="0"/>
                <w:color w:val="000000"/>
                <w:sz w:val="11"/>
              </w:rPr>
              <w:t>0.9512</w:t>
            </w:r>
          </w:p>
        </w:tc>
      </w:tr>
      <w:tr>
        <w:tc>
          <w:tcPr>
            <w:tcW w:type="dxa" w:w="4605"/>
            <w:vAlign w:val="center"/>
          </w:tcPr>
          <w:p>
            <w:pPr>
              <w:spacing w:after="0" w:line="240" w:lineRule="auto"/>
              <w:jc w:val="left"/>
            </w:pPr>
            <w:r/>
            <w:r>
              <w:rPr>
                <w:rFonts w:ascii="Calibri" w:hAnsi="Calibri"/>
                <w:b w:val="0"/>
                <w:i w:val="0"/>
                <w:color w:val="000000"/>
                <w:sz w:val="11"/>
              </w:rPr>
              <w:t>SP500</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5564.4447</w:t>
            </w:r>
          </w:p>
        </w:tc>
        <w:tc>
          <w:tcPr>
            <w:tcW w:type="dxa" w:w="1354"/>
            <w:vAlign w:val="center"/>
          </w:tcPr>
          <w:p>
            <w:pPr>
              <w:spacing w:after="0" w:line="240" w:lineRule="auto"/>
              <w:jc w:val="center"/>
            </w:pPr>
            <w:r/>
            <w:r>
              <w:rPr>
                <w:rFonts w:ascii="Calibri" w:hAnsi="Calibri"/>
                <w:b w:val="0"/>
                <w:i w:val="0"/>
                <w:color w:val="000000"/>
                <w:sz w:val="11"/>
              </w:rPr>
              <w:t>841.7402</w:t>
            </w:r>
          </w:p>
        </w:tc>
        <w:tc>
          <w:tcPr>
            <w:tcW w:type="dxa" w:w="1354"/>
            <w:vAlign w:val="center"/>
          </w:tcPr>
          <w:p>
            <w:pPr>
              <w:spacing w:after="0" w:line="240" w:lineRule="auto"/>
              <w:jc w:val="center"/>
            </w:pPr>
            <w:r/>
            <w:r>
              <w:rPr>
                <w:rFonts w:ascii="Calibri" w:hAnsi="Calibri"/>
                <w:b w:val="0"/>
                <w:i w:val="0"/>
                <w:color w:val="000000"/>
                <w:sz w:val="11"/>
              </w:rPr>
              <w:t>4061.2200</w:t>
            </w:r>
          </w:p>
        </w:tc>
        <w:tc>
          <w:tcPr>
            <w:tcW w:type="dxa" w:w="1493"/>
            <w:vAlign w:val="center"/>
          </w:tcPr>
          <w:p>
            <w:pPr>
              <w:spacing w:after="0" w:line="240" w:lineRule="auto"/>
              <w:jc w:val="center"/>
            </w:pPr>
            <w:r/>
            <w:r>
              <w:rPr>
                <w:rFonts w:ascii="Calibri" w:hAnsi="Calibri"/>
                <w:b w:val="0"/>
                <w:i w:val="0"/>
                <w:color w:val="000000"/>
                <w:sz w:val="11"/>
              </w:rPr>
              <w:t>6978.6001</w:t>
            </w:r>
          </w:p>
        </w:tc>
      </w:tr>
      <w:tr>
        <w:tc>
          <w:tcPr>
            <w:tcW w:type="dxa" w:w="4605"/>
            <w:vAlign w:val="center"/>
          </w:tcPr>
          <w:p>
            <w:pPr>
              <w:spacing w:after="0" w:line="240" w:lineRule="auto"/>
              <w:jc w:val="left"/>
            </w:pPr>
            <w:r/>
            <w:r>
              <w:rPr>
                <w:rFonts w:ascii="Calibri" w:hAnsi="Calibri"/>
                <w:b w:val="0"/>
                <w:i w:val="0"/>
                <w:color w:val="000000"/>
                <w:sz w:val="11"/>
              </w:rPr>
              <w:t>VIX</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16.9312</w:t>
            </w:r>
          </w:p>
        </w:tc>
        <w:tc>
          <w:tcPr>
            <w:tcW w:type="dxa" w:w="1354"/>
            <w:vAlign w:val="center"/>
          </w:tcPr>
          <w:p>
            <w:pPr>
              <w:spacing w:after="0" w:line="240" w:lineRule="auto"/>
              <w:jc w:val="center"/>
            </w:pPr>
            <w:r/>
            <w:r>
              <w:rPr>
                <w:rFonts w:ascii="Calibri" w:hAnsi="Calibri"/>
                <w:b w:val="0"/>
                <w:i w:val="0"/>
                <w:color w:val="000000"/>
                <w:sz w:val="11"/>
              </w:rPr>
              <w:t>4.3308</w:t>
            </w:r>
          </w:p>
        </w:tc>
        <w:tc>
          <w:tcPr>
            <w:tcW w:type="dxa" w:w="1354"/>
            <w:vAlign w:val="center"/>
          </w:tcPr>
          <w:p>
            <w:pPr>
              <w:spacing w:after="0" w:line="240" w:lineRule="auto"/>
              <w:jc w:val="center"/>
            </w:pPr>
            <w:r/>
            <w:r>
              <w:rPr>
                <w:rFonts w:ascii="Calibri" w:hAnsi="Calibri"/>
                <w:b w:val="0"/>
                <w:i w:val="0"/>
                <w:color w:val="000000"/>
                <w:sz w:val="11"/>
              </w:rPr>
              <w:t>11.8600</w:t>
            </w:r>
          </w:p>
        </w:tc>
        <w:tc>
          <w:tcPr>
            <w:tcW w:type="dxa" w:w="1493"/>
            <w:vAlign w:val="center"/>
          </w:tcPr>
          <w:p>
            <w:pPr>
              <w:spacing w:after="0" w:line="240" w:lineRule="auto"/>
              <w:jc w:val="center"/>
            </w:pPr>
            <w:r/>
            <w:r>
              <w:rPr>
                <w:rFonts w:ascii="Calibri" w:hAnsi="Calibri"/>
                <w:b w:val="0"/>
                <w:i w:val="0"/>
                <w:color w:val="000000"/>
                <w:sz w:val="11"/>
              </w:rPr>
              <w:t>52.3300</w:t>
            </w:r>
          </w:p>
        </w:tc>
      </w:tr>
      <w:tr>
        <w:tc>
          <w:tcPr>
            <w:tcW w:type="dxa" w:w="4605"/>
            <w:vAlign w:val="center"/>
          </w:tcPr>
          <w:p>
            <w:pPr>
              <w:spacing w:after="0" w:line="240" w:lineRule="auto"/>
              <w:jc w:val="left"/>
            </w:pPr>
            <w:r/>
            <w:r>
              <w:rPr>
                <w:rFonts w:ascii="Calibri" w:hAnsi="Calibri"/>
                <w:b w:val="0"/>
                <w:i w:val="0"/>
                <w:color w:val="000000"/>
                <w:sz w:val="11"/>
              </w:rPr>
              <w:t>US_Dollar_Index</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102.4844</w:t>
            </w:r>
          </w:p>
        </w:tc>
        <w:tc>
          <w:tcPr>
            <w:tcW w:type="dxa" w:w="1354"/>
            <w:vAlign w:val="center"/>
          </w:tcPr>
          <w:p>
            <w:pPr>
              <w:spacing w:after="0" w:line="240" w:lineRule="auto"/>
              <w:jc w:val="center"/>
            </w:pPr>
            <w:r/>
            <w:r>
              <w:rPr>
                <w:rFonts w:ascii="Calibri" w:hAnsi="Calibri"/>
                <w:b w:val="0"/>
                <w:i w:val="0"/>
                <w:color w:val="000000"/>
                <w:sz w:val="11"/>
              </w:rPr>
              <w:t>3.1993</w:t>
            </w:r>
          </w:p>
        </w:tc>
        <w:tc>
          <w:tcPr>
            <w:tcW w:type="dxa" w:w="1354"/>
            <w:vAlign w:val="center"/>
          </w:tcPr>
          <w:p>
            <w:pPr>
              <w:spacing w:after="0" w:line="240" w:lineRule="auto"/>
              <w:jc w:val="center"/>
            </w:pPr>
            <w:r/>
            <w:r>
              <w:rPr>
                <w:rFonts w:ascii="Calibri" w:hAnsi="Calibri"/>
                <w:b w:val="0"/>
                <w:i w:val="0"/>
                <w:color w:val="000000"/>
                <w:sz w:val="11"/>
              </w:rPr>
              <w:t>96.2200</w:t>
            </w:r>
          </w:p>
        </w:tc>
        <w:tc>
          <w:tcPr>
            <w:tcW w:type="dxa" w:w="1493"/>
            <w:vAlign w:val="center"/>
          </w:tcPr>
          <w:p>
            <w:pPr>
              <w:spacing w:after="0" w:line="240" w:lineRule="auto"/>
              <w:jc w:val="center"/>
            </w:pPr>
            <w:r/>
            <w:r>
              <w:rPr>
                <w:rFonts w:ascii="Calibri" w:hAnsi="Calibri"/>
                <w:b w:val="0"/>
                <w:i w:val="0"/>
                <w:color w:val="000000"/>
                <w:sz w:val="11"/>
              </w:rPr>
              <w:t>109.9600</w:t>
            </w:r>
          </w:p>
        </w:tc>
      </w:tr>
      <w:tr>
        <w:tc>
          <w:tcPr>
            <w:tcW w:type="dxa" w:w="4605"/>
            <w:vAlign w:val="center"/>
          </w:tcPr>
          <w:p>
            <w:pPr>
              <w:spacing w:after="0" w:line="240" w:lineRule="auto"/>
              <w:jc w:val="left"/>
            </w:pPr>
            <w:r/>
            <w:r>
              <w:rPr>
                <w:rFonts w:ascii="Calibri" w:hAnsi="Calibri"/>
                <w:b w:val="0"/>
                <w:i w:val="0"/>
                <w:color w:val="000000"/>
                <w:sz w:val="11"/>
              </w:rPr>
              <w:t>MVIS_Critical_Minerals</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370.5107</w:t>
            </w:r>
          </w:p>
        </w:tc>
        <w:tc>
          <w:tcPr>
            <w:tcW w:type="dxa" w:w="1354"/>
            <w:vAlign w:val="center"/>
          </w:tcPr>
          <w:p>
            <w:pPr>
              <w:spacing w:after="0" w:line="240" w:lineRule="auto"/>
              <w:jc w:val="center"/>
            </w:pPr>
            <w:r/>
            <w:r>
              <w:rPr>
                <w:rFonts w:ascii="Calibri" w:hAnsi="Calibri"/>
                <w:b w:val="0"/>
                <w:i w:val="0"/>
                <w:color w:val="000000"/>
                <w:sz w:val="11"/>
              </w:rPr>
              <w:t>109.0520</w:t>
            </w:r>
          </w:p>
        </w:tc>
        <w:tc>
          <w:tcPr>
            <w:tcW w:type="dxa" w:w="1354"/>
            <w:vAlign w:val="center"/>
          </w:tcPr>
          <w:p>
            <w:pPr>
              <w:spacing w:after="0" w:line="240" w:lineRule="auto"/>
              <w:jc w:val="center"/>
            </w:pPr>
            <w:r/>
            <w:r>
              <w:rPr>
                <w:rFonts w:ascii="Calibri" w:hAnsi="Calibri"/>
                <w:b w:val="0"/>
                <w:i w:val="0"/>
                <w:color w:val="000000"/>
                <w:sz w:val="11"/>
              </w:rPr>
              <w:t>220.4200</w:t>
            </w:r>
          </w:p>
        </w:tc>
        <w:tc>
          <w:tcPr>
            <w:tcW w:type="dxa" w:w="1493"/>
            <w:vAlign w:val="center"/>
          </w:tcPr>
          <w:p>
            <w:pPr>
              <w:spacing w:after="0" w:line="240" w:lineRule="auto"/>
              <w:jc w:val="center"/>
            </w:pPr>
            <w:r/>
            <w:r>
              <w:rPr>
                <w:rFonts w:ascii="Calibri" w:hAnsi="Calibri"/>
                <w:b w:val="0"/>
                <w:i w:val="0"/>
                <w:color w:val="000000"/>
                <w:sz w:val="11"/>
              </w:rPr>
              <w:t>674.2340</w:t>
            </w:r>
          </w:p>
        </w:tc>
      </w:tr>
      <w:tr>
        <w:tc>
          <w:tcPr>
            <w:tcW w:type="dxa" w:w="4605"/>
            <w:vAlign w:val="center"/>
          </w:tcPr>
          <w:p>
            <w:pPr>
              <w:spacing w:after="0" w:line="240" w:lineRule="auto"/>
              <w:jc w:val="left"/>
            </w:pPr>
            <w:r/>
            <w:r>
              <w:rPr>
                <w:rFonts w:ascii="Calibri" w:hAnsi="Calibri"/>
                <w:b w:val="0"/>
                <w:i w:val="0"/>
                <w:color w:val="000000"/>
                <w:sz w:val="11"/>
              </w:rPr>
              <w:t>SMM battery-grade lithium carbonate spot</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118615.8598</w:t>
            </w:r>
          </w:p>
        </w:tc>
        <w:tc>
          <w:tcPr>
            <w:tcW w:type="dxa" w:w="1354"/>
            <w:vAlign w:val="center"/>
          </w:tcPr>
          <w:p>
            <w:pPr>
              <w:spacing w:after="0" w:line="240" w:lineRule="auto"/>
              <w:jc w:val="center"/>
            </w:pPr>
            <w:r/>
            <w:r>
              <w:rPr>
                <w:rFonts w:ascii="Calibri" w:hAnsi="Calibri"/>
                <w:b w:val="0"/>
                <w:i w:val="0"/>
                <w:color w:val="000000"/>
                <w:sz w:val="11"/>
              </w:rPr>
              <w:t>67022.4813</w:t>
            </w:r>
          </w:p>
        </w:tc>
        <w:tc>
          <w:tcPr>
            <w:tcW w:type="dxa" w:w="1354"/>
            <w:vAlign w:val="center"/>
          </w:tcPr>
          <w:p>
            <w:pPr>
              <w:spacing w:after="0" w:line="240" w:lineRule="auto"/>
              <w:jc w:val="center"/>
            </w:pPr>
            <w:r/>
            <w:r>
              <w:rPr>
                <w:rFonts w:ascii="Calibri" w:hAnsi="Calibri"/>
                <w:b w:val="0"/>
                <w:i w:val="0"/>
                <w:color w:val="000000"/>
                <w:sz w:val="11"/>
              </w:rPr>
              <w:t>59900.0000</w:t>
            </w:r>
          </w:p>
        </w:tc>
        <w:tc>
          <w:tcPr>
            <w:tcW w:type="dxa" w:w="1493"/>
            <w:vAlign w:val="center"/>
          </w:tcPr>
          <w:p>
            <w:pPr>
              <w:spacing w:after="0" w:line="240" w:lineRule="auto"/>
              <w:jc w:val="center"/>
            </w:pPr>
            <w:r/>
            <w:r>
              <w:rPr>
                <w:rFonts w:ascii="Calibri" w:hAnsi="Calibri"/>
                <w:b w:val="0"/>
                <w:i w:val="0"/>
                <w:color w:val="000000"/>
                <w:sz w:val="11"/>
              </w:rPr>
              <w:t>314000.0000</w:t>
            </w:r>
          </w:p>
        </w:tc>
      </w:tr>
      <w:tr>
        <w:tc>
          <w:tcPr>
            <w:tcW w:type="dxa" w:w="4605"/>
            <w:vAlign w:val="center"/>
          </w:tcPr>
          <w:p>
            <w:pPr>
              <w:spacing w:after="0" w:line="240" w:lineRule="auto"/>
              <w:jc w:val="left"/>
            </w:pPr>
            <w:r/>
            <w:r>
              <w:rPr>
                <w:rFonts w:ascii="Calibri" w:hAnsi="Calibri"/>
                <w:b w:val="0"/>
                <w:i w:val="0"/>
                <w:color w:val="000000"/>
                <w:sz w:val="11"/>
              </w:rPr>
              <w:t>Cross_Lithium_Close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16.3008</w:t>
            </w:r>
          </w:p>
        </w:tc>
        <w:tc>
          <w:tcPr>
            <w:tcW w:type="dxa" w:w="1354"/>
            <w:vAlign w:val="center"/>
          </w:tcPr>
          <w:p>
            <w:pPr>
              <w:spacing w:after="0" w:line="240" w:lineRule="auto"/>
              <w:jc w:val="center"/>
            </w:pPr>
            <w:r/>
            <w:r>
              <w:rPr>
                <w:rFonts w:ascii="Calibri" w:hAnsi="Calibri"/>
                <w:b w:val="0"/>
                <w:i w:val="0"/>
                <w:color w:val="000000"/>
                <w:sz w:val="11"/>
              </w:rPr>
              <w:t>10.7891</w:t>
            </w:r>
          </w:p>
        </w:tc>
        <w:tc>
          <w:tcPr>
            <w:tcW w:type="dxa" w:w="1354"/>
            <w:vAlign w:val="center"/>
          </w:tcPr>
          <w:p>
            <w:pPr>
              <w:spacing w:after="0" w:line="240" w:lineRule="auto"/>
              <w:jc w:val="center"/>
            </w:pPr>
            <w:r/>
            <w:r>
              <w:rPr>
                <w:rFonts w:ascii="Calibri" w:hAnsi="Calibri"/>
                <w:b w:val="0"/>
                <w:i w:val="0"/>
                <w:color w:val="000000"/>
                <w:sz w:val="11"/>
              </w:rPr>
              <w:t>7.9500</w:t>
            </w:r>
          </w:p>
        </w:tc>
        <w:tc>
          <w:tcPr>
            <w:tcW w:type="dxa" w:w="1493"/>
            <w:vAlign w:val="center"/>
          </w:tcPr>
          <w:p>
            <w:pPr>
              <w:spacing w:after="0" w:line="240" w:lineRule="auto"/>
              <w:jc w:val="center"/>
            </w:pPr>
            <w:r/>
            <w:r>
              <w:rPr>
                <w:rFonts w:ascii="Calibri" w:hAnsi="Calibri"/>
                <w:b w:val="0"/>
                <w:i w:val="0"/>
                <w:color w:val="000000"/>
                <w:sz w:val="11"/>
              </w:rPr>
              <w:t>47.3100</w:t>
            </w:r>
          </w:p>
        </w:tc>
      </w:tr>
      <w:tr>
        <w:tc>
          <w:tcPr>
            <w:tcW w:type="dxa" w:w="4605"/>
            <w:vAlign w:val="center"/>
          </w:tcPr>
          <w:p>
            <w:pPr>
              <w:spacing w:after="0" w:line="240" w:lineRule="auto"/>
              <w:jc w:val="left"/>
            </w:pPr>
            <w:r/>
            <w:r>
              <w:rPr>
                <w:rFonts w:ascii="Calibri" w:hAnsi="Calibri"/>
                <w:b w:val="0"/>
                <w:i w:val="0"/>
                <w:color w:val="000000"/>
                <w:sz w:val="11"/>
              </w:rPr>
              <w:t>Albemarle_Close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119.8822</w:t>
            </w:r>
          </w:p>
        </w:tc>
        <w:tc>
          <w:tcPr>
            <w:tcW w:type="dxa" w:w="1354"/>
            <w:vAlign w:val="center"/>
          </w:tcPr>
          <w:p>
            <w:pPr>
              <w:spacing w:after="0" w:line="240" w:lineRule="auto"/>
              <w:jc w:val="center"/>
            </w:pPr>
            <w:r/>
            <w:r>
              <w:rPr>
                <w:rFonts w:ascii="Calibri" w:hAnsi="Calibri"/>
                <w:b w:val="0"/>
                <w:i w:val="0"/>
                <w:color w:val="000000"/>
                <w:sz w:val="11"/>
              </w:rPr>
              <w:t>46.3719</w:t>
            </w:r>
          </w:p>
        </w:tc>
        <w:tc>
          <w:tcPr>
            <w:tcW w:type="dxa" w:w="1354"/>
            <w:vAlign w:val="center"/>
          </w:tcPr>
          <w:p>
            <w:pPr>
              <w:spacing w:after="0" w:line="240" w:lineRule="auto"/>
              <w:jc w:val="center"/>
            </w:pPr>
            <w:r/>
            <w:r>
              <w:rPr>
                <w:rFonts w:ascii="Calibri" w:hAnsi="Calibri"/>
                <w:b w:val="0"/>
                <w:i w:val="0"/>
                <w:color w:val="000000"/>
                <w:sz w:val="11"/>
              </w:rPr>
              <w:t>50.7600</w:t>
            </w:r>
          </w:p>
        </w:tc>
        <w:tc>
          <w:tcPr>
            <w:tcW w:type="dxa" w:w="1493"/>
            <w:vAlign w:val="center"/>
          </w:tcPr>
          <w:p>
            <w:pPr>
              <w:spacing w:after="0" w:line="240" w:lineRule="auto"/>
              <w:jc w:val="center"/>
            </w:pPr>
            <w:r/>
            <w:r>
              <w:rPr>
                <w:rFonts w:ascii="Calibri" w:hAnsi="Calibri"/>
                <w:b w:val="0"/>
                <w:i w:val="0"/>
                <w:color w:val="000000"/>
                <w:sz w:val="11"/>
              </w:rPr>
              <w:t>243.4400</w:t>
            </w:r>
          </w:p>
        </w:tc>
      </w:tr>
      <w:tr>
        <w:tc>
          <w:tcPr>
            <w:tcW w:type="dxa" w:w="4605"/>
            <w:vAlign w:val="center"/>
          </w:tcPr>
          <w:p>
            <w:pPr>
              <w:spacing w:after="0" w:line="240" w:lineRule="auto"/>
              <w:jc w:val="left"/>
            </w:pPr>
            <w:r/>
            <w:r>
              <w:rPr>
                <w:rFonts w:ascii="Calibri" w:hAnsi="Calibri"/>
                <w:b w:val="0"/>
                <w:i w:val="0"/>
                <w:color w:val="000000"/>
                <w:sz w:val="11"/>
              </w:rPr>
              <w:t>Ganfeng_Lithium_Close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6.1115</w:t>
            </w:r>
          </w:p>
        </w:tc>
        <w:tc>
          <w:tcPr>
            <w:tcW w:type="dxa" w:w="1354"/>
            <w:vAlign w:val="center"/>
          </w:tcPr>
          <w:p>
            <w:pPr>
              <w:spacing w:after="0" w:line="240" w:lineRule="auto"/>
              <w:jc w:val="center"/>
            </w:pPr>
            <w:r/>
            <w:r>
              <w:rPr>
                <w:rFonts w:ascii="Calibri" w:hAnsi="Calibri"/>
                <w:b w:val="0"/>
                <w:i w:val="0"/>
                <w:color w:val="000000"/>
                <w:sz w:val="11"/>
              </w:rPr>
              <w:t>1.9561</w:t>
            </w:r>
          </w:p>
        </w:tc>
        <w:tc>
          <w:tcPr>
            <w:tcW w:type="dxa" w:w="1354"/>
            <w:vAlign w:val="center"/>
          </w:tcPr>
          <w:p>
            <w:pPr>
              <w:spacing w:after="0" w:line="240" w:lineRule="auto"/>
              <w:jc w:val="center"/>
            </w:pPr>
            <w:r/>
            <w:r>
              <w:rPr>
                <w:rFonts w:ascii="Calibri" w:hAnsi="Calibri"/>
                <w:b w:val="0"/>
                <w:i w:val="0"/>
                <w:color w:val="000000"/>
                <w:sz w:val="11"/>
              </w:rPr>
              <w:t>3.5550</w:t>
            </w:r>
          </w:p>
        </w:tc>
        <w:tc>
          <w:tcPr>
            <w:tcW w:type="dxa" w:w="1493"/>
            <w:vAlign w:val="center"/>
          </w:tcPr>
          <w:p>
            <w:pPr>
              <w:spacing w:after="0" w:line="240" w:lineRule="auto"/>
              <w:jc w:val="center"/>
            </w:pPr>
            <w:r/>
            <w:r>
              <w:rPr>
                <w:rFonts w:ascii="Calibri" w:hAnsi="Calibri"/>
                <w:b w:val="0"/>
                <w:i w:val="0"/>
                <w:color w:val="000000"/>
                <w:sz w:val="11"/>
              </w:rPr>
              <w:t>10.7050</w:t>
            </w:r>
          </w:p>
        </w:tc>
      </w:tr>
      <w:tr>
        <w:tc>
          <w:tcPr>
            <w:tcW w:type="dxa" w:w="4605"/>
            <w:vAlign w:val="center"/>
          </w:tcPr>
          <w:p>
            <w:pPr>
              <w:spacing w:after="0" w:line="240" w:lineRule="auto"/>
              <w:jc w:val="left"/>
            </w:pPr>
            <w:r/>
            <w:r>
              <w:rPr>
                <w:rFonts w:ascii="Calibri" w:hAnsi="Calibri"/>
                <w:b w:val="0"/>
                <w:i w:val="0"/>
                <w:color w:val="000000"/>
                <w:sz w:val="11"/>
              </w:rPr>
              <w:t>Trends_lithium</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56.4362</w:t>
            </w:r>
          </w:p>
        </w:tc>
        <w:tc>
          <w:tcPr>
            <w:tcW w:type="dxa" w:w="1354"/>
            <w:vAlign w:val="center"/>
          </w:tcPr>
          <w:p>
            <w:pPr>
              <w:spacing w:after="0" w:line="240" w:lineRule="auto"/>
              <w:jc w:val="center"/>
            </w:pPr>
            <w:r/>
            <w:r>
              <w:rPr>
                <w:rFonts w:ascii="Calibri" w:hAnsi="Calibri"/>
                <w:b w:val="0"/>
                <w:i w:val="0"/>
                <w:color w:val="000000"/>
                <w:sz w:val="11"/>
              </w:rPr>
              <w:t>13.8250</w:t>
            </w:r>
          </w:p>
        </w:tc>
        <w:tc>
          <w:tcPr>
            <w:tcW w:type="dxa" w:w="1354"/>
            <w:vAlign w:val="center"/>
          </w:tcPr>
          <w:p>
            <w:pPr>
              <w:spacing w:after="0" w:line="240" w:lineRule="auto"/>
              <w:jc w:val="center"/>
            </w:pPr>
            <w:r/>
            <w:r>
              <w:rPr>
                <w:rFonts w:ascii="Calibri" w:hAnsi="Calibri"/>
                <w:b w:val="0"/>
                <w:i w:val="0"/>
                <w:color w:val="000000"/>
                <w:sz w:val="11"/>
              </w:rPr>
              <w:t>43.0000</w:t>
            </w:r>
          </w:p>
        </w:tc>
        <w:tc>
          <w:tcPr>
            <w:tcW w:type="dxa" w:w="1493"/>
            <w:vAlign w:val="center"/>
          </w:tcPr>
          <w:p>
            <w:pPr>
              <w:spacing w:after="0" w:line="240" w:lineRule="auto"/>
              <w:jc w:val="center"/>
            </w:pPr>
            <w:r/>
            <w:r>
              <w:rPr>
                <w:rFonts w:ascii="Calibri" w:hAnsi="Calibri"/>
                <w:b w:val="0"/>
                <w:i w:val="0"/>
                <w:color w:val="000000"/>
                <w:sz w:val="11"/>
              </w:rPr>
              <w:t>100.0000</w:t>
            </w:r>
          </w:p>
        </w:tc>
      </w:tr>
      <w:tr>
        <w:tc>
          <w:tcPr>
            <w:tcW w:type="dxa" w:w="4605"/>
            <w:vAlign w:val="center"/>
          </w:tcPr>
          <w:p>
            <w:pPr>
              <w:spacing w:after="0" w:line="240" w:lineRule="auto"/>
              <w:jc w:val="left"/>
            </w:pPr>
            <w:r/>
            <w:r>
              <w:rPr>
                <w:rFonts w:ascii="Calibri" w:hAnsi="Calibri"/>
                <w:b w:val="0"/>
                <w:i w:val="0"/>
                <w:color w:val="000000"/>
                <w:sz w:val="11"/>
              </w:rPr>
              <w:t>Trends_lithium_price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3.9841</w:t>
            </w:r>
          </w:p>
        </w:tc>
        <w:tc>
          <w:tcPr>
            <w:tcW w:type="dxa" w:w="1354"/>
            <w:vAlign w:val="center"/>
          </w:tcPr>
          <w:p>
            <w:pPr>
              <w:spacing w:after="0" w:line="240" w:lineRule="auto"/>
              <w:jc w:val="center"/>
            </w:pPr>
            <w:r/>
            <w:r>
              <w:rPr>
                <w:rFonts w:ascii="Calibri" w:hAnsi="Calibri"/>
                <w:b w:val="0"/>
                <w:i w:val="0"/>
                <w:color w:val="000000"/>
                <w:sz w:val="11"/>
              </w:rPr>
              <w:t>3.7685</w:t>
            </w:r>
          </w:p>
        </w:tc>
        <w:tc>
          <w:tcPr>
            <w:tcW w:type="dxa" w:w="1354"/>
            <w:vAlign w:val="center"/>
          </w:tcPr>
          <w:p>
            <w:pPr>
              <w:spacing w:after="0" w:line="240" w:lineRule="auto"/>
              <w:jc w:val="center"/>
            </w:pPr>
            <w:r/>
            <w:r>
              <w:rPr>
                <w:rFonts w:ascii="Calibri" w:hAnsi="Calibri"/>
                <w:b w:val="0"/>
                <w:i w:val="0"/>
                <w:color w:val="000000"/>
                <w:sz w:val="11"/>
              </w:rPr>
              <w:t>2.0000</w:t>
            </w:r>
          </w:p>
        </w:tc>
        <w:tc>
          <w:tcPr>
            <w:tcW w:type="dxa" w:w="1493"/>
            <w:vAlign w:val="center"/>
          </w:tcPr>
          <w:p>
            <w:pPr>
              <w:spacing w:after="0" w:line="240" w:lineRule="auto"/>
              <w:jc w:val="center"/>
            </w:pPr>
            <w:r/>
            <w:r>
              <w:rPr>
                <w:rFonts w:ascii="Calibri" w:hAnsi="Calibri"/>
                <w:b w:val="0"/>
                <w:i w:val="0"/>
                <w:color w:val="000000"/>
                <w:sz w:val="11"/>
              </w:rPr>
              <w:t>18.0000</w:t>
            </w:r>
          </w:p>
        </w:tc>
      </w:tr>
      <w:tr>
        <w:tc>
          <w:tcPr>
            <w:tcW w:type="dxa" w:w="4605"/>
            <w:vAlign w:val="center"/>
          </w:tcPr>
          <w:p>
            <w:pPr>
              <w:spacing w:after="0" w:line="240" w:lineRule="auto"/>
              <w:jc w:val="left"/>
            </w:pPr>
            <w:r/>
            <w:r>
              <w:rPr>
                <w:rFonts w:ascii="Calibri" w:hAnsi="Calibri"/>
                <w:b w:val="0"/>
                <w:i w:val="0"/>
                <w:color w:val="000000"/>
                <w:sz w:val="11"/>
              </w:rPr>
              <w:t>Trends_lithium_carbonate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1.0580</w:t>
            </w:r>
          </w:p>
        </w:tc>
        <w:tc>
          <w:tcPr>
            <w:tcW w:type="dxa" w:w="1354"/>
            <w:vAlign w:val="center"/>
          </w:tcPr>
          <w:p>
            <w:pPr>
              <w:spacing w:after="0" w:line="240" w:lineRule="auto"/>
              <w:jc w:val="center"/>
            </w:pPr>
            <w:r/>
            <w:r>
              <w:rPr>
                <w:rFonts w:ascii="Calibri" w:hAnsi="Calibri"/>
                <w:b w:val="0"/>
                <w:i w:val="0"/>
                <w:color w:val="000000"/>
                <w:sz w:val="11"/>
              </w:rPr>
              <w:t>0.3687</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2.0000</w:t>
            </w:r>
          </w:p>
        </w:tc>
      </w:tr>
      <w:tr>
        <w:tc>
          <w:tcPr>
            <w:tcW w:type="dxa" w:w="4605"/>
            <w:vAlign w:val="center"/>
          </w:tcPr>
          <w:p>
            <w:pPr>
              <w:spacing w:after="0" w:line="240" w:lineRule="auto"/>
              <w:jc w:val="left"/>
            </w:pPr>
            <w:r/>
            <w:r>
              <w:rPr>
                <w:rFonts w:ascii="Calibri" w:hAnsi="Calibri"/>
                <w:b w:val="0"/>
                <w:i w:val="0"/>
                <w:color w:val="000000"/>
                <w:sz w:val="11"/>
              </w:rPr>
              <w:t>Trends_lithium_hydroxide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0.1899</w:t>
            </w:r>
          </w:p>
        </w:tc>
        <w:tc>
          <w:tcPr>
            <w:tcW w:type="dxa" w:w="1354"/>
            <w:vAlign w:val="center"/>
          </w:tcPr>
          <w:p>
            <w:pPr>
              <w:spacing w:after="0" w:line="240" w:lineRule="auto"/>
              <w:jc w:val="center"/>
            </w:pPr>
            <w:r/>
            <w:r>
              <w:rPr>
                <w:rFonts w:ascii="Calibri" w:hAnsi="Calibri"/>
                <w:b w:val="0"/>
                <w:i w:val="0"/>
                <w:color w:val="000000"/>
                <w:sz w:val="11"/>
              </w:rPr>
              <w:t>0.3925</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1.0000</w:t>
            </w:r>
          </w:p>
        </w:tc>
      </w:tr>
      <w:tr>
        <w:tc>
          <w:tcPr>
            <w:tcW w:type="dxa" w:w="4605"/>
            <w:vAlign w:val="center"/>
          </w:tcPr>
          <w:p>
            <w:pPr>
              <w:spacing w:after="0" w:line="240" w:lineRule="auto"/>
              <w:jc w:val="left"/>
            </w:pPr>
            <w:r/>
            <w:r>
              <w:rPr>
                <w:rFonts w:ascii="Calibri" w:hAnsi="Calibri"/>
                <w:b w:val="0"/>
                <w:i w:val="0"/>
                <w:color w:val="000000"/>
                <w:sz w:val="11"/>
              </w:rPr>
              <w:t>Trends_lithium_battery</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17.7667</w:t>
            </w:r>
          </w:p>
        </w:tc>
        <w:tc>
          <w:tcPr>
            <w:tcW w:type="dxa" w:w="1354"/>
            <w:vAlign w:val="center"/>
          </w:tcPr>
          <w:p>
            <w:pPr>
              <w:spacing w:after="0" w:line="240" w:lineRule="auto"/>
              <w:jc w:val="center"/>
            </w:pPr>
            <w:r/>
            <w:r>
              <w:rPr>
                <w:rFonts w:ascii="Calibri" w:hAnsi="Calibri"/>
                <w:b w:val="0"/>
                <w:i w:val="0"/>
                <w:color w:val="000000"/>
                <w:sz w:val="11"/>
              </w:rPr>
              <w:t>5.1881</w:t>
            </w:r>
          </w:p>
        </w:tc>
        <w:tc>
          <w:tcPr>
            <w:tcW w:type="dxa" w:w="1354"/>
            <w:vAlign w:val="center"/>
          </w:tcPr>
          <w:p>
            <w:pPr>
              <w:spacing w:after="0" w:line="240" w:lineRule="auto"/>
              <w:jc w:val="center"/>
            </w:pPr>
            <w:r/>
            <w:r>
              <w:rPr>
                <w:rFonts w:ascii="Calibri" w:hAnsi="Calibri"/>
                <w:b w:val="0"/>
                <w:i w:val="0"/>
                <w:color w:val="000000"/>
                <w:sz w:val="11"/>
              </w:rPr>
              <w:t>13.0000</w:t>
            </w:r>
          </w:p>
        </w:tc>
        <w:tc>
          <w:tcPr>
            <w:tcW w:type="dxa" w:w="1493"/>
            <w:vAlign w:val="center"/>
          </w:tcPr>
          <w:p>
            <w:pPr>
              <w:spacing w:after="0" w:line="240" w:lineRule="auto"/>
              <w:jc w:val="center"/>
            </w:pPr>
            <w:r/>
            <w:r>
              <w:rPr>
                <w:rFonts w:ascii="Calibri" w:hAnsi="Calibri"/>
                <w:b w:val="0"/>
                <w:i w:val="0"/>
                <w:color w:val="000000"/>
                <w:sz w:val="11"/>
              </w:rPr>
              <w:t>36.0000</w:t>
            </w:r>
          </w:p>
        </w:tc>
      </w:tr>
      <w:tr>
        <w:tc>
          <w:tcPr>
            <w:tcW w:type="dxa" w:w="4605"/>
            <w:vAlign w:val="center"/>
          </w:tcPr>
          <w:p>
            <w:pPr>
              <w:spacing w:after="0" w:line="240" w:lineRule="auto"/>
              <w:jc w:val="left"/>
            </w:pPr>
            <w:r/>
            <w:r>
              <w:rPr>
                <w:rFonts w:ascii="Calibri" w:hAnsi="Calibri"/>
                <w:b w:val="0"/>
                <w:i w:val="0"/>
                <w:color w:val="000000"/>
                <w:sz w:val="11"/>
              </w:rPr>
              <w:t>News_Article_Count</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2.6214</w:t>
            </w:r>
          </w:p>
        </w:tc>
        <w:tc>
          <w:tcPr>
            <w:tcW w:type="dxa" w:w="1354"/>
            <w:vAlign w:val="center"/>
          </w:tcPr>
          <w:p>
            <w:pPr>
              <w:spacing w:after="0" w:line="240" w:lineRule="auto"/>
              <w:jc w:val="center"/>
            </w:pPr>
            <w:r/>
            <w:r>
              <w:rPr>
                <w:rFonts w:ascii="Calibri" w:hAnsi="Calibri"/>
                <w:b w:val="0"/>
                <w:i w:val="0"/>
                <w:color w:val="000000"/>
                <w:sz w:val="11"/>
              </w:rPr>
              <w:t>2.6298</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40.0000</w:t>
            </w:r>
          </w:p>
        </w:tc>
      </w:tr>
      <w:tr>
        <w:tc>
          <w:tcPr>
            <w:tcW w:type="dxa" w:w="4605"/>
            <w:vAlign w:val="center"/>
          </w:tcPr>
          <w:p>
            <w:pPr>
              <w:spacing w:after="0" w:line="240" w:lineRule="auto"/>
              <w:jc w:val="left"/>
            </w:pPr>
            <w:r/>
            <w:r>
              <w:rPr>
                <w:rFonts w:ascii="Calibri" w:hAnsi="Calibri"/>
                <w:b w:val="0"/>
                <w:i w:val="0"/>
                <w:color w:val="000000"/>
                <w:sz w:val="11"/>
              </w:rPr>
              <w:t>News_TextBlob_Polarity</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0.0522</w:t>
            </w:r>
          </w:p>
        </w:tc>
        <w:tc>
          <w:tcPr>
            <w:tcW w:type="dxa" w:w="1354"/>
            <w:vAlign w:val="center"/>
          </w:tcPr>
          <w:p>
            <w:pPr>
              <w:spacing w:after="0" w:line="240" w:lineRule="auto"/>
              <w:jc w:val="center"/>
            </w:pPr>
            <w:r/>
            <w:r>
              <w:rPr>
                <w:rFonts w:ascii="Calibri" w:hAnsi="Calibri"/>
                <w:b w:val="0"/>
                <w:i w:val="0"/>
                <w:color w:val="000000"/>
                <w:sz w:val="11"/>
              </w:rPr>
              <w:t>0.1114</w:t>
            </w:r>
          </w:p>
        </w:tc>
        <w:tc>
          <w:tcPr>
            <w:tcW w:type="dxa" w:w="1354"/>
            <w:vAlign w:val="center"/>
          </w:tcPr>
          <w:p>
            <w:pPr>
              <w:spacing w:after="0" w:line="240" w:lineRule="auto"/>
              <w:jc w:val="center"/>
            </w:pPr>
            <w:r/>
            <w:r>
              <w:rPr>
                <w:rFonts w:ascii="Calibri" w:hAnsi="Calibri"/>
                <w:b w:val="0"/>
                <w:i w:val="0"/>
                <w:color w:val="000000"/>
                <w:sz w:val="11"/>
              </w:rPr>
              <w:t>-0.4333</w:t>
            </w:r>
          </w:p>
        </w:tc>
        <w:tc>
          <w:tcPr>
            <w:tcW w:type="dxa" w:w="1493"/>
            <w:vAlign w:val="center"/>
          </w:tcPr>
          <w:p>
            <w:pPr>
              <w:spacing w:after="0" w:line="240" w:lineRule="auto"/>
              <w:jc w:val="center"/>
            </w:pPr>
            <w:r/>
            <w:r>
              <w:rPr>
                <w:rFonts w:ascii="Calibri" w:hAnsi="Calibri"/>
                <w:b w:val="0"/>
                <w:i w:val="0"/>
                <w:color w:val="000000"/>
                <w:sz w:val="11"/>
              </w:rPr>
              <w:t>0.8000</w:t>
            </w:r>
          </w:p>
        </w:tc>
      </w:tr>
      <w:tr>
        <w:tc>
          <w:tcPr>
            <w:tcW w:type="dxa" w:w="4605"/>
            <w:vAlign w:val="center"/>
          </w:tcPr>
          <w:p>
            <w:pPr>
              <w:spacing w:after="0" w:line="240" w:lineRule="auto"/>
              <w:jc w:val="left"/>
            </w:pPr>
            <w:r/>
            <w:r>
              <w:rPr>
                <w:rFonts w:ascii="Calibri" w:hAnsi="Calibri"/>
                <w:b w:val="0"/>
                <w:i w:val="0"/>
                <w:color w:val="000000"/>
                <w:sz w:val="11"/>
              </w:rPr>
              <w:t>News_FinBERT_Score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0.2077</w:t>
            </w:r>
          </w:p>
        </w:tc>
        <w:tc>
          <w:tcPr>
            <w:tcW w:type="dxa" w:w="1354"/>
            <w:vAlign w:val="center"/>
          </w:tcPr>
          <w:p>
            <w:pPr>
              <w:spacing w:after="0" w:line="240" w:lineRule="auto"/>
              <w:jc w:val="center"/>
            </w:pPr>
            <w:r/>
            <w:r>
              <w:rPr>
                <w:rFonts w:ascii="Calibri" w:hAnsi="Calibri"/>
                <w:b w:val="0"/>
                <w:i w:val="0"/>
                <w:color w:val="000000"/>
                <w:sz w:val="11"/>
              </w:rPr>
              <w:t>0.3783</w:t>
            </w:r>
          </w:p>
        </w:tc>
        <w:tc>
          <w:tcPr>
            <w:tcW w:type="dxa" w:w="1354"/>
            <w:vAlign w:val="center"/>
          </w:tcPr>
          <w:p>
            <w:pPr>
              <w:spacing w:after="0" w:line="240" w:lineRule="auto"/>
              <w:jc w:val="center"/>
            </w:pPr>
            <w:r/>
            <w:r>
              <w:rPr>
                <w:rFonts w:ascii="Calibri" w:hAnsi="Calibri"/>
                <w:b w:val="0"/>
                <w:i w:val="0"/>
                <w:color w:val="000000"/>
                <w:sz w:val="11"/>
              </w:rPr>
              <w:t>-0.9694</w:t>
            </w:r>
          </w:p>
        </w:tc>
        <w:tc>
          <w:tcPr>
            <w:tcW w:type="dxa" w:w="1493"/>
            <w:vAlign w:val="center"/>
          </w:tcPr>
          <w:p>
            <w:pPr>
              <w:spacing w:after="0" w:line="240" w:lineRule="auto"/>
              <w:jc w:val="center"/>
            </w:pPr>
            <w:r/>
            <w:r>
              <w:rPr>
                <w:rFonts w:ascii="Calibri" w:hAnsi="Calibri"/>
                <w:b w:val="0"/>
                <w:i w:val="0"/>
                <w:color w:val="000000"/>
                <w:sz w:val="11"/>
              </w:rPr>
              <w:t>0.9512</w:t>
            </w:r>
          </w:p>
        </w:tc>
      </w:tr>
      <w:tr>
        <w:tc>
          <w:tcPr>
            <w:tcW w:type="dxa" w:w="4605"/>
            <w:vAlign w:val="center"/>
          </w:tcPr>
          <w:p>
            <w:pPr>
              <w:spacing w:after="0" w:line="240" w:lineRule="auto"/>
              <w:jc w:val="left"/>
            </w:pPr>
            <w:r/>
            <w:r>
              <w:rPr>
                <w:rFonts w:ascii="Calibri" w:hAnsi="Calibri"/>
                <w:b w:val="0"/>
                <w:i w:val="0"/>
                <w:color w:val="000000"/>
                <w:sz w:val="11"/>
              </w:rPr>
              <w:t>SP500</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5561.6697</w:t>
            </w:r>
          </w:p>
        </w:tc>
        <w:tc>
          <w:tcPr>
            <w:tcW w:type="dxa" w:w="1354"/>
            <w:vAlign w:val="center"/>
          </w:tcPr>
          <w:p>
            <w:pPr>
              <w:spacing w:after="0" w:line="240" w:lineRule="auto"/>
              <w:jc w:val="center"/>
            </w:pPr>
            <w:r/>
            <w:r>
              <w:rPr>
                <w:rFonts w:ascii="Calibri" w:hAnsi="Calibri"/>
                <w:b w:val="0"/>
                <w:i w:val="0"/>
                <w:color w:val="000000"/>
                <w:sz w:val="11"/>
              </w:rPr>
              <w:t>840.7653</w:t>
            </w:r>
          </w:p>
        </w:tc>
        <w:tc>
          <w:tcPr>
            <w:tcW w:type="dxa" w:w="1354"/>
            <w:vAlign w:val="center"/>
          </w:tcPr>
          <w:p>
            <w:pPr>
              <w:spacing w:after="0" w:line="240" w:lineRule="auto"/>
              <w:jc w:val="center"/>
            </w:pPr>
            <w:r/>
            <w:r>
              <w:rPr>
                <w:rFonts w:ascii="Calibri" w:hAnsi="Calibri"/>
                <w:b w:val="0"/>
                <w:i w:val="0"/>
                <w:color w:val="000000"/>
                <w:sz w:val="11"/>
              </w:rPr>
              <w:t>4061.2200</w:t>
            </w:r>
          </w:p>
        </w:tc>
        <w:tc>
          <w:tcPr>
            <w:tcW w:type="dxa" w:w="1493"/>
            <w:vAlign w:val="center"/>
          </w:tcPr>
          <w:p>
            <w:pPr>
              <w:spacing w:after="0" w:line="240" w:lineRule="auto"/>
              <w:jc w:val="center"/>
            </w:pPr>
            <w:r/>
            <w:r>
              <w:rPr>
                <w:rFonts w:ascii="Calibri" w:hAnsi="Calibri"/>
                <w:b w:val="0"/>
                <w:i w:val="0"/>
                <w:color w:val="000000"/>
                <w:sz w:val="11"/>
              </w:rPr>
              <w:t>6978.6001</w:t>
            </w:r>
          </w:p>
        </w:tc>
      </w:tr>
      <w:tr>
        <w:tc>
          <w:tcPr>
            <w:tcW w:type="dxa" w:w="4605"/>
            <w:vAlign w:val="center"/>
          </w:tcPr>
          <w:p>
            <w:pPr>
              <w:spacing w:after="0" w:line="240" w:lineRule="auto"/>
              <w:jc w:val="left"/>
            </w:pPr>
            <w:r/>
            <w:r>
              <w:rPr>
                <w:rFonts w:ascii="Calibri" w:hAnsi="Calibri"/>
                <w:b w:val="0"/>
                <w:i w:val="0"/>
                <w:color w:val="000000"/>
                <w:sz w:val="11"/>
              </w:rPr>
              <w:t>VIX</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16.8099</w:t>
            </w:r>
          </w:p>
        </w:tc>
        <w:tc>
          <w:tcPr>
            <w:tcW w:type="dxa" w:w="1354"/>
            <w:vAlign w:val="center"/>
          </w:tcPr>
          <w:p>
            <w:pPr>
              <w:spacing w:after="0" w:line="240" w:lineRule="auto"/>
              <w:jc w:val="center"/>
            </w:pPr>
            <w:r/>
            <w:r>
              <w:rPr>
                <w:rFonts w:ascii="Calibri" w:hAnsi="Calibri"/>
                <w:b w:val="0"/>
                <w:i w:val="0"/>
                <w:color w:val="000000"/>
                <w:sz w:val="11"/>
              </w:rPr>
              <w:t>4.2760</w:t>
            </w:r>
          </w:p>
        </w:tc>
        <w:tc>
          <w:tcPr>
            <w:tcW w:type="dxa" w:w="1354"/>
            <w:vAlign w:val="center"/>
          </w:tcPr>
          <w:p>
            <w:pPr>
              <w:spacing w:after="0" w:line="240" w:lineRule="auto"/>
              <w:jc w:val="center"/>
            </w:pPr>
            <w:r/>
            <w:r>
              <w:rPr>
                <w:rFonts w:ascii="Calibri" w:hAnsi="Calibri"/>
                <w:b w:val="0"/>
                <w:i w:val="0"/>
                <w:color w:val="000000"/>
                <w:sz w:val="11"/>
              </w:rPr>
              <w:t>11.8600</w:t>
            </w:r>
          </w:p>
        </w:tc>
        <w:tc>
          <w:tcPr>
            <w:tcW w:type="dxa" w:w="1493"/>
            <w:vAlign w:val="center"/>
          </w:tcPr>
          <w:p>
            <w:pPr>
              <w:spacing w:after="0" w:line="240" w:lineRule="auto"/>
              <w:jc w:val="center"/>
            </w:pPr>
            <w:r/>
            <w:r>
              <w:rPr>
                <w:rFonts w:ascii="Calibri" w:hAnsi="Calibri"/>
                <w:b w:val="0"/>
                <w:i w:val="0"/>
                <w:color w:val="000000"/>
                <w:sz w:val="11"/>
              </w:rPr>
              <w:t>52.3300</w:t>
            </w:r>
          </w:p>
        </w:tc>
      </w:tr>
      <w:tr>
        <w:tc>
          <w:tcPr>
            <w:tcW w:type="dxa" w:w="4605"/>
            <w:vAlign w:val="center"/>
          </w:tcPr>
          <w:p>
            <w:pPr>
              <w:spacing w:after="0" w:line="240" w:lineRule="auto"/>
              <w:jc w:val="left"/>
            </w:pPr>
            <w:r/>
            <w:r>
              <w:rPr>
                <w:rFonts w:ascii="Calibri" w:hAnsi="Calibri"/>
                <w:b w:val="0"/>
                <w:i w:val="0"/>
                <w:color w:val="000000"/>
                <w:sz w:val="11"/>
              </w:rPr>
              <w:t>US_Dollar_Index</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102.4637</w:t>
            </w:r>
          </w:p>
        </w:tc>
        <w:tc>
          <w:tcPr>
            <w:tcW w:type="dxa" w:w="1354"/>
            <w:vAlign w:val="center"/>
          </w:tcPr>
          <w:p>
            <w:pPr>
              <w:spacing w:after="0" w:line="240" w:lineRule="auto"/>
              <w:jc w:val="center"/>
            </w:pPr>
            <w:r/>
            <w:r>
              <w:rPr>
                <w:rFonts w:ascii="Calibri" w:hAnsi="Calibri"/>
                <w:b w:val="0"/>
                <w:i w:val="0"/>
                <w:color w:val="000000"/>
                <w:sz w:val="11"/>
              </w:rPr>
              <w:t>3.1759</w:t>
            </w:r>
          </w:p>
        </w:tc>
        <w:tc>
          <w:tcPr>
            <w:tcW w:type="dxa" w:w="1354"/>
            <w:vAlign w:val="center"/>
          </w:tcPr>
          <w:p>
            <w:pPr>
              <w:spacing w:after="0" w:line="240" w:lineRule="auto"/>
              <w:jc w:val="center"/>
            </w:pPr>
            <w:r/>
            <w:r>
              <w:rPr>
                <w:rFonts w:ascii="Calibri" w:hAnsi="Calibri"/>
                <w:b w:val="0"/>
                <w:i w:val="0"/>
                <w:color w:val="000000"/>
                <w:sz w:val="11"/>
              </w:rPr>
              <w:t>96.2200</w:t>
            </w:r>
          </w:p>
        </w:tc>
        <w:tc>
          <w:tcPr>
            <w:tcW w:type="dxa" w:w="1493"/>
            <w:vAlign w:val="center"/>
          </w:tcPr>
          <w:p>
            <w:pPr>
              <w:spacing w:after="0" w:line="240" w:lineRule="auto"/>
              <w:jc w:val="center"/>
            </w:pPr>
            <w:r/>
            <w:r>
              <w:rPr>
                <w:rFonts w:ascii="Calibri" w:hAnsi="Calibri"/>
                <w:b w:val="0"/>
                <w:i w:val="0"/>
                <w:color w:val="000000"/>
                <w:sz w:val="11"/>
              </w:rPr>
              <w:t>109.9600</w:t>
            </w:r>
          </w:p>
        </w:tc>
      </w:tr>
      <w:tr>
        <w:tc>
          <w:tcPr>
            <w:tcW w:type="dxa" w:w="4605"/>
            <w:vAlign w:val="center"/>
          </w:tcPr>
          <w:p>
            <w:pPr>
              <w:spacing w:after="0" w:line="240" w:lineRule="auto"/>
              <w:jc w:val="left"/>
            </w:pPr>
            <w:r/>
            <w:r>
              <w:rPr>
                <w:rFonts w:ascii="Calibri" w:hAnsi="Calibri"/>
                <w:b w:val="0"/>
                <w:i w:val="0"/>
                <w:color w:val="000000"/>
                <w:sz w:val="11"/>
              </w:rPr>
              <w:t>MVIS_Critical_Minerals</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370.9414</w:t>
            </w:r>
          </w:p>
        </w:tc>
        <w:tc>
          <w:tcPr>
            <w:tcW w:type="dxa" w:w="1354"/>
            <w:vAlign w:val="center"/>
          </w:tcPr>
          <w:p>
            <w:pPr>
              <w:spacing w:after="0" w:line="240" w:lineRule="auto"/>
              <w:jc w:val="center"/>
            </w:pPr>
            <w:r/>
            <w:r>
              <w:rPr>
                <w:rFonts w:ascii="Calibri" w:hAnsi="Calibri"/>
                <w:b w:val="0"/>
                <w:i w:val="0"/>
                <w:color w:val="000000"/>
                <w:sz w:val="11"/>
              </w:rPr>
              <w:t>109.4896</w:t>
            </w:r>
          </w:p>
        </w:tc>
        <w:tc>
          <w:tcPr>
            <w:tcW w:type="dxa" w:w="1354"/>
            <w:vAlign w:val="center"/>
          </w:tcPr>
          <w:p>
            <w:pPr>
              <w:spacing w:after="0" w:line="240" w:lineRule="auto"/>
              <w:jc w:val="center"/>
            </w:pPr>
            <w:r/>
            <w:r>
              <w:rPr>
                <w:rFonts w:ascii="Calibri" w:hAnsi="Calibri"/>
                <w:b w:val="0"/>
                <w:i w:val="0"/>
                <w:color w:val="000000"/>
                <w:sz w:val="11"/>
              </w:rPr>
              <w:t>220.4200</w:t>
            </w:r>
          </w:p>
        </w:tc>
        <w:tc>
          <w:tcPr>
            <w:tcW w:type="dxa" w:w="1493"/>
            <w:vAlign w:val="center"/>
          </w:tcPr>
          <w:p>
            <w:pPr>
              <w:spacing w:after="0" w:line="240" w:lineRule="auto"/>
              <w:jc w:val="center"/>
            </w:pPr>
            <w:r/>
            <w:r>
              <w:rPr>
                <w:rFonts w:ascii="Calibri" w:hAnsi="Calibri"/>
                <w:b w:val="0"/>
                <w:i w:val="0"/>
                <w:color w:val="000000"/>
                <w:sz w:val="11"/>
              </w:rPr>
              <w:t>674.2340</w:t>
            </w:r>
          </w:p>
        </w:tc>
      </w:tr>
    </w:tbl>
    <w:p>
      <w:pPr>
        <w:spacing w:after="60"/>
      </w:pPr>
    </w:p>
    <w:p>
      <w:pPr>
        <w:pStyle w:val="Heading3"/>
      </w:pPr>
      <w:r>
        <w:t>Interpretation of Table 4</w:t>
      </w:r>
    </w:p>
    <w:p>
      <w:pPr>
        <w:spacing w:after="160" w:line="320" w:lineRule="auto"/>
        <w:jc w:val="both"/>
      </w:pPr>
      <w:r>
        <w:rPr>
          <w:rFonts w:ascii="Calibri" w:hAnsi="Calibri"/>
          <w:b/>
          <w:i w:val="0"/>
          <w:color w:val="000000"/>
          <w:sz w:val="22"/>
        </w:rPr>
        <w:t>Target coverage:</w:t>
      </w:r>
      <w:r>
        <w:rPr>
          <w:rFonts w:ascii="Calibri" w:hAnsi="Calibri"/>
          <w:b w:val="0"/>
          <w:i w:val="0"/>
          <w:color w:val="000000"/>
          <w:sz w:val="22"/>
        </w:rPr>
        <w:t xml:space="preserve"> The hydroxide panel contains 716 aligned observations, with prices ranging from 7.95 to 47.31 and a mean of 16.18. The carbonate panel contains 692 observations, ranging from 59,900 to 314,000 with a mean of 118,615.86. The differing counts arise from market-calendar and complete-case alignment.</w:t>
      </w:r>
    </w:p>
    <w:p>
      <w:pPr>
        <w:spacing w:after="160" w:line="320" w:lineRule="auto"/>
        <w:jc w:val="both"/>
      </w:pPr>
      <w:r>
        <w:rPr>
          <w:rFonts w:ascii="Calibri" w:hAnsi="Calibri"/>
          <w:b/>
          <w:i w:val="0"/>
          <w:color w:val="000000"/>
          <w:sz w:val="22"/>
        </w:rPr>
        <w:t>Scale and volatility:</w:t>
      </w:r>
      <w:r>
        <w:rPr>
          <w:rFonts w:ascii="Calibri" w:hAnsi="Calibri"/>
          <w:b w:val="0"/>
          <w:i w:val="0"/>
          <w:color w:val="000000"/>
          <w:sz w:val="22"/>
        </w:rPr>
        <w:t xml:space="preserve"> Hydroxide's standard deviation of 10.62 is about 66% of its mean, while carbonate's standard deviation of 67,022.48 is about 57% of its mean. Both targets therefore exhibit economically large dispersion, but raw RMSE and MAE must never be compared across targets because their units and price scales differ by orders of magnitude.</w:t>
      </w:r>
    </w:p>
    <w:p>
      <w:pPr>
        <w:spacing w:after="160" w:line="320" w:lineRule="auto"/>
        <w:jc w:val="both"/>
      </w:pPr>
      <w:r>
        <w:rPr>
          <w:rFonts w:ascii="Calibri" w:hAnsi="Calibri"/>
          <w:b/>
          <w:i w:val="0"/>
          <w:color w:val="000000"/>
          <w:sz w:val="22"/>
        </w:rPr>
        <w:t>Modelling implication:</w:t>
      </w:r>
      <w:r>
        <w:rPr>
          <w:rFonts w:ascii="Calibri" w:hAnsi="Calibri"/>
          <w:b w:val="0"/>
          <w:i w:val="0"/>
          <w:color w:val="000000"/>
          <w:sz w:val="22"/>
        </w:rPr>
        <w:t xml:space="preserve"> The broad min-max ranges and high relative dispersion explain why percentage, scaled, and directional metrics are reported beside absolute errors. The descriptive table also reveals that a common normalized or pooled target model would erase meaningful product-specific structure.</w:t>
      </w:r>
    </w:p>
    <w:p>
      <w:pPr>
        <w:sectPr>
          <w:pgSz w:w="15840" w:h="12240" w:orient="landscape"/>
          <w:pgMar w:top="1037" w:right="1037" w:bottom="1037" w:left="1037" w:header="605" w:footer="605" w:gutter="0"/>
          <w:cols w:space="720"/>
          <w:docGrid w:linePitch="360"/>
        </w:sectPr>
      </w:pPr>
    </w:p>
    <w:p>
      <w:pPr>
        <w:keepNext/>
        <w:spacing w:before="100" w:after="80"/>
      </w:pPr>
      <w:r>
        <w:rPr>
          <w:rFonts w:ascii="Calibri" w:hAnsi="Calibri"/>
          <w:b/>
          <w:i w:val="0"/>
          <w:color w:val="1F4D78"/>
          <w:sz w:val="18"/>
        </w:rPr>
        <w:t xml:space="preserve">Figure 4. </w:t>
      </w:r>
      <w:r>
        <w:rPr>
          <w:rFonts w:ascii="Calibri" w:hAnsi="Calibri"/>
          <w:b w:val="0"/>
          <w:i/>
          <w:color w:val="000000"/>
          <w:sz w:val="18"/>
        </w:rPr>
        <w:t>Lithium-price series used as forecasting targets.</w:t>
      </w:r>
    </w:p>
    <w:p>
      <w:pPr>
        <w:spacing w:after="180"/>
        <w:jc w:val="center"/>
      </w:pPr>
      <w:r>
        <w:drawing>
          <wp:inline xmlns:a="http://schemas.openxmlformats.org/drawingml/2006/main" xmlns:pic="http://schemas.openxmlformats.org/drawingml/2006/picture">
            <wp:extent cx="5760720" cy="3766525"/>
            <wp:docPr id="4" name="Picture 4"/>
            <wp:cNvGraphicFramePr>
              <a:graphicFrameLocks noChangeAspect="1"/>
            </wp:cNvGraphicFramePr>
            <a:graphic>
              <a:graphicData uri="http://schemas.openxmlformats.org/drawingml/2006/picture">
                <pic:pic>
                  <pic:nvPicPr>
                    <pic:cNvPr id="0" name="fig4_price_series.png"/>
                    <pic:cNvPicPr/>
                  </pic:nvPicPr>
                  <pic:blipFill>
                    <a:blip r:embed="rId14"/>
                    <a:stretch>
                      <a:fillRect/>
                    </a:stretch>
                  </pic:blipFill>
                  <pic:spPr>
                    <a:xfrm>
                      <a:off x="0" y="0"/>
                      <a:ext cx="5760720" cy="3766525"/>
                    </a:xfrm>
                    <a:prstGeom prst="rect"/>
                  </pic:spPr>
                </pic:pic>
              </a:graphicData>
            </a:graphic>
          </wp:inline>
        </w:drawing>
      </w:r>
    </w:p>
    <w:p>
      <w:pPr>
        <w:keepNext/>
        <w:spacing w:before="100" w:after="80"/>
      </w:pPr>
      <w:r>
        <w:rPr>
          <w:rFonts w:ascii="Calibri" w:hAnsi="Calibri"/>
          <w:b/>
          <w:i w:val="0"/>
          <w:color w:val="1F4D78"/>
          <w:sz w:val="18"/>
        </w:rPr>
        <w:t xml:space="preserve">Figure 5. </w:t>
      </w:r>
      <w:r>
        <w:rPr>
          <w:rFonts w:ascii="Calibri" w:hAnsi="Calibri"/>
          <w:b w:val="0"/>
          <w:i/>
          <w:color w:val="000000"/>
          <w:sz w:val="18"/>
        </w:rPr>
        <w:t>Word cloud of the collected lithium-specific news headlines.</w:t>
      </w:r>
    </w:p>
    <w:p>
      <w:pPr>
        <w:spacing w:after="180"/>
        <w:jc w:val="center"/>
      </w:pPr>
      <w:r>
        <w:drawing>
          <wp:inline xmlns:a="http://schemas.openxmlformats.org/drawingml/2006/main" xmlns:pic="http://schemas.openxmlformats.org/drawingml/2006/picture">
            <wp:extent cx="5760720" cy="2659588"/>
            <wp:docPr id="5" name="Picture 5"/>
            <wp:cNvGraphicFramePr>
              <a:graphicFrameLocks noChangeAspect="1"/>
            </wp:cNvGraphicFramePr>
            <a:graphic>
              <a:graphicData uri="http://schemas.openxmlformats.org/drawingml/2006/picture">
                <pic:pic>
                  <pic:nvPicPr>
                    <pic:cNvPr id="0" name="fig5_wordcloud.png"/>
                    <pic:cNvPicPr/>
                  </pic:nvPicPr>
                  <pic:blipFill>
                    <a:blip r:embed="rId15"/>
                    <a:stretch>
                      <a:fillRect/>
                    </a:stretch>
                  </pic:blipFill>
                  <pic:spPr>
                    <a:xfrm>
                      <a:off x="0" y="0"/>
                      <a:ext cx="5760720" cy="2659588"/>
                    </a:xfrm>
                    <a:prstGeom prst="rect"/>
                  </pic:spPr>
                </pic:pic>
              </a:graphicData>
            </a:graphic>
          </wp:inline>
        </w:drawing>
      </w:r>
    </w:p>
    <w:p>
      <w:pPr>
        <w:keepNext/>
        <w:spacing w:before="100" w:after="80"/>
      </w:pPr>
      <w:r>
        <w:rPr>
          <w:rFonts w:ascii="Calibri" w:hAnsi="Calibri"/>
          <w:b/>
          <w:i w:val="0"/>
          <w:color w:val="1F4D78"/>
          <w:sz w:val="18"/>
        </w:rPr>
        <w:t xml:space="preserve">Figure 6. </w:t>
      </w:r>
      <w:r>
        <w:rPr>
          <w:rFonts w:ascii="Calibri" w:hAnsi="Calibri"/>
          <w:b w:val="0"/>
          <w:i/>
          <w:color w:val="000000"/>
          <w:sz w:val="18"/>
        </w:rPr>
        <w:t>TextBlob and FinBERT sentiment scores extracted from lithium-specific headlines.</w:t>
      </w:r>
    </w:p>
    <w:p>
      <w:pPr>
        <w:spacing w:after="180"/>
        <w:jc w:val="center"/>
      </w:pPr>
      <w:r>
        <w:drawing>
          <wp:inline xmlns:a="http://schemas.openxmlformats.org/drawingml/2006/main" xmlns:pic="http://schemas.openxmlformats.org/drawingml/2006/picture">
            <wp:extent cx="5760720" cy="3631311"/>
            <wp:docPr id="6" name="Picture 6"/>
            <wp:cNvGraphicFramePr>
              <a:graphicFrameLocks noChangeAspect="1"/>
            </wp:cNvGraphicFramePr>
            <a:graphic>
              <a:graphicData uri="http://schemas.openxmlformats.org/drawingml/2006/picture">
                <pic:pic>
                  <pic:nvPicPr>
                    <pic:cNvPr id="0" name="fig6_sentiment.png"/>
                    <pic:cNvPicPr/>
                  </pic:nvPicPr>
                  <pic:blipFill>
                    <a:blip r:embed="rId16"/>
                    <a:stretch>
                      <a:fillRect/>
                    </a:stretch>
                  </pic:blipFill>
                  <pic:spPr>
                    <a:xfrm>
                      <a:off x="0" y="0"/>
                      <a:ext cx="5760720" cy="3631311"/>
                    </a:xfrm>
                    <a:prstGeom prst="rect"/>
                  </pic:spPr>
                </pic:pic>
              </a:graphicData>
            </a:graphic>
          </wp:inline>
        </w:drawing>
      </w:r>
    </w:p>
    <w:p>
      <w:pPr>
        <w:pStyle w:val="Heading1"/>
      </w:pPr>
      <w:r>
        <w:t>5. Decomposition and feature selection</w:t>
      </w:r>
    </w:p>
    <w:p>
      <w:pPr>
        <w:keepNext/>
        <w:spacing w:before="100" w:after="80"/>
      </w:pPr>
      <w:r>
        <w:rPr>
          <w:rFonts w:ascii="Calibri" w:hAnsi="Calibri"/>
          <w:b/>
          <w:i w:val="0"/>
          <w:color w:val="1F4D78"/>
          <w:sz w:val="18"/>
        </w:rPr>
        <w:t xml:space="preserve">Figure 7. </w:t>
      </w:r>
      <w:r>
        <w:rPr>
          <w:rFonts w:ascii="Calibri" w:hAnsi="Calibri"/>
          <w:b w:val="0"/>
          <w:i/>
          <w:color w:val="000000"/>
          <w:sz w:val="18"/>
        </w:rPr>
        <w:t>Full-sample VMD modes of the two lithium-price targets.</w:t>
      </w:r>
    </w:p>
    <w:p>
      <w:pPr>
        <w:spacing w:after="180"/>
        <w:jc w:val="center"/>
      </w:pPr>
      <w:r>
        <w:drawing>
          <wp:inline xmlns:a="http://schemas.openxmlformats.org/drawingml/2006/main" xmlns:pic="http://schemas.openxmlformats.org/drawingml/2006/picture">
            <wp:extent cx="5760720" cy="4385680"/>
            <wp:docPr id="7" name="Picture 7"/>
            <wp:cNvGraphicFramePr>
              <a:graphicFrameLocks noChangeAspect="1"/>
            </wp:cNvGraphicFramePr>
            <a:graphic>
              <a:graphicData uri="http://schemas.openxmlformats.org/drawingml/2006/picture">
                <pic:pic>
                  <pic:nvPicPr>
                    <pic:cNvPr id="0" name="fig7_vmd_modes.png"/>
                    <pic:cNvPicPr/>
                  </pic:nvPicPr>
                  <pic:blipFill>
                    <a:blip r:embed="rId17"/>
                    <a:stretch>
                      <a:fillRect/>
                    </a:stretch>
                  </pic:blipFill>
                  <pic:spPr>
                    <a:xfrm>
                      <a:off x="0" y="0"/>
                      <a:ext cx="5760720" cy="4385680"/>
                    </a:xfrm>
                    <a:prstGeom prst="rect"/>
                  </pic:spPr>
                </pic:pic>
              </a:graphicData>
            </a:graphic>
          </wp:inline>
        </w:drawing>
      </w:r>
    </w:p>
    <w:p>
      <w:pPr>
        <w:keepNext/>
        <w:spacing w:before="100" w:after="80"/>
      </w:pPr>
      <w:r>
        <w:rPr>
          <w:rFonts w:ascii="Calibri" w:hAnsi="Calibri"/>
          <w:b/>
          <w:i w:val="0"/>
          <w:color w:val="1F4D78"/>
          <w:sz w:val="18"/>
        </w:rPr>
        <w:t xml:space="preserve">Figure 8. </w:t>
      </w:r>
      <w:r>
        <w:rPr>
          <w:rFonts w:ascii="Calibri" w:hAnsi="Calibri"/>
          <w:b w:val="0"/>
          <w:i/>
          <w:color w:val="000000"/>
          <w:sz w:val="18"/>
        </w:rPr>
        <w:t>Approximate-entropy values of the decomposed VMD modes.</w:t>
      </w:r>
    </w:p>
    <w:p>
      <w:pPr>
        <w:spacing w:after="180"/>
        <w:jc w:val="center"/>
      </w:pPr>
      <w:r>
        <w:drawing>
          <wp:inline xmlns:a="http://schemas.openxmlformats.org/drawingml/2006/main" xmlns:pic="http://schemas.openxmlformats.org/drawingml/2006/picture">
            <wp:extent cx="5760720" cy="2705081"/>
            <wp:docPr id="8" name="Picture 8"/>
            <wp:cNvGraphicFramePr>
              <a:graphicFrameLocks noChangeAspect="1"/>
            </wp:cNvGraphicFramePr>
            <a:graphic>
              <a:graphicData uri="http://schemas.openxmlformats.org/drawingml/2006/picture">
                <pic:pic>
                  <pic:nvPicPr>
                    <pic:cNvPr id="0" name="fig8_entropy.png"/>
                    <pic:cNvPicPr/>
                  </pic:nvPicPr>
                  <pic:blipFill>
                    <a:blip r:embed="rId18"/>
                    <a:stretch>
                      <a:fillRect/>
                    </a:stretch>
                  </pic:blipFill>
                  <pic:spPr>
                    <a:xfrm>
                      <a:off x="0" y="0"/>
                      <a:ext cx="5760720" cy="2705081"/>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5. </w:t>
      </w:r>
      <w:r>
        <w:rPr>
          <w:rFonts w:ascii="Calibri" w:hAnsi="Calibri"/>
          <w:b w:val="0"/>
          <w:i/>
          <w:color w:val="000000"/>
          <w:sz w:val="18"/>
        </w:rPr>
        <w:t>Information on the decomposed lithium-price modes.</w:t>
      </w:r>
    </w:p>
    <w:tbl>
      <w:tblPr>
        <w:tblStyle w:val="TableGrid"/>
        <w:tblW w:type="dxa" w:w="13680"/>
        <w:jc w:val="left"/>
        <w:tblLayout w:type="fixed"/>
        <w:tblLook w:firstColumn="1" w:firstRow="1" w:lastColumn="0" w:lastRow="0" w:noHBand="0" w:noVBand="1" w:val="04A0"/>
      </w:tblPr>
      <w:tblGrid>
        <w:gridCol w:w="2373"/>
        <w:gridCol w:w="977"/>
        <w:gridCol w:w="977"/>
        <w:gridCol w:w="1256"/>
        <w:gridCol w:w="1954"/>
        <w:gridCol w:w="1954"/>
        <w:gridCol w:w="1535"/>
        <w:gridCol w:w="2654"/>
      </w:tblGrid>
      <w:tr>
        <w:trPr>
          <w:tblHeader w:val="true"/>
        </w:trPr>
        <w:tc>
          <w:tcPr>
            <w:tcW w:type="dxa" w:w="2373"/>
            <w:shd w:fill="F4F6F9"/>
            <w:vAlign w:val="center"/>
          </w:tcPr>
          <w:p>
            <w:pPr>
              <w:jc w:val="center"/>
            </w:pPr>
            <w:r/>
            <w:r>
              <w:rPr>
                <w:rFonts w:ascii="Calibri" w:hAnsi="Calibri"/>
                <w:b/>
                <w:i w:val="0"/>
                <w:color w:val="0B2545"/>
                <w:sz w:val="11"/>
              </w:rPr>
              <w:t>Panel</w:t>
            </w:r>
          </w:p>
        </w:tc>
        <w:tc>
          <w:tcPr>
            <w:tcW w:type="dxa" w:w="977"/>
            <w:shd w:fill="F4F6F9"/>
            <w:vAlign w:val="center"/>
          </w:tcPr>
          <w:p>
            <w:pPr>
              <w:jc w:val="center"/>
            </w:pPr>
            <w:r/>
            <w:r>
              <w:rPr>
                <w:rFonts w:ascii="Calibri" w:hAnsi="Calibri"/>
                <w:b/>
                <w:i w:val="0"/>
                <w:color w:val="0B2545"/>
                <w:sz w:val="11"/>
              </w:rPr>
              <w:t>Method</w:t>
            </w:r>
          </w:p>
        </w:tc>
        <w:tc>
          <w:tcPr>
            <w:tcW w:type="dxa" w:w="977"/>
            <w:shd w:fill="F4F6F9"/>
            <w:vAlign w:val="center"/>
          </w:tcPr>
          <w:p>
            <w:pPr>
              <w:jc w:val="center"/>
            </w:pPr>
            <w:r/>
            <w:r>
              <w:rPr>
                <w:rFonts w:ascii="Calibri" w:hAnsi="Calibri"/>
                <w:b/>
                <w:i w:val="0"/>
                <w:color w:val="0B2545"/>
                <w:sz w:val="11"/>
              </w:rPr>
              <w:t>Mode</w:t>
            </w:r>
          </w:p>
        </w:tc>
        <w:tc>
          <w:tcPr>
            <w:tcW w:type="dxa" w:w="1256"/>
            <w:shd w:fill="F4F6F9"/>
            <w:vAlign w:val="center"/>
          </w:tcPr>
          <w:p>
            <w:pPr>
              <w:jc w:val="center"/>
            </w:pPr>
            <w:r/>
            <w:r>
              <w:rPr>
                <w:rFonts w:ascii="Calibri" w:hAnsi="Calibri"/>
                <w:b/>
                <w:i w:val="0"/>
                <w:color w:val="0B2545"/>
                <w:sz w:val="11"/>
              </w:rPr>
              <w:t>Frequency</w:t>
            </w:r>
          </w:p>
        </w:tc>
        <w:tc>
          <w:tcPr>
            <w:tcW w:type="dxa" w:w="1954"/>
            <w:shd w:fill="F4F6F9"/>
            <w:vAlign w:val="center"/>
          </w:tcPr>
          <w:p>
            <w:pPr>
              <w:jc w:val="center"/>
            </w:pPr>
            <w:r/>
            <w:r>
              <w:rPr>
                <w:rFonts w:ascii="Calibri" w:hAnsi="Calibri"/>
                <w:b/>
                <w:i w:val="0"/>
                <w:color w:val="0B2545"/>
                <w:sz w:val="11"/>
              </w:rPr>
              <w:t>Average period</w:t>
            </w:r>
          </w:p>
        </w:tc>
        <w:tc>
          <w:tcPr>
            <w:tcW w:type="dxa" w:w="1954"/>
            <w:shd w:fill="F4F6F9"/>
            <w:vAlign w:val="center"/>
          </w:tcPr>
          <w:p>
            <w:pPr>
              <w:jc w:val="center"/>
            </w:pPr>
            <w:r/>
            <w:r>
              <w:rPr>
                <w:rFonts w:ascii="Calibri" w:hAnsi="Calibri"/>
                <w:b/>
                <w:i w:val="0"/>
                <w:color w:val="0B2545"/>
                <w:sz w:val="11"/>
              </w:rPr>
              <w:t>Variance share</w:t>
            </w:r>
          </w:p>
        </w:tc>
        <w:tc>
          <w:tcPr>
            <w:tcW w:type="dxa" w:w="1535"/>
            <w:shd w:fill="F4F6F9"/>
            <w:vAlign w:val="center"/>
          </w:tcPr>
          <w:p>
            <w:pPr>
              <w:jc w:val="center"/>
            </w:pPr>
            <w:r/>
            <w:r>
              <w:rPr>
                <w:rFonts w:ascii="Calibri" w:hAnsi="Calibri"/>
                <w:b/>
                <w:i w:val="0"/>
                <w:color w:val="0B2545"/>
                <w:sz w:val="11"/>
              </w:rPr>
              <w:t>Correlation</w:t>
            </w:r>
          </w:p>
        </w:tc>
        <w:tc>
          <w:tcPr>
            <w:tcW w:type="dxa" w:w="2654"/>
            <w:shd w:fill="F4F6F9"/>
            <w:vAlign w:val="center"/>
          </w:tcPr>
          <w:p>
            <w:pPr>
              <w:jc w:val="center"/>
            </w:pPr>
            <w:r/>
            <w:r>
              <w:rPr>
                <w:rFonts w:ascii="Calibri" w:hAnsi="Calibri"/>
                <w:b/>
                <w:i w:val="0"/>
                <w:color w:val="0B2545"/>
                <w:sz w:val="11"/>
              </w:rPr>
              <w:t>Approximate Entropy</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0.0056</w:t>
            </w:r>
          </w:p>
        </w:tc>
        <w:tc>
          <w:tcPr>
            <w:tcW w:type="dxa" w:w="1954"/>
            <w:vAlign w:val="center"/>
          </w:tcPr>
          <w:p>
            <w:pPr>
              <w:spacing w:after="0" w:line="240" w:lineRule="auto"/>
              <w:jc w:val="center"/>
            </w:pPr>
            <w:r/>
            <w:r>
              <w:rPr>
                <w:rFonts w:ascii="Calibri" w:hAnsi="Calibri"/>
                <w:b w:val="0"/>
                <w:i w:val="0"/>
                <w:color w:val="000000"/>
                <w:sz w:val="11"/>
              </w:rPr>
              <w:t>178.5000</w:t>
            </w:r>
          </w:p>
        </w:tc>
        <w:tc>
          <w:tcPr>
            <w:tcW w:type="dxa" w:w="1954"/>
            <w:vAlign w:val="center"/>
          </w:tcPr>
          <w:p>
            <w:pPr>
              <w:spacing w:after="0" w:line="240" w:lineRule="auto"/>
              <w:jc w:val="center"/>
            </w:pPr>
            <w:r/>
            <w:r>
              <w:rPr>
                <w:rFonts w:ascii="Calibri" w:hAnsi="Calibri"/>
                <w:b w:val="0"/>
                <w:i w:val="0"/>
                <w:color w:val="000000"/>
                <w:sz w:val="11"/>
              </w:rPr>
              <w:t>0.3273</w:t>
            </w:r>
          </w:p>
        </w:tc>
        <w:tc>
          <w:tcPr>
            <w:tcW w:type="dxa" w:w="1535"/>
            <w:vAlign w:val="center"/>
          </w:tcPr>
          <w:p>
            <w:pPr>
              <w:spacing w:after="0" w:line="240" w:lineRule="auto"/>
              <w:jc w:val="center"/>
            </w:pPr>
            <w:r/>
            <w:r>
              <w:rPr>
                <w:rFonts w:ascii="Calibri" w:hAnsi="Calibri"/>
                <w:b w:val="0"/>
                <w:i w:val="0"/>
                <w:color w:val="000000"/>
                <w:sz w:val="11"/>
              </w:rPr>
              <w:t>0.8212</w:t>
            </w:r>
          </w:p>
        </w:tc>
        <w:tc>
          <w:tcPr>
            <w:tcW w:type="dxa" w:w="2654"/>
            <w:vAlign w:val="center"/>
          </w:tcPr>
          <w:p>
            <w:pPr>
              <w:spacing w:after="0" w:line="240" w:lineRule="auto"/>
              <w:jc w:val="center"/>
            </w:pPr>
            <w:r/>
            <w:r>
              <w:rPr>
                <w:rFonts w:ascii="Calibri" w:hAnsi="Calibri"/>
                <w:b w:val="0"/>
                <w:i w:val="0"/>
                <w:color w:val="000000"/>
                <w:sz w:val="11"/>
              </w:rPr>
              <w:t>0.0053</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0.0056</w:t>
            </w:r>
          </w:p>
        </w:tc>
        <w:tc>
          <w:tcPr>
            <w:tcW w:type="dxa" w:w="1954"/>
            <w:vAlign w:val="center"/>
          </w:tcPr>
          <w:p>
            <w:pPr>
              <w:spacing w:after="0" w:line="240" w:lineRule="auto"/>
              <w:jc w:val="center"/>
            </w:pPr>
            <w:r/>
            <w:r>
              <w:rPr>
                <w:rFonts w:ascii="Calibri" w:hAnsi="Calibri"/>
                <w:b w:val="0"/>
                <w:i w:val="0"/>
                <w:color w:val="000000"/>
                <w:sz w:val="11"/>
              </w:rPr>
              <w:t>178.5000</w:t>
            </w:r>
          </w:p>
        </w:tc>
        <w:tc>
          <w:tcPr>
            <w:tcW w:type="dxa" w:w="1954"/>
            <w:vAlign w:val="center"/>
          </w:tcPr>
          <w:p>
            <w:pPr>
              <w:spacing w:after="0" w:line="240" w:lineRule="auto"/>
              <w:jc w:val="center"/>
            </w:pPr>
            <w:r/>
            <w:r>
              <w:rPr>
                <w:rFonts w:ascii="Calibri" w:hAnsi="Calibri"/>
                <w:b w:val="0"/>
                <w:i w:val="0"/>
                <w:color w:val="000000"/>
                <w:sz w:val="11"/>
              </w:rPr>
              <w:t>0.3651</w:t>
            </w:r>
          </w:p>
        </w:tc>
        <w:tc>
          <w:tcPr>
            <w:tcW w:type="dxa" w:w="1535"/>
            <w:vAlign w:val="center"/>
          </w:tcPr>
          <w:p>
            <w:pPr>
              <w:spacing w:after="0" w:line="240" w:lineRule="auto"/>
              <w:jc w:val="center"/>
            </w:pPr>
            <w:r/>
            <w:r>
              <w:rPr>
                <w:rFonts w:ascii="Calibri" w:hAnsi="Calibri"/>
                <w:b w:val="0"/>
                <w:i w:val="0"/>
                <w:color w:val="000000"/>
                <w:sz w:val="11"/>
              </w:rPr>
              <w:t>0.8439</w:t>
            </w:r>
          </w:p>
        </w:tc>
        <w:tc>
          <w:tcPr>
            <w:tcW w:type="dxa" w:w="2654"/>
            <w:vAlign w:val="center"/>
          </w:tcPr>
          <w:p>
            <w:pPr>
              <w:spacing w:after="0" w:line="240" w:lineRule="auto"/>
              <w:jc w:val="center"/>
            </w:pPr>
            <w:r/>
            <w:r>
              <w:rPr>
                <w:rFonts w:ascii="Calibri" w:hAnsi="Calibri"/>
                <w:b w:val="0"/>
                <w:i w:val="0"/>
                <w:color w:val="000000"/>
                <w:sz w:val="11"/>
              </w:rPr>
              <w:t>0.0220</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0.0126</w:t>
            </w:r>
          </w:p>
        </w:tc>
        <w:tc>
          <w:tcPr>
            <w:tcW w:type="dxa" w:w="1954"/>
            <w:vAlign w:val="center"/>
          </w:tcPr>
          <w:p>
            <w:pPr>
              <w:spacing w:after="0" w:line="240" w:lineRule="auto"/>
              <w:jc w:val="center"/>
            </w:pPr>
            <w:r/>
            <w:r>
              <w:rPr>
                <w:rFonts w:ascii="Calibri" w:hAnsi="Calibri"/>
                <w:b w:val="0"/>
                <w:i w:val="0"/>
                <w:color w:val="000000"/>
                <w:sz w:val="11"/>
              </w:rPr>
              <w:t>79.3333</w:t>
            </w:r>
          </w:p>
        </w:tc>
        <w:tc>
          <w:tcPr>
            <w:tcW w:type="dxa" w:w="1954"/>
            <w:vAlign w:val="center"/>
          </w:tcPr>
          <w:p>
            <w:pPr>
              <w:spacing w:after="0" w:line="240" w:lineRule="auto"/>
              <w:jc w:val="center"/>
            </w:pPr>
            <w:r/>
            <w:r>
              <w:rPr>
                <w:rFonts w:ascii="Calibri" w:hAnsi="Calibri"/>
                <w:b w:val="0"/>
                <w:i w:val="0"/>
                <w:color w:val="000000"/>
                <w:sz w:val="11"/>
              </w:rPr>
              <w:t>0.0089</w:t>
            </w:r>
          </w:p>
        </w:tc>
        <w:tc>
          <w:tcPr>
            <w:tcW w:type="dxa" w:w="1535"/>
            <w:vAlign w:val="center"/>
          </w:tcPr>
          <w:p>
            <w:pPr>
              <w:spacing w:after="0" w:line="240" w:lineRule="auto"/>
              <w:jc w:val="center"/>
            </w:pPr>
            <w:r/>
            <w:r>
              <w:rPr>
                <w:rFonts w:ascii="Calibri" w:hAnsi="Calibri"/>
                <w:b w:val="0"/>
                <w:i w:val="0"/>
                <w:color w:val="000000"/>
                <w:sz w:val="11"/>
              </w:rPr>
              <w:t>0.1657</w:t>
            </w:r>
          </w:p>
        </w:tc>
        <w:tc>
          <w:tcPr>
            <w:tcW w:type="dxa" w:w="2654"/>
            <w:vAlign w:val="center"/>
          </w:tcPr>
          <w:p>
            <w:pPr>
              <w:spacing w:after="0" w:line="240" w:lineRule="auto"/>
              <w:jc w:val="center"/>
            </w:pPr>
            <w:r/>
            <w:r>
              <w:rPr>
                <w:rFonts w:ascii="Calibri" w:hAnsi="Calibri"/>
                <w:b w:val="0"/>
                <w:i w:val="0"/>
                <w:color w:val="000000"/>
                <w:sz w:val="11"/>
              </w:rPr>
              <w:t>0.2067</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0.0490</w:t>
            </w:r>
          </w:p>
        </w:tc>
        <w:tc>
          <w:tcPr>
            <w:tcW w:type="dxa" w:w="1954"/>
            <w:vAlign w:val="center"/>
          </w:tcPr>
          <w:p>
            <w:pPr>
              <w:spacing w:after="0" w:line="240" w:lineRule="auto"/>
              <w:jc w:val="center"/>
            </w:pPr>
            <w:r/>
            <w:r>
              <w:rPr>
                <w:rFonts w:ascii="Calibri" w:hAnsi="Calibri"/>
                <w:b w:val="0"/>
                <w:i w:val="0"/>
                <w:color w:val="000000"/>
                <w:sz w:val="11"/>
              </w:rPr>
              <w:t>20.4000</w:t>
            </w:r>
          </w:p>
        </w:tc>
        <w:tc>
          <w:tcPr>
            <w:tcW w:type="dxa" w:w="1954"/>
            <w:vAlign w:val="center"/>
          </w:tcPr>
          <w:p>
            <w:pPr>
              <w:spacing w:after="0" w:line="240" w:lineRule="auto"/>
              <w:jc w:val="center"/>
            </w:pPr>
            <w:r/>
            <w:r>
              <w:rPr>
                <w:rFonts w:ascii="Calibri" w:hAnsi="Calibri"/>
                <w:b w:val="0"/>
                <w:i w:val="0"/>
                <w:color w:val="000000"/>
                <w:sz w:val="11"/>
              </w:rPr>
              <w:t>0.0008</w:t>
            </w:r>
          </w:p>
        </w:tc>
        <w:tc>
          <w:tcPr>
            <w:tcW w:type="dxa" w:w="1535"/>
            <w:vAlign w:val="center"/>
          </w:tcPr>
          <w:p>
            <w:pPr>
              <w:spacing w:after="0" w:line="240" w:lineRule="auto"/>
              <w:jc w:val="center"/>
            </w:pPr>
            <w:r/>
            <w:r>
              <w:rPr>
                <w:rFonts w:ascii="Calibri" w:hAnsi="Calibri"/>
                <w:b w:val="0"/>
                <w:i w:val="0"/>
                <w:color w:val="000000"/>
                <w:sz w:val="11"/>
              </w:rPr>
              <w:t>0.0556</w:t>
            </w:r>
          </w:p>
        </w:tc>
        <w:tc>
          <w:tcPr>
            <w:tcW w:type="dxa" w:w="2654"/>
            <w:vAlign w:val="center"/>
          </w:tcPr>
          <w:p>
            <w:pPr>
              <w:spacing w:after="0" w:line="240" w:lineRule="auto"/>
              <w:jc w:val="center"/>
            </w:pPr>
            <w:r/>
            <w:r>
              <w:rPr>
                <w:rFonts w:ascii="Calibri" w:hAnsi="Calibri"/>
                <w:b w:val="0"/>
                <w:i w:val="0"/>
                <w:color w:val="000000"/>
                <w:sz w:val="11"/>
              </w:rPr>
              <w:t>0.4323</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0.1359</w:t>
            </w:r>
          </w:p>
        </w:tc>
        <w:tc>
          <w:tcPr>
            <w:tcW w:type="dxa" w:w="1954"/>
            <w:vAlign w:val="center"/>
          </w:tcPr>
          <w:p>
            <w:pPr>
              <w:spacing w:after="0" w:line="240" w:lineRule="auto"/>
              <w:jc w:val="center"/>
            </w:pPr>
            <w:r/>
            <w:r>
              <w:rPr>
                <w:rFonts w:ascii="Calibri" w:hAnsi="Calibri"/>
                <w:b w:val="0"/>
                <w:i w:val="0"/>
                <w:color w:val="000000"/>
                <w:sz w:val="11"/>
              </w:rPr>
              <w:t>7.3608</w:t>
            </w:r>
          </w:p>
        </w:tc>
        <w:tc>
          <w:tcPr>
            <w:tcW w:type="dxa" w:w="1954"/>
            <w:vAlign w:val="center"/>
          </w:tcPr>
          <w:p>
            <w:pPr>
              <w:spacing w:after="0" w:line="240" w:lineRule="auto"/>
              <w:jc w:val="center"/>
            </w:pPr>
            <w:r/>
            <w:r>
              <w:rPr>
                <w:rFonts w:ascii="Calibri" w:hAnsi="Calibri"/>
                <w:b w:val="0"/>
                <w:i w:val="0"/>
                <w:color w:val="000000"/>
                <w:sz w:val="11"/>
              </w:rPr>
              <w:t>0.0002</w:t>
            </w:r>
          </w:p>
        </w:tc>
        <w:tc>
          <w:tcPr>
            <w:tcW w:type="dxa" w:w="1535"/>
            <w:vAlign w:val="center"/>
          </w:tcPr>
          <w:p>
            <w:pPr>
              <w:spacing w:after="0" w:line="240" w:lineRule="auto"/>
              <w:jc w:val="center"/>
            </w:pPr>
            <w:r/>
            <w:r>
              <w:rPr>
                <w:rFonts w:ascii="Calibri" w:hAnsi="Calibri"/>
                <w:b w:val="0"/>
                <w:i w:val="0"/>
                <w:color w:val="000000"/>
                <w:sz w:val="11"/>
              </w:rPr>
              <w:t>0.0234</w:t>
            </w:r>
          </w:p>
        </w:tc>
        <w:tc>
          <w:tcPr>
            <w:tcW w:type="dxa" w:w="2654"/>
            <w:vAlign w:val="center"/>
          </w:tcPr>
          <w:p>
            <w:pPr>
              <w:spacing w:after="0" w:line="240" w:lineRule="auto"/>
              <w:jc w:val="center"/>
            </w:pPr>
            <w:r/>
            <w:r>
              <w:rPr>
                <w:rFonts w:ascii="Calibri" w:hAnsi="Calibri"/>
                <w:b w:val="0"/>
                <w:i w:val="0"/>
                <w:color w:val="000000"/>
                <w:sz w:val="11"/>
              </w:rPr>
              <w:t>0.3845</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0.2535</w:t>
            </w:r>
          </w:p>
        </w:tc>
        <w:tc>
          <w:tcPr>
            <w:tcW w:type="dxa" w:w="1954"/>
            <w:vAlign w:val="center"/>
          </w:tcPr>
          <w:p>
            <w:pPr>
              <w:spacing w:after="0" w:line="240" w:lineRule="auto"/>
              <w:jc w:val="center"/>
            </w:pPr>
            <w:r/>
            <w:r>
              <w:rPr>
                <w:rFonts w:ascii="Calibri" w:hAnsi="Calibri"/>
                <w:b w:val="0"/>
                <w:i w:val="0"/>
                <w:color w:val="000000"/>
                <w:sz w:val="11"/>
              </w:rPr>
              <w:t>3.9448</w:t>
            </w:r>
          </w:p>
        </w:tc>
        <w:tc>
          <w:tcPr>
            <w:tcW w:type="dxa" w:w="1954"/>
            <w:vAlign w:val="center"/>
          </w:tcPr>
          <w:p>
            <w:pPr>
              <w:spacing w:after="0" w:line="240" w:lineRule="auto"/>
              <w:jc w:val="center"/>
            </w:pPr>
            <w:r/>
            <w:r>
              <w:rPr>
                <w:rFonts w:ascii="Calibri" w:hAnsi="Calibri"/>
                <w:b w:val="0"/>
                <w:i w:val="0"/>
                <w:color w:val="000000"/>
                <w:sz w:val="11"/>
              </w:rPr>
              <w:t>0.0001</w:t>
            </w:r>
          </w:p>
        </w:tc>
        <w:tc>
          <w:tcPr>
            <w:tcW w:type="dxa" w:w="1535"/>
            <w:vAlign w:val="center"/>
          </w:tcPr>
          <w:p>
            <w:pPr>
              <w:spacing w:after="0" w:line="240" w:lineRule="auto"/>
              <w:jc w:val="center"/>
            </w:pPr>
            <w:r/>
            <w:r>
              <w:rPr>
                <w:rFonts w:ascii="Calibri" w:hAnsi="Calibri"/>
                <w:b w:val="0"/>
                <w:i w:val="0"/>
                <w:color w:val="000000"/>
                <w:sz w:val="11"/>
              </w:rPr>
              <w:t>0.0148</w:t>
            </w:r>
          </w:p>
        </w:tc>
        <w:tc>
          <w:tcPr>
            <w:tcW w:type="dxa" w:w="2654"/>
            <w:vAlign w:val="center"/>
          </w:tcPr>
          <w:p>
            <w:pPr>
              <w:spacing w:after="0" w:line="240" w:lineRule="auto"/>
              <w:jc w:val="center"/>
            </w:pPr>
            <w:r/>
            <w:r>
              <w:rPr>
                <w:rFonts w:ascii="Calibri" w:hAnsi="Calibri"/>
                <w:b w:val="0"/>
                <w:i w:val="0"/>
                <w:color w:val="000000"/>
                <w:sz w:val="11"/>
              </w:rPr>
              <w:t>0.2372</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0.3403</w:t>
            </w:r>
          </w:p>
        </w:tc>
        <w:tc>
          <w:tcPr>
            <w:tcW w:type="dxa" w:w="1954"/>
            <w:vAlign w:val="center"/>
          </w:tcPr>
          <w:p>
            <w:pPr>
              <w:spacing w:after="0" w:line="240" w:lineRule="auto"/>
              <w:jc w:val="center"/>
            </w:pPr>
            <w:r/>
            <w:r>
              <w:rPr>
                <w:rFonts w:ascii="Calibri" w:hAnsi="Calibri"/>
                <w:b w:val="0"/>
                <w:i w:val="0"/>
                <w:color w:val="000000"/>
                <w:sz w:val="11"/>
              </w:rPr>
              <w:t>2.9383</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0.0118</w:t>
            </w:r>
          </w:p>
        </w:tc>
        <w:tc>
          <w:tcPr>
            <w:tcW w:type="dxa" w:w="2654"/>
            <w:vAlign w:val="center"/>
          </w:tcPr>
          <w:p>
            <w:pPr>
              <w:spacing w:after="0" w:line="240" w:lineRule="auto"/>
              <w:jc w:val="center"/>
            </w:pPr>
            <w:r/>
            <w:r>
              <w:rPr>
                <w:rFonts w:ascii="Calibri" w:hAnsi="Calibri"/>
                <w:b w:val="0"/>
                <w:i w:val="0"/>
                <w:color w:val="000000"/>
                <w:sz w:val="11"/>
              </w:rPr>
              <w:t>0.3481</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8.0000</w:t>
            </w:r>
          </w:p>
        </w:tc>
        <w:tc>
          <w:tcPr>
            <w:tcW w:type="dxa" w:w="1256"/>
            <w:vAlign w:val="center"/>
          </w:tcPr>
          <w:p>
            <w:pPr>
              <w:spacing w:after="0" w:line="240" w:lineRule="auto"/>
              <w:jc w:val="center"/>
            </w:pPr>
            <w:r/>
            <w:r>
              <w:rPr>
                <w:rFonts w:ascii="Calibri" w:hAnsi="Calibri"/>
                <w:b w:val="0"/>
                <w:i w:val="0"/>
                <w:color w:val="000000"/>
                <w:sz w:val="11"/>
              </w:rPr>
              <w:t>0.3978</w:t>
            </w:r>
          </w:p>
        </w:tc>
        <w:tc>
          <w:tcPr>
            <w:tcW w:type="dxa" w:w="1954"/>
            <w:vAlign w:val="center"/>
          </w:tcPr>
          <w:p>
            <w:pPr>
              <w:spacing w:after="0" w:line="240" w:lineRule="auto"/>
              <w:jc w:val="center"/>
            </w:pPr>
            <w:r/>
            <w:r>
              <w:rPr>
                <w:rFonts w:ascii="Calibri" w:hAnsi="Calibri"/>
                <w:b w:val="0"/>
                <w:i w:val="0"/>
                <w:color w:val="000000"/>
                <w:sz w:val="11"/>
              </w:rPr>
              <w:t>2.5141</w:t>
            </w:r>
          </w:p>
        </w:tc>
        <w:tc>
          <w:tcPr>
            <w:tcW w:type="dxa" w:w="1954"/>
            <w:vAlign w:val="center"/>
          </w:tcPr>
          <w:p>
            <w:pPr>
              <w:spacing w:after="0" w:line="240" w:lineRule="auto"/>
              <w:jc w:val="center"/>
            </w:pPr>
            <w:r/>
            <w:r>
              <w:rPr>
                <w:rFonts w:ascii="Calibri" w:hAnsi="Calibri"/>
                <w:b w:val="0"/>
                <w:i w:val="0"/>
                <w:color w:val="000000"/>
                <w:sz w:val="11"/>
              </w:rPr>
              <w:t>0.0001</w:t>
            </w:r>
          </w:p>
        </w:tc>
        <w:tc>
          <w:tcPr>
            <w:tcW w:type="dxa" w:w="1535"/>
            <w:vAlign w:val="center"/>
          </w:tcPr>
          <w:p>
            <w:pPr>
              <w:spacing w:after="0" w:line="240" w:lineRule="auto"/>
              <w:jc w:val="center"/>
            </w:pPr>
            <w:r/>
            <w:r>
              <w:rPr>
                <w:rFonts w:ascii="Calibri" w:hAnsi="Calibri"/>
                <w:b w:val="0"/>
                <w:i w:val="0"/>
                <w:color w:val="000000"/>
                <w:sz w:val="11"/>
              </w:rPr>
              <w:t>0.0117</w:t>
            </w:r>
          </w:p>
        </w:tc>
        <w:tc>
          <w:tcPr>
            <w:tcW w:type="dxa" w:w="2654"/>
            <w:vAlign w:val="center"/>
          </w:tcPr>
          <w:p>
            <w:pPr>
              <w:spacing w:after="0" w:line="240" w:lineRule="auto"/>
              <w:jc w:val="center"/>
            </w:pPr>
            <w:r/>
            <w:r>
              <w:rPr>
                <w:rFonts w:ascii="Calibri" w:hAnsi="Calibri"/>
                <w:b w:val="0"/>
                <w:i w:val="0"/>
                <w:color w:val="000000"/>
                <w:sz w:val="11"/>
              </w:rPr>
              <w:t>0.4197</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9.0000</w:t>
            </w:r>
          </w:p>
        </w:tc>
        <w:tc>
          <w:tcPr>
            <w:tcW w:type="dxa" w:w="1256"/>
            <w:vAlign w:val="center"/>
          </w:tcPr>
          <w:p>
            <w:pPr>
              <w:spacing w:after="0" w:line="240" w:lineRule="auto"/>
              <w:jc w:val="center"/>
            </w:pPr>
            <w:r/>
            <w:r>
              <w:rPr>
                <w:rFonts w:ascii="Calibri" w:hAnsi="Calibri"/>
                <w:b w:val="0"/>
                <w:i w:val="0"/>
                <w:color w:val="000000"/>
                <w:sz w:val="11"/>
              </w:rPr>
              <w:t>0.4468</w:t>
            </w:r>
          </w:p>
        </w:tc>
        <w:tc>
          <w:tcPr>
            <w:tcW w:type="dxa" w:w="1954"/>
            <w:vAlign w:val="center"/>
          </w:tcPr>
          <w:p>
            <w:pPr>
              <w:spacing w:after="0" w:line="240" w:lineRule="auto"/>
              <w:jc w:val="center"/>
            </w:pPr>
            <w:r/>
            <w:r>
              <w:rPr>
                <w:rFonts w:ascii="Calibri" w:hAnsi="Calibri"/>
                <w:b w:val="0"/>
                <w:i w:val="0"/>
                <w:color w:val="000000"/>
                <w:sz w:val="11"/>
              </w:rPr>
              <w:t>2.2382</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0.0104</w:t>
            </w:r>
          </w:p>
        </w:tc>
        <w:tc>
          <w:tcPr>
            <w:tcW w:type="dxa" w:w="2654"/>
            <w:vAlign w:val="center"/>
          </w:tcPr>
          <w:p>
            <w:pPr>
              <w:spacing w:after="0" w:line="240" w:lineRule="auto"/>
              <w:jc w:val="center"/>
            </w:pPr>
            <w:r/>
            <w:r>
              <w:rPr>
                <w:rFonts w:ascii="Calibri" w:hAnsi="Calibri"/>
                <w:b w:val="0"/>
                <w:i w:val="0"/>
                <w:color w:val="000000"/>
                <w:sz w:val="11"/>
              </w:rPr>
              <w:t>0.5442</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0.3375</w:t>
            </w:r>
          </w:p>
        </w:tc>
        <w:tc>
          <w:tcPr>
            <w:tcW w:type="dxa" w:w="1954"/>
            <w:vAlign w:val="center"/>
          </w:tcPr>
          <w:p>
            <w:pPr>
              <w:spacing w:after="0" w:line="240" w:lineRule="auto"/>
              <w:jc w:val="center"/>
            </w:pPr>
            <w:r/>
            <w:r>
              <w:rPr>
                <w:rFonts w:ascii="Calibri" w:hAnsi="Calibri"/>
                <w:b w:val="0"/>
                <w:i w:val="0"/>
                <w:color w:val="000000"/>
                <w:sz w:val="11"/>
              </w:rPr>
              <w:t>2.9627</w:t>
            </w:r>
          </w:p>
        </w:tc>
        <w:tc>
          <w:tcPr>
            <w:tcW w:type="dxa" w:w="1954"/>
            <w:vAlign w:val="center"/>
          </w:tcPr>
          <w:p>
            <w:pPr>
              <w:spacing w:after="0" w:line="240" w:lineRule="auto"/>
              <w:jc w:val="center"/>
            </w:pPr>
            <w:r/>
            <w:r>
              <w:rPr>
                <w:rFonts w:ascii="Calibri" w:hAnsi="Calibri"/>
                <w:b w:val="0"/>
                <w:i w:val="0"/>
                <w:color w:val="000000"/>
                <w:sz w:val="11"/>
              </w:rPr>
              <w:t>0.0006</w:t>
            </w:r>
          </w:p>
        </w:tc>
        <w:tc>
          <w:tcPr>
            <w:tcW w:type="dxa" w:w="1535"/>
            <w:vAlign w:val="center"/>
          </w:tcPr>
          <w:p>
            <w:pPr>
              <w:spacing w:after="0" w:line="240" w:lineRule="auto"/>
              <w:jc w:val="center"/>
            </w:pPr>
            <w:r/>
            <w:r>
              <w:rPr>
                <w:rFonts w:ascii="Calibri" w:hAnsi="Calibri"/>
                <w:b w:val="0"/>
                <w:i w:val="0"/>
                <w:color w:val="000000"/>
                <w:sz w:val="11"/>
              </w:rPr>
              <w:t>-0.0045</w:t>
            </w:r>
          </w:p>
        </w:tc>
        <w:tc>
          <w:tcPr>
            <w:tcW w:type="dxa" w:w="2654"/>
            <w:vAlign w:val="center"/>
          </w:tcPr>
          <w:p>
            <w:pPr>
              <w:spacing w:after="0" w:line="240" w:lineRule="auto"/>
              <w:jc w:val="center"/>
            </w:pPr>
            <w:r/>
            <w:r>
              <w:rPr>
                <w:rFonts w:ascii="Calibri" w:hAnsi="Calibri"/>
                <w:b w:val="0"/>
                <w:i w:val="0"/>
                <w:color w:val="000000"/>
                <w:sz w:val="11"/>
              </w:rPr>
              <w:t>0.7875</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0.2381</w:t>
            </w:r>
          </w:p>
        </w:tc>
        <w:tc>
          <w:tcPr>
            <w:tcW w:type="dxa" w:w="1954"/>
            <w:vAlign w:val="center"/>
          </w:tcPr>
          <w:p>
            <w:pPr>
              <w:spacing w:after="0" w:line="240" w:lineRule="auto"/>
              <w:jc w:val="center"/>
            </w:pPr>
            <w:r/>
            <w:r>
              <w:rPr>
                <w:rFonts w:ascii="Calibri" w:hAnsi="Calibri"/>
                <w:b w:val="0"/>
                <w:i w:val="0"/>
                <w:color w:val="000000"/>
                <w:sz w:val="11"/>
              </w:rPr>
              <w:t>4.2000</w:t>
            </w:r>
          </w:p>
        </w:tc>
        <w:tc>
          <w:tcPr>
            <w:tcW w:type="dxa" w:w="1954"/>
            <w:vAlign w:val="center"/>
          </w:tcPr>
          <w:p>
            <w:pPr>
              <w:spacing w:after="0" w:line="240" w:lineRule="auto"/>
              <w:jc w:val="center"/>
            </w:pPr>
            <w:r/>
            <w:r>
              <w:rPr>
                <w:rFonts w:ascii="Calibri" w:hAnsi="Calibri"/>
                <w:b w:val="0"/>
                <w:i w:val="0"/>
                <w:color w:val="000000"/>
                <w:sz w:val="11"/>
              </w:rPr>
              <w:t>0.0008</w:t>
            </w:r>
          </w:p>
        </w:tc>
        <w:tc>
          <w:tcPr>
            <w:tcW w:type="dxa" w:w="1535"/>
            <w:vAlign w:val="center"/>
          </w:tcPr>
          <w:p>
            <w:pPr>
              <w:spacing w:after="0" w:line="240" w:lineRule="auto"/>
              <w:jc w:val="center"/>
            </w:pPr>
            <w:r/>
            <w:r>
              <w:rPr>
                <w:rFonts w:ascii="Calibri" w:hAnsi="Calibri"/>
                <w:b w:val="0"/>
                <w:i w:val="0"/>
                <w:color w:val="000000"/>
                <w:sz w:val="11"/>
              </w:rPr>
              <w:t>-0.0290</w:t>
            </w:r>
          </w:p>
        </w:tc>
        <w:tc>
          <w:tcPr>
            <w:tcW w:type="dxa" w:w="2654"/>
            <w:vAlign w:val="center"/>
          </w:tcPr>
          <w:p>
            <w:pPr>
              <w:spacing w:after="0" w:line="240" w:lineRule="auto"/>
              <w:jc w:val="center"/>
            </w:pPr>
            <w:r/>
            <w:r>
              <w:rPr>
                <w:rFonts w:ascii="Calibri" w:hAnsi="Calibri"/>
                <w:b w:val="0"/>
                <w:i w:val="0"/>
                <w:color w:val="000000"/>
                <w:sz w:val="11"/>
              </w:rPr>
              <w:t>0.5324</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0.0812</w:t>
            </w:r>
          </w:p>
        </w:tc>
        <w:tc>
          <w:tcPr>
            <w:tcW w:type="dxa" w:w="1954"/>
            <w:vAlign w:val="center"/>
          </w:tcPr>
          <w:p>
            <w:pPr>
              <w:spacing w:after="0" w:line="240" w:lineRule="auto"/>
              <w:jc w:val="center"/>
            </w:pPr>
            <w:r/>
            <w:r>
              <w:rPr>
                <w:rFonts w:ascii="Calibri" w:hAnsi="Calibri"/>
                <w:b w:val="0"/>
                <w:i w:val="0"/>
                <w:color w:val="000000"/>
                <w:sz w:val="11"/>
              </w:rPr>
              <w:t>12.3103</w:t>
            </w:r>
          </w:p>
        </w:tc>
        <w:tc>
          <w:tcPr>
            <w:tcW w:type="dxa" w:w="1954"/>
            <w:vAlign w:val="center"/>
          </w:tcPr>
          <w:p>
            <w:pPr>
              <w:spacing w:after="0" w:line="240" w:lineRule="auto"/>
              <w:jc w:val="center"/>
            </w:pPr>
            <w:r/>
            <w:r>
              <w:rPr>
                <w:rFonts w:ascii="Calibri" w:hAnsi="Calibri"/>
                <w:b w:val="0"/>
                <w:i w:val="0"/>
                <w:color w:val="000000"/>
                <w:sz w:val="11"/>
              </w:rPr>
              <w:t>0.0015</w:t>
            </w:r>
          </w:p>
        </w:tc>
        <w:tc>
          <w:tcPr>
            <w:tcW w:type="dxa" w:w="1535"/>
            <w:vAlign w:val="center"/>
          </w:tcPr>
          <w:p>
            <w:pPr>
              <w:spacing w:after="0" w:line="240" w:lineRule="auto"/>
              <w:jc w:val="center"/>
            </w:pPr>
            <w:r/>
            <w:r>
              <w:rPr>
                <w:rFonts w:ascii="Calibri" w:hAnsi="Calibri"/>
                <w:b w:val="0"/>
                <w:i w:val="0"/>
                <w:color w:val="000000"/>
                <w:sz w:val="11"/>
              </w:rPr>
              <w:t>0.0683</w:t>
            </w:r>
          </w:p>
        </w:tc>
        <w:tc>
          <w:tcPr>
            <w:tcW w:type="dxa" w:w="2654"/>
            <w:vAlign w:val="center"/>
          </w:tcPr>
          <w:p>
            <w:pPr>
              <w:spacing w:after="0" w:line="240" w:lineRule="auto"/>
              <w:jc w:val="center"/>
            </w:pPr>
            <w:r/>
            <w:r>
              <w:rPr>
                <w:rFonts w:ascii="Calibri" w:hAnsi="Calibri"/>
                <w:b w:val="0"/>
                <w:i w:val="0"/>
                <w:color w:val="000000"/>
                <w:sz w:val="11"/>
              </w:rPr>
              <w:t>0.3999</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0.0322</w:t>
            </w:r>
          </w:p>
        </w:tc>
        <w:tc>
          <w:tcPr>
            <w:tcW w:type="dxa" w:w="1954"/>
            <w:vAlign w:val="center"/>
          </w:tcPr>
          <w:p>
            <w:pPr>
              <w:spacing w:after="0" w:line="240" w:lineRule="auto"/>
              <w:jc w:val="center"/>
            </w:pPr>
            <w:r/>
            <w:r>
              <w:rPr>
                <w:rFonts w:ascii="Calibri" w:hAnsi="Calibri"/>
                <w:b w:val="0"/>
                <w:i w:val="0"/>
                <w:color w:val="000000"/>
                <w:sz w:val="11"/>
              </w:rPr>
              <w:t>31.0435</w:t>
            </w:r>
          </w:p>
        </w:tc>
        <w:tc>
          <w:tcPr>
            <w:tcW w:type="dxa" w:w="1954"/>
            <w:vAlign w:val="center"/>
          </w:tcPr>
          <w:p>
            <w:pPr>
              <w:spacing w:after="0" w:line="240" w:lineRule="auto"/>
              <w:jc w:val="center"/>
            </w:pPr>
            <w:r/>
            <w:r>
              <w:rPr>
                <w:rFonts w:ascii="Calibri" w:hAnsi="Calibri"/>
                <w:b w:val="0"/>
                <w:i w:val="0"/>
                <w:color w:val="000000"/>
                <w:sz w:val="11"/>
              </w:rPr>
              <w:t>0.0068</w:t>
            </w:r>
          </w:p>
        </w:tc>
        <w:tc>
          <w:tcPr>
            <w:tcW w:type="dxa" w:w="1535"/>
            <w:vAlign w:val="center"/>
          </w:tcPr>
          <w:p>
            <w:pPr>
              <w:spacing w:after="0" w:line="240" w:lineRule="auto"/>
              <w:jc w:val="center"/>
            </w:pPr>
            <w:r/>
            <w:r>
              <w:rPr>
                <w:rFonts w:ascii="Calibri" w:hAnsi="Calibri"/>
                <w:b w:val="0"/>
                <w:i w:val="0"/>
                <w:color w:val="000000"/>
                <w:sz w:val="11"/>
              </w:rPr>
              <w:t>0.1861</w:t>
            </w:r>
          </w:p>
        </w:tc>
        <w:tc>
          <w:tcPr>
            <w:tcW w:type="dxa" w:w="2654"/>
            <w:vAlign w:val="center"/>
          </w:tcPr>
          <w:p>
            <w:pPr>
              <w:spacing w:after="0" w:line="240" w:lineRule="auto"/>
              <w:jc w:val="center"/>
            </w:pPr>
            <w:r/>
            <w:r>
              <w:rPr>
                <w:rFonts w:ascii="Calibri" w:hAnsi="Calibri"/>
                <w:b w:val="0"/>
                <w:i w:val="0"/>
                <w:color w:val="000000"/>
                <w:sz w:val="11"/>
              </w:rPr>
              <w:t>0.2353</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0.0098</w:t>
            </w:r>
          </w:p>
        </w:tc>
        <w:tc>
          <w:tcPr>
            <w:tcW w:type="dxa" w:w="1954"/>
            <w:vAlign w:val="center"/>
          </w:tcPr>
          <w:p>
            <w:pPr>
              <w:spacing w:after="0" w:line="240" w:lineRule="auto"/>
              <w:jc w:val="center"/>
            </w:pPr>
            <w:r/>
            <w:r>
              <w:rPr>
                <w:rFonts w:ascii="Calibri" w:hAnsi="Calibri"/>
                <w:b w:val="0"/>
                <w:i w:val="0"/>
                <w:color w:val="000000"/>
                <w:sz w:val="11"/>
              </w:rPr>
              <w:t>102.0000</w:t>
            </w:r>
          </w:p>
        </w:tc>
        <w:tc>
          <w:tcPr>
            <w:tcW w:type="dxa" w:w="1954"/>
            <w:vAlign w:val="center"/>
          </w:tcPr>
          <w:p>
            <w:pPr>
              <w:spacing w:after="0" w:line="240" w:lineRule="auto"/>
              <w:jc w:val="center"/>
            </w:pPr>
            <w:r/>
            <w:r>
              <w:rPr>
                <w:rFonts w:ascii="Calibri" w:hAnsi="Calibri"/>
                <w:b w:val="0"/>
                <w:i w:val="0"/>
                <w:color w:val="000000"/>
                <w:sz w:val="11"/>
              </w:rPr>
              <w:t>0.0542</w:t>
            </w:r>
          </w:p>
        </w:tc>
        <w:tc>
          <w:tcPr>
            <w:tcW w:type="dxa" w:w="1535"/>
            <w:vAlign w:val="center"/>
          </w:tcPr>
          <w:p>
            <w:pPr>
              <w:spacing w:after="0" w:line="240" w:lineRule="auto"/>
              <w:jc w:val="center"/>
            </w:pPr>
            <w:r/>
            <w:r>
              <w:rPr>
                <w:rFonts w:ascii="Calibri" w:hAnsi="Calibri"/>
                <w:b w:val="0"/>
                <w:i w:val="0"/>
                <w:color w:val="000000"/>
                <w:sz w:val="11"/>
              </w:rPr>
              <w:t>0.4401</w:t>
            </w:r>
          </w:p>
        </w:tc>
        <w:tc>
          <w:tcPr>
            <w:tcW w:type="dxa" w:w="2654"/>
            <w:vAlign w:val="center"/>
          </w:tcPr>
          <w:p>
            <w:pPr>
              <w:spacing w:after="0" w:line="240" w:lineRule="auto"/>
              <w:jc w:val="center"/>
            </w:pPr>
            <w:r/>
            <w:r>
              <w:rPr>
                <w:rFonts w:ascii="Calibri" w:hAnsi="Calibri"/>
                <w:b w:val="0"/>
                <w:i w:val="0"/>
                <w:color w:val="000000"/>
                <w:sz w:val="11"/>
              </w:rPr>
              <w:t>0.0716</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0.0042</w:t>
            </w:r>
          </w:p>
        </w:tc>
        <w:tc>
          <w:tcPr>
            <w:tcW w:type="dxa" w:w="1954"/>
            <w:vAlign w:val="center"/>
          </w:tcPr>
          <w:p>
            <w:pPr>
              <w:spacing w:after="0" w:line="240" w:lineRule="auto"/>
              <w:jc w:val="center"/>
            </w:pPr>
            <w:r/>
            <w:r>
              <w:rPr>
                <w:rFonts w:ascii="Calibri" w:hAnsi="Calibri"/>
                <w:b w:val="0"/>
                <w:i w:val="0"/>
                <w:color w:val="000000"/>
                <w:sz w:val="11"/>
              </w:rPr>
              <w:t>238.0000</w:t>
            </w:r>
          </w:p>
        </w:tc>
        <w:tc>
          <w:tcPr>
            <w:tcW w:type="dxa" w:w="1954"/>
            <w:vAlign w:val="center"/>
          </w:tcPr>
          <w:p>
            <w:pPr>
              <w:spacing w:after="0" w:line="240" w:lineRule="auto"/>
              <w:jc w:val="center"/>
            </w:pPr>
            <w:r/>
            <w:r>
              <w:rPr>
                <w:rFonts w:ascii="Calibri" w:hAnsi="Calibri"/>
                <w:b w:val="0"/>
                <w:i w:val="0"/>
                <w:color w:val="000000"/>
                <w:sz w:val="11"/>
              </w:rPr>
              <w:t>0.0617</w:t>
            </w:r>
          </w:p>
        </w:tc>
        <w:tc>
          <w:tcPr>
            <w:tcW w:type="dxa" w:w="1535"/>
            <w:vAlign w:val="center"/>
          </w:tcPr>
          <w:p>
            <w:pPr>
              <w:spacing w:after="0" w:line="240" w:lineRule="auto"/>
              <w:jc w:val="center"/>
            </w:pPr>
            <w:r/>
            <w:r>
              <w:rPr>
                <w:rFonts w:ascii="Calibri" w:hAnsi="Calibri"/>
                <w:b w:val="0"/>
                <w:i w:val="0"/>
                <w:color w:val="000000"/>
                <w:sz w:val="11"/>
              </w:rPr>
              <w:t>0.6934</w:t>
            </w:r>
          </w:p>
        </w:tc>
        <w:tc>
          <w:tcPr>
            <w:tcW w:type="dxa" w:w="2654"/>
            <w:vAlign w:val="center"/>
          </w:tcPr>
          <w:p>
            <w:pPr>
              <w:spacing w:after="0" w:line="240" w:lineRule="auto"/>
              <w:jc w:val="center"/>
            </w:pPr>
            <w:r/>
            <w:r>
              <w:rPr>
                <w:rFonts w:ascii="Calibri" w:hAnsi="Calibri"/>
                <w:b w:val="0"/>
                <w:i w:val="0"/>
                <w:color w:val="000000"/>
                <w:sz w:val="11"/>
              </w:rPr>
              <w:t>0.0342</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0.0000</w:t>
            </w:r>
          </w:p>
        </w:tc>
        <w:tc>
          <w:tcPr>
            <w:tcW w:type="dxa" w:w="1954"/>
            <w:vAlign w:val="center"/>
          </w:tcPr>
          <w:p>
            <w:pPr>
              <w:spacing w:after="0" w:line="240" w:lineRule="auto"/>
              <w:jc w:val="center"/>
            </w:pPr>
            <w:r/>
            <w:r>
              <w:rPr>
                <w:rFonts w:ascii="Calibri" w:hAnsi="Calibri"/>
                <w:b w:val="0"/>
                <w:i w:val="0"/>
                <w:color w:val="000000"/>
                <w:sz w:val="11"/>
              </w:rPr>
            </w:r>
          </w:p>
        </w:tc>
        <w:tc>
          <w:tcPr>
            <w:tcW w:type="dxa" w:w="1954"/>
            <w:vAlign w:val="center"/>
          </w:tcPr>
          <w:p>
            <w:pPr>
              <w:spacing w:after="0" w:line="240" w:lineRule="auto"/>
              <w:jc w:val="center"/>
            </w:pPr>
            <w:r/>
            <w:r>
              <w:rPr>
                <w:rFonts w:ascii="Calibri" w:hAnsi="Calibri"/>
                <w:b w:val="0"/>
                <w:i w:val="0"/>
                <w:color w:val="000000"/>
                <w:sz w:val="11"/>
              </w:rPr>
              <w:t>0.6059</w:t>
            </w:r>
          </w:p>
        </w:tc>
        <w:tc>
          <w:tcPr>
            <w:tcW w:type="dxa" w:w="1535"/>
            <w:vAlign w:val="center"/>
          </w:tcPr>
          <w:p>
            <w:pPr>
              <w:spacing w:after="0" w:line="240" w:lineRule="auto"/>
              <w:jc w:val="center"/>
            </w:pPr>
            <w:r/>
            <w:r>
              <w:rPr>
                <w:rFonts w:ascii="Calibri" w:hAnsi="Calibri"/>
                <w:b w:val="0"/>
                <w:i w:val="0"/>
                <w:color w:val="000000"/>
                <w:sz w:val="11"/>
              </w:rPr>
              <w:t>0.9098</w:t>
            </w:r>
          </w:p>
        </w:tc>
        <w:tc>
          <w:tcPr>
            <w:tcW w:type="dxa" w:w="2654"/>
            <w:vAlign w:val="center"/>
          </w:tcPr>
          <w:p>
            <w:pPr>
              <w:spacing w:after="0" w:line="240" w:lineRule="auto"/>
              <w:jc w:val="center"/>
            </w:pPr>
            <w:r/>
            <w:r>
              <w:rPr>
                <w:rFonts w:ascii="Calibri" w:hAnsi="Calibri"/>
                <w:b w:val="0"/>
                <w:i w:val="0"/>
                <w:color w:val="000000"/>
                <w:sz w:val="11"/>
              </w:rPr>
              <w:t>0.0071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0.0072</w:t>
            </w:r>
          </w:p>
        </w:tc>
        <w:tc>
          <w:tcPr>
            <w:tcW w:type="dxa" w:w="1954"/>
            <w:vAlign w:val="center"/>
          </w:tcPr>
          <w:p>
            <w:pPr>
              <w:spacing w:after="0" w:line="240" w:lineRule="auto"/>
              <w:jc w:val="center"/>
            </w:pPr>
            <w:r/>
            <w:r>
              <w:rPr>
                <w:rFonts w:ascii="Calibri" w:hAnsi="Calibri"/>
                <w:b w:val="0"/>
                <w:i w:val="0"/>
                <w:color w:val="000000"/>
                <w:sz w:val="11"/>
              </w:rPr>
              <w:t>138.0000</w:t>
            </w:r>
          </w:p>
        </w:tc>
        <w:tc>
          <w:tcPr>
            <w:tcW w:type="dxa" w:w="1954"/>
            <w:vAlign w:val="center"/>
          </w:tcPr>
          <w:p>
            <w:pPr>
              <w:spacing w:after="0" w:line="240" w:lineRule="auto"/>
              <w:jc w:val="center"/>
            </w:pPr>
            <w:r/>
            <w:r>
              <w:rPr>
                <w:rFonts w:ascii="Calibri" w:hAnsi="Calibri"/>
                <w:b w:val="0"/>
                <w:i w:val="0"/>
                <w:color w:val="000000"/>
                <w:sz w:val="11"/>
              </w:rPr>
              <w:t>0.2786</w:t>
            </w:r>
          </w:p>
        </w:tc>
        <w:tc>
          <w:tcPr>
            <w:tcW w:type="dxa" w:w="1535"/>
            <w:vAlign w:val="center"/>
          </w:tcPr>
          <w:p>
            <w:pPr>
              <w:spacing w:after="0" w:line="240" w:lineRule="auto"/>
              <w:jc w:val="center"/>
            </w:pPr>
            <w:r/>
            <w:r>
              <w:rPr>
                <w:rFonts w:ascii="Calibri" w:hAnsi="Calibri"/>
                <w:b w:val="0"/>
                <w:i w:val="0"/>
                <w:color w:val="000000"/>
                <w:sz w:val="11"/>
              </w:rPr>
              <w:t>0.8026</w:t>
            </w:r>
          </w:p>
        </w:tc>
        <w:tc>
          <w:tcPr>
            <w:tcW w:type="dxa" w:w="2654"/>
            <w:vAlign w:val="center"/>
          </w:tcPr>
          <w:p>
            <w:pPr>
              <w:spacing w:after="0" w:line="240" w:lineRule="auto"/>
              <w:jc w:val="center"/>
            </w:pPr>
            <w:r/>
            <w:r>
              <w:rPr>
                <w:rFonts w:ascii="Calibri" w:hAnsi="Calibri"/>
                <w:b w:val="0"/>
                <w:i w:val="0"/>
                <w:color w:val="000000"/>
                <w:sz w:val="11"/>
              </w:rPr>
              <w:t>0.0071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0.0058</w:t>
            </w:r>
          </w:p>
        </w:tc>
        <w:tc>
          <w:tcPr>
            <w:tcW w:type="dxa" w:w="1954"/>
            <w:vAlign w:val="center"/>
          </w:tcPr>
          <w:p>
            <w:pPr>
              <w:spacing w:after="0" w:line="240" w:lineRule="auto"/>
              <w:jc w:val="center"/>
            </w:pPr>
            <w:r/>
            <w:r>
              <w:rPr>
                <w:rFonts w:ascii="Calibri" w:hAnsi="Calibri"/>
                <w:b w:val="0"/>
                <w:i w:val="0"/>
                <w:color w:val="000000"/>
                <w:sz w:val="11"/>
              </w:rPr>
              <w:t>172.5000</w:t>
            </w:r>
          </w:p>
        </w:tc>
        <w:tc>
          <w:tcPr>
            <w:tcW w:type="dxa" w:w="1954"/>
            <w:vAlign w:val="center"/>
          </w:tcPr>
          <w:p>
            <w:pPr>
              <w:spacing w:after="0" w:line="240" w:lineRule="auto"/>
              <w:jc w:val="center"/>
            </w:pPr>
            <w:r/>
            <w:r>
              <w:rPr>
                <w:rFonts w:ascii="Calibri" w:hAnsi="Calibri"/>
                <w:b w:val="0"/>
                <w:i w:val="0"/>
                <w:color w:val="000000"/>
                <w:sz w:val="11"/>
              </w:rPr>
              <w:t>0.3836</w:t>
            </w:r>
          </w:p>
        </w:tc>
        <w:tc>
          <w:tcPr>
            <w:tcW w:type="dxa" w:w="1535"/>
            <w:vAlign w:val="center"/>
          </w:tcPr>
          <w:p>
            <w:pPr>
              <w:spacing w:after="0" w:line="240" w:lineRule="auto"/>
              <w:jc w:val="center"/>
            </w:pPr>
            <w:r/>
            <w:r>
              <w:rPr>
                <w:rFonts w:ascii="Calibri" w:hAnsi="Calibri"/>
                <w:b w:val="0"/>
                <w:i w:val="0"/>
                <w:color w:val="000000"/>
                <w:sz w:val="11"/>
              </w:rPr>
              <w:t>0.8602</w:t>
            </w:r>
          </w:p>
        </w:tc>
        <w:tc>
          <w:tcPr>
            <w:tcW w:type="dxa" w:w="2654"/>
            <w:vAlign w:val="center"/>
          </w:tcPr>
          <w:p>
            <w:pPr>
              <w:spacing w:after="0" w:line="240" w:lineRule="auto"/>
              <w:jc w:val="center"/>
            </w:pPr>
            <w:r/>
            <w:r>
              <w:rPr>
                <w:rFonts w:ascii="Calibri" w:hAnsi="Calibri"/>
                <w:b w:val="0"/>
                <w:i w:val="0"/>
                <w:color w:val="000000"/>
                <w:sz w:val="11"/>
              </w:rPr>
              <w:t>0.0265</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0.0101</w:t>
            </w:r>
          </w:p>
        </w:tc>
        <w:tc>
          <w:tcPr>
            <w:tcW w:type="dxa" w:w="1954"/>
            <w:vAlign w:val="center"/>
          </w:tcPr>
          <w:p>
            <w:pPr>
              <w:spacing w:after="0" w:line="240" w:lineRule="auto"/>
              <w:jc w:val="center"/>
            </w:pPr>
            <w:r/>
            <w:r>
              <w:rPr>
                <w:rFonts w:ascii="Calibri" w:hAnsi="Calibri"/>
                <w:b w:val="0"/>
                <w:i w:val="0"/>
                <w:color w:val="000000"/>
                <w:sz w:val="11"/>
              </w:rPr>
              <w:t>98.5714</w:t>
            </w:r>
          </w:p>
        </w:tc>
        <w:tc>
          <w:tcPr>
            <w:tcW w:type="dxa" w:w="1954"/>
            <w:vAlign w:val="center"/>
          </w:tcPr>
          <w:p>
            <w:pPr>
              <w:spacing w:after="0" w:line="240" w:lineRule="auto"/>
              <w:jc w:val="center"/>
            </w:pPr>
            <w:r/>
            <w:r>
              <w:rPr>
                <w:rFonts w:ascii="Calibri" w:hAnsi="Calibri"/>
                <w:b w:val="0"/>
                <w:i w:val="0"/>
                <w:color w:val="000000"/>
                <w:sz w:val="11"/>
              </w:rPr>
              <w:t>0.0213</w:t>
            </w:r>
          </w:p>
        </w:tc>
        <w:tc>
          <w:tcPr>
            <w:tcW w:type="dxa" w:w="1535"/>
            <w:vAlign w:val="center"/>
          </w:tcPr>
          <w:p>
            <w:pPr>
              <w:spacing w:after="0" w:line="240" w:lineRule="auto"/>
              <w:jc w:val="center"/>
            </w:pPr>
            <w:r/>
            <w:r>
              <w:rPr>
                <w:rFonts w:ascii="Calibri" w:hAnsi="Calibri"/>
                <w:b w:val="0"/>
                <w:i w:val="0"/>
                <w:color w:val="000000"/>
                <w:sz w:val="11"/>
              </w:rPr>
              <w:t>0.2181</w:t>
            </w:r>
          </w:p>
        </w:tc>
        <w:tc>
          <w:tcPr>
            <w:tcW w:type="dxa" w:w="2654"/>
            <w:vAlign w:val="center"/>
          </w:tcPr>
          <w:p>
            <w:pPr>
              <w:spacing w:after="0" w:line="240" w:lineRule="auto"/>
              <w:jc w:val="center"/>
            </w:pPr>
            <w:r/>
            <w:r>
              <w:rPr>
                <w:rFonts w:ascii="Calibri" w:hAnsi="Calibri"/>
                <w:b w:val="0"/>
                <w:i w:val="0"/>
                <w:color w:val="000000"/>
                <w:sz w:val="11"/>
              </w:rPr>
              <w:t>0.2060</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0.0304</w:t>
            </w:r>
          </w:p>
        </w:tc>
        <w:tc>
          <w:tcPr>
            <w:tcW w:type="dxa" w:w="1954"/>
            <w:vAlign w:val="center"/>
          </w:tcPr>
          <w:p>
            <w:pPr>
              <w:spacing w:after="0" w:line="240" w:lineRule="auto"/>
              <w:jc w:val="center"/>
            </w:pPr>
            <w:r/>
            <w:r>
              <w:rPr>
                <w:rFonts w:ascii="Calibri" w:hAnsi="Calibri"/>
                <w:b w:val="0"/>
                <w:i w:val="0"/>
                <w:color w:val="000000"/>
                <w:sz w:val="11"/>
              </w:rPr>
              <w:t>32.8571</w:t>
            </w:r>
          </w:p>
        </w:tc>
        <w:tc>
          <w:tcPr>
            <w:tcW w:type="dxa" w:w="1954"/>
            <w:vAlign w:val="center"/>
          </w:tcPr>
          <w:p>
            <w:pPr>
              <w:spacing w:after="0" w:line="240" w:lineRule="auto"/>
              <w:jc w:val="center"/>
            </w:pPr>
            <w:r/>
            <w:r>
              <w:rPr>
                <w:rFonts w:ascii="Calibri" w:hAnsi="Calibri"/>
                <w:b w:val="0"/>
                <w:i w:val="0"/>
                <w:color w:val="000000"/>
                <w:sz w:val="11"/>
              </w:rPr>
              <w:t>0.0040</w:t>
            </w:r>
          </w:p>
        </w:tc>
        <w:tc>
          <w:tcPr>
            <w:tcW w:type="dxa" w:w="1535"/>
            <w:vAlign w:val="center"/>
          </w:tcPr>
          <w:p>
            <w:pPr>
              <w:spacing w:after="0" w:line="240" w:lineRule="auto"/>
              <w:jc w:val="center"/>
            </w:pPr>
            <w:r/>
            <w:r>
              <w:rPr>
                <w:rFonts w:ascii="Calibri" w:hAnsi="Calibri"/>
                <w:b w:val="0"/>
                <w:i w:val="0"/>
                <w:color w:val="000000"/>
                <w:sz w:val="11"/>
              </w:rPr>
              <w:t>0.0977</w:t>
            </w:r>
          </w:p>
        </w:tc>
        <w:tc>
          <w:tcPr>
            <w:tcW w:type="dxa" w:w="2654"/>
            <w:vAlign w:val="center"/>
          </w:tcPr>
          <w:p>
            <w:pPr>
              <w:spacing w:after="0" w:line="240" w:lineRule="auto"/>
              <w:jc w:val="center"/>
            </w:pPr>
            <w:r/>
            <w:r>
              <w:rPr>
                <w:rFonts w:ascii="Calibri" w:hAnsi="Calibri"/>
                <w:b w:val="0"/>
                <w:i w:val="0"/>
                <w:color w:val="000000"/>
                <w:sz w:val="11"/>
              </w:rPr>
              <w:t>0.3076</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0.0580</w:t>
            </w:r>
          </w:p>
        </w:tc>
        <w:tc>
          <w:tcPr>
            <w:tcW w:type="dxa" w:w="1954"/>
            <w:vAlign w:val="center"/>
          </w:tcPr>
          <w:p>
            <w:pPr>
              <w:spacing w:after="0" w:line="240" w:lineRule="auto"/>
              <w:jc w:val="center"/>
            </w:pPr>
            <w:r/>
            <w:r>
              <w:rPr>
                <w:rFonts w:ascii="Calibri" w:hAnsi="Calibri"/>
                <w:b w:val="0"/>
                <w:i w:val="0"/>
                <w:color w:val="000000"/>
                <w:sz w:val="11"/>
              </w:rPr>
              <w:t>17.2500</w:t>
            </w:r>
          </w:p>
        </w:tc>
        <w:tc>
          <w:tcPr>
            <w:tcW w:type="dxa" w:w="1954"/>
            <w:vAlign w:val="center"/>
          </w:tcPr>
          <w:p>
            <w:pPr>
              <w:spacing w:after="0" w:line="240" w:lineRule="auto"/>
              <w:jc w:val="center"/>
            </w:pPr>
            <w:r/>
            <w:r>
              <w:rPr>
                <w:rFonts w:ascii="Calibri" w:hAnsi="Calibri"/>
                <w:b w:val="0"/>
                <w:i w:val="0"/>
                <w:color w:val="000000"/>
                <w:sz w:val="11"/>
              </w:rPr>
              <w:t>0.0018</w:t>
            </w:r>
          </w:p>
        </w:tc>
        <w:tc>
          <w:tcPr>
            <w:tcW w:type="dxa" w:w="1535"/>
            <w:vAlign w:val="center"/>
          </w:tcPr>
          <w:p>
            <w:pPr>
              <w:spacing w:after="0" w:line="240" w:lineRule="auto"/>
              <w:jc w:val="center"/>
            </w:pPr>
            <w:r/>
            <w:r>
              <w:rPr>
                <w:rFonts w:ascii="Calibri" w:hAnsi="Calibri"/>
                <w:b w:val="0"/>
                <w:i w:val="0"/>
                <w:color w:val="000000"/>
                <w:sz w:val="11"/>
              </w:rPr>
              <w:t>0.0619</w:t>
            </w:r>
          </w:p>
        </w:tc>
        <w:tc>
          <w:tcPr>
            <w:tcW w:type="dxa" w:w="2654"/>
            <w:vAlign w:val="center"/>
          </w:tcPr>
          <w:p>
            <w:pPr>
              <w:spacing w:after="0" w:line="240" w:lineRule="auto"/>
              <w:jc w:val="center"/>
            </w:pPr>
            <w:r/>
            <w:r>
              <w:rPr>
                <w:rFonts w:ascii="Calibri" w:hAnsi="Calibri"/>
                <w:b w:val="0"/>
                <w:i w:val="0"/>
                <w:color w:val="000000"/>
                <w:sz w:val="11"/>
              </w:rPr>
              <w:t>0.2997</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0.3058</w:t>
            </w:r>
          </w:p>
        </w:tc>
        <w:tc>
          <w:tcPr>
            <w:tcW w:type="dxa" w:w="1954"/>
            <w:vAlign w:val="center"/>
          </w:tcPr>
          <w:p>
            <w:pPr>
              <w:spacing w:after="0" w:line="240" w:lineRule="auto"/>
              <w:jc w:val="center"/>
            </w:pPr>
            <w:r/>
            <w:r>
              <w:rPr>
                <w:rFonts w:ascii="Calibri" w:hAnsi="Calibri"/>
                <w:b w:val="0"/>
                <w:i w:val="0"/>
                <w:color w:val="000000"/>
                <w:sz w:val="11"/>
              </w:rPr>
              <w:t>3.2701</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0.0086</w:t>
            </w:r>
          </w:p>
        </w:tc>
        <w:tc>
          <w:tcPr>
            <w:tcW w:type="dxa" w:w="2654"/>
            <w:vAlign w:val="center"/>
          </w:tcPr>
          <w:p>
            <w:pPr>
              <w:spacing w:after="0" w:line="240" w:lineRule="auto"/>
              <w:jc w:val="center"/>
            </w:pPr>
            <w:r/>
            <w:r>
              <w:rPr>
                <w:rFonts w:ascii="Calibri" w:hAnsi="Calibri"/>
                <w:b w:val="0"/>
                <w:i w:val="0"/>
                <w:color w:val="000000"/>
                <w:sz w:val="11"/>
              </w:rPr>
              <w:t>0.2383</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0.3522</w:t>
            </w:r>
          </w:p>
        </w:tc>
        <w:tc>
          <w:tcPr>
            <w:tcW w:type="dxa" w:w="1954"/>
            <w:vAlign w:val="center"/>
          </w:tcPr>
          <w:p>
            <w:pPr>
              <w:spacing w:after="0" w:line="240" w:lineRule="auto"/>
              <w:jc w:val="center"/>
            </w:pPr>
            <w:r/>
            <w:r>
              <w:rPr>
                <w:rFonts w:ascii="Calibri" w:hAnsi="Calibri"/>
                <w:b w:val="0"/>
                <w:i w:val="0"/>
                <w:color w:val="000000"/>
                <w:sz w:val="11"/>
              </w:rPr>
              <w:t>2.8395</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0.0074</w:t>
            </w:r>
          </w:p>
        </w:tc>
        <w:tc>
          <w:tcPr>
            <w:tcW w:type="dxa" w:w="2654"/>
            <w:vAlign w:val="center"/>
          </w:tcPr>
          <w:p>
            <w:pPr>
              <w:spacing w:after="0" w:line="240" w:lineRule="auto"/>
              <w:jc w:val="center"/>
            </w:pPr>
            <w:r/>
            <w:r>
              <w:rPr>
                <w:rFonts w:ascii="Calibri" w:hAnsi="Calibri"/>
                <w:b w:val="0"/>
                <w:i w:val="0"/>
                <w:color w:val="000000"/>
                <w:sz w:val="11"/>
              </w:rPr>
              <w:t>0.3242</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8.0000</w:t>
            </w:r>
          </w:p>
        </w:tc>
        <w:tc>
          <w:tcPr>
            <w:tcW w:type="dxa" w:w="1256"/>
            <w:vAlign w:val="center"/>
          </w:tcPr>
          <w:p>
            <w:pPr>
              <w:spacing w:after="0" w:line="240" w:lineRule="auto"/>
              <w:jc w:val="center"/>
            </w:pPr>
            <w:r/>
            <w:r>
              <w:rPr>
                <w:rFonts w:ascii="Calibri" w:hAnsi="Calibri"/>
                <w:b w:val="0"/>
                <w:i w:val="0"/>
                <w:color w:val="000000"/>
                <w:sz w:val="11"/>
              </w:rPr>
              <w:t>0.4029</w:t>
            </w:r>
          </w:p>
        </w:tc>
        <w:tc>
          <w:tcPr>
            <w:tcW w:type="dxa" w:w="1954"/>
            <w:vAlign w:val="center"/>
          </w:tcPr>
          <w:p>
            <w:pPr>
              <w:spacing w:after="0" w:line="240" w:lineRule="auto"/>
              <w:jc w:val="center"/>
            </w:pPr>
            <w:r/>
            <w:r>
              <w:rPr>
                <w:rFonts w:ascii="Calibri" w:hAnsi="Calibri"/>
                <w:b w:val="0"/>
                <w:i w:val="0"/>
                <w:color w:val="000000"/>
                <w:sz w:val="11"/>
              </w:rPr>
              <w:t>2.4820</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0.0068</w:t>
            </w:r>
          </w:p>
        </w:tc>
        <w:tc>
          <w:tcPr>
            <w:tcW w:type="dxa" w:w="2654"/>
            <w:vAlign w:val="center"/>
          </w:tcPr>
          <w:p>
            <w:pPr>
              <w:spacing w:after="0" w:line="240" w:lineRule="auto"/>
              <w:jc w:val="center"/>
            </w:pPr>
            <w:r/>
            <w:r>
              <w:rPr>
                <w:rFonts w:ascii="Calibri" w:hAnsi="Calibri"/>
                <w:b w:val="0"/>
                <w:i w:val="0"/>
                <w:color w:val="000000"/>
                <w:sz w:val="11"/>
              </w:rPr>
              <w:t>0.5062</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0.3275</w:t>
            </w:r>
          </w:p>
        </w:tc>
        <w:tc>
          <w:tcPr>
            <w:tcW w:type="dxa" w:w="1954"/>
            <w:vAlign w:val="center"/>
          </w:tcPr>
          <w:p>
            <w:pPr>
              <w:spacing w:after="0" w:line="240" w:lineRule="auto"/>
              <w:jc w:val="center"/>
            </w:pPr>
            <w:r/>
            <w:r>
              <w:rPr>
                <w:rFonts w:ascii="Calibri" w:hAnsi="Calibri"/>
                <w:b w:val="0"/>
                <w:i w:val="0"/>
                <w:color w:val="000000"/>
                <w:sz w:val="11"/>
              </w:rPr>
              <w:t>3.0531</w:t>
            </w:r>
          </w:p>
        </w:tc>
        <w:tc>
          <w:tcPr>
            <w:tcW w:type="dxa" w:w="1954"/>
            <w:vAlign w:val="center"/>
          </w:tcPr>
          <w:p>
            <w:pPr>
              <w:spacing w:after="0" w:line="240" w:lineRule="auto"/>
              <w:jc w:val="center"/>
            </w:pPr>
            <w:r/>
            <w:r>
              <w:rPr>
                <w:rFonts w:ascii="Calibri" w:hAnsi="Calibri"/>
                <w:b w:val="0"/>
                <w:i w:val="0"/>
                <w:color w:val="000000"/>
                <w:sz w:val="11"/>
              </w:rPr>
              <w:t>0.0002</w:t>
            </w:r>
          </w:p>
        </w:tc>
        <w:tc>
          <w:tcPr>
            <w:tcW w:type="dxa" w:w="1535"/>
            <w:vAlign w:val="center"/>
          </w:tcPr>
          <w:p>
            <w:pPr>
              <w:spacing w:after="0" w:line="240" w:lineRule="auto"/>
              <w:jc w:val="center"/>
            </w:pPr>
            <w:r/>
            <w:r>
              <w:rPr>
                <w:rFonts w:ascii="Calibri" w:hAnsi="Calibri"/>
                <w:b w:val="0"/>
                <w:i w:val="0"/>
                <w:color w:val="000000"/>
                <w:sz w:val="11"/>
              </w:rPr>
              <w:t>-0.0179</w:t>
            </w:r>
          </w:p>
        </w:tc>
        <w:tc>
          <w:tcPr>
            <w:tcW w:type="dxa" w:w="2654"/>
            <w:vAlign w:val="center"/>
          </w:tcPr>
          <w:p>
            <w:pPr>
              <w:spacing w:after="0" w:line="240" w:lineRule="auto"/>
              <w:jc w:val="center"/>
            </w:pPr>
            <w:r/>
            <w:r>
              <w:rPr>
                <w:rFonts w:ascii="Calibri" w:hAnsi="Calibri"/>
                <w:b w:val="0"/>
                <w:i w:val="0"/>
                <w:color w:val="000000"/>
                <w:sz w:val="11"/>
              </w:rPr>
              <w:t>0.8096</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0.2580</w:t>
            </w:r>
          </w:p>
        </w:tc>
        <w:tc>
          <w:tcPr>
            <w:tcW w:type="dxa" w:w="1954"/>
            <w:vAlign w:val="center"/>
          </w:tcPr>
          <w:p>
            <w:pPr>
              <w:spacing w:after="0" w:line="240" w:lineRule="auto"/>
              <w:jc w:val="center"/>
            </w:pPr>
            <w:r/>
            <w:r>
              <w:rPr>
                <w:rFonts w:ascii="Calibri" w:hAnsi="Calibri"/>
                <w:b w:val="0"/>
                <w:i w:val="0"/>
                <w:color w:val="000000"/>
                <w:sz w:val="11"/>
              </w:rPr>
              <w:t>3.8764</w:t>
            </w:r>
          </w:p>
        </w:tc>
        <w:tc>
          <w:tcPr>
            <w:tcW w:type="dxa" w:w="1954"/>
            <w:vAlign w:val="center"/>
          </w:tcPr>
          <w:p>
            <w:pPr>
              <w:spacing w:after="0" w:line="240" w:lineRule="auto"/>
              <w:jc w:val="center"/>
            </w:pPr>
            <w:r/>
            <w:r>
              <w:rPr>
                <w:rFonts w:ascii="Calibri" w:hAnsi="Calibri"/>
                <w:b w:val="0"/>
                <w:i w:val="0"/>
                <w:color w:val="000000"/>
                <w:sz w:val="11"/>
              </w:rPr>
              <w:t>0.0011</w:t>
            </w:r>
          </w:p>
        </w:tc>
        <w:tc>
          <w:tcPr>
            <w:tcW w:type="dxa" w:w="1535"/>
            <w:vAlign w:val="center"/>
          </w:tcPr>
          <w:p>
            <w:pPr>
              <w:spacing w:after="0" w:line="240" w:lineRule="auto"/>
              <w:jc w:val="center"/>
            </w:pPr>
            <w:r/>
            <w:r>
              <w:rPr>
                <w:rFonts w:ascii="Calibri" w:hAnsi="Calibri"/>
                <w:b w:val="0"/>
                <w:i w:val="0"/>
                <w:color w:val="000000"/>
                <w:sz w:val="11"/>
              </w:rPr>
              <w:t>0.0308</w:t>
            </w:r>
          </w:p>
        </w:tc>
        <w:tc>
          <w:tcPr>
            <w:tcW w:type="dxa" w:w="2654"/>
            <w:vAlign w:val="center"/>
          </w:tcPr>
          <w:p>
            <w:pPr>
              <w:spacing w:after="0" w:line="240" w:lineRule="auto"/>
              <w:jc w:val="center"/>
            </w:pPr>
            <w:r/>
            <w:r>
              <w:rPr>
                <w:rFonts w:ascii="Calibri" w:hAnsi="Calibri"/>
                <w:b w:val="0"/>
                <w:i w:val="0"/>
                <w:color w:val="000000"/>
                <w:sz w:val="11"/>
              </w:rPr>
              <w:t>0.2441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0.0710</w:t>
            </w:r>
          </w:p>
        </w:tc>
        <w:tc>
          <w:tcPr>
            <w:tcW w:type="dxa" w:w="1954"/>
            <w:vAlign w:val="center"/>
          </w:tcPr>
          <w:p>
            <w:pPr>
              <w:spacing w:after="0" w:line="240" w:lineRule="auto"/>
              <w:jc w:val="center"/>
            </w:pPr>
            <w:r/>
            <w:r>
              <w:rPr>
                <w:rFonts w:ascii="Calibri" w:hAnsi="Calibri"/>
                <w:b w:val="0"/>
                <w:i w:val="0"/>
                <w:color w:val="000000"/>
                <w:sz w:val="11"/>
              </w:rPr>
              <w:t>14.0816</w:t>
            </w:r>
          </w:p>
        </w:tc>
        <w:tc>
          <w:tcPr>
            <w:tcW w:type="dxa" w:w="1954"/>
            <w:vAlign w:val="center"/>
          </w:tcPr>
          <w:p>
            <w:pPr>
              <w:spacing w:after="0" w:line="240" w:lineRule="auto"/>
              <w:jc w:val="center"/>
            </w:pPr>
            <w:r/>
            <w:r>
              <w:rPr>
                <w:rFonts w:ascii="Calibri" w:hAnsi="Calibri"/>
                <w:b w:val="0"/>
                <w:i w:val="0"/>
                <w:color w:val="000000"/>
                <w:sz w:val="11"/>
              </w:rPr>
              <w:t>0.0029</w:t>
            </w:r>
          </w:p>
        </w:tc>
        <w:tc>
          <w:tcPr>
            <w:tcW w:type="dxa" w:w="1535"/>
            <w:vAlign w:val="center"/>
          </w:tcPr>
          <w:p>
            <w:pPr>
              <w:spacing w:after="0" w:line="240" w:lineRule="auto"/>
              <w:jc w:val="center"/>
            </w:pPr>
            <w:r/>
            <w:r>
              <w:rPr>
                <w:rFonts w:ascii="Calibri" w:hAnsi="Calibri"/>
                <w:b w:val="0"/>
                <w:i w:val="0"/>
                <w:color w:val="000000"/>
                <w:sz w:val="11"/>
              </w:rPr>
              <w:t>0.2553</w:t>
            </w:r>
          </w:p>
        </w:tc>
        <w:tc>
          <w:tcPr>
            <w:tcW w:type="dxa" w:w="2654"/>
            <w:vAlign w:val="center"/>
          </w:tcPr>
          <w:p>
            <w:pPr>
              <w:spacing w:after="0" w:line="240" w:lineRule="auto"/>
              <w:jc w:val="center"/>
            </w:pPr>
            <w:r/>
            <w:r>
              <w:rPr>
                <w:rFonts w:ascii="Calibri" w:hAnsi="Calibri"/>
                <w:b w:val="0"/>
                <w:i w:val="0"/>
                <w:color w:val="000000"/>
                <w:sz w:val="11"/>
              </w:rPr>
              <w:t>0.3550</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0.0217</w:t>
            </w:r>
          </w:p>
        </w:tc>
        <w:tc>
          <w:tcPr>
            <w:tcW w:type="dxa" w:w="1954"/>
            <w:vAlign w:val="center"/>
          </w:tcPr>
          <w:p>
            <w:pPr>
              <w:spacing w:after="0" w:line="240" w:lineRule="auto"/>
              <w:jc w:val="center"/>
            </w:pPr>
            <w:r/>
            <w:r>
              <w:rPr>
                <w:rFonts w:ascii="Calibri" w:hAnsi="Calibri"/>
                <w:b w:val="0"/>
                <w:i w:val="0"/>
                <w:color w:val="000000"/>
                <w:sz w:val="11"/>
              </w:rPr>
              <w:t>46.0000</w:t>
            </w:r>
          </w:p>
        </w:tc>
        <w:tc>
          <w:tcPr>
            <w:tcW w:type="dxa" w:w="1954"/>
            <w:vAlign w:val="center"/>
          </w:tcPr>
          <w:p>
            <w:pPr>
              <w:spacing w:after="0" w:line="240" w:lineRule="auto"/>
              <w:jc w:val="center"/>
            </w:pPr>
            <w:r/>
            <w:r>
              <w:rPr>
                <w:rFonts w:ascii="Calibri" w:hAnsi="Calibri"/>
                <w:b w:val="0"/>
                <w:i w:val="0"/>
                <w:color w:val="000000"/>
                <w:sz w:val="11"/>
              </w:rPr>
              <w:t>0.0188</w:t>
            </w:r>
          </w:p>
        </w:tc>
        <w:tc>
          <w:tcPr>
            <w:tcW w:type="dxa" w:w="1535"/>
            <w:vAlign w:val="center"/>
          </w:tcPr>
          <w:p>
            <w:pPr>
              <w:spacing w:after="0" w:line="240" w:lineRule="auto"/>
              <w:jc w:val="center"/>
            </w:pPr>
            <w:r/>
            <w:r>
              <w:rPr>
                <w:rFonts w:ascii="Calibri" w:hAnsi="Calibri"/>
                <w:b w:val="0"/>
                <w:i w:val="0"/>
                <w:color w:val="000000"/>
                <w:sz w:val="11"/>
              </w:rPr>
              <w:t>0.3989</w:t>
            </w:r>
          </w:p>
        </w:tc>
        <w:tc>
          <w:tcPr>
            <w:tcW w:type="dxa" w:w="2654"/>
            <w:vAlign w:val="center"/>
          </w:tcPr>
          <w:p>
            <w:pPr>
              <w:spacing w:after="0" w:line="240" w:lineRule="auto"/>
              <w:jc w:val="center"/>
            </w:pPr>
            <w:r/>
            <w:r>
              <w:rPr>
                <w:rFonts w:ascii="Calibri" w:hAnsi="Calibri"/>
                <w:b w:val="0"/>
                <w:i w:val="0"/>
                <w:color w:val="000000"/>
                <w:sz w:val="11"/>
              </w:rPr>
              <w:t>0.2406</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0.0058</w:t>
            </w:r>
          </w:p>
        </w:tc>
        <w:tc>
          <w:tcPr>
            <w:tcW w:type="dxa" w:w="1954"/>
            <w:vAlign w:val="center"/>
          </w:tcPr>
          <w:p>
            <w:pPr>
              <w:spacing w:after="0" w:line="240" w:lineRule="auto"/>
              <w:jc w:val="center"/>
            </w:pPr>
            <w:r/>
            <w:r>
              <w:rPr>
                <w:rFonts w:ascii="Calibri" w:hAnsi="Calibri"/>
                <w:b w:val="0"/>
                <w:i w:val="0"/>
                <w:color w:val="000000"/>
                <w:sz w:val="11"/>
              </w:rPr>
              <w:t>172.5000</w:t>
            </w:r>
          </w:p>
        </w:tc>
        <w:tc>
          <w:tcPr>
            <w:tcW w:type="dxa" w:w="1954"/>
            <w:vAlign w:val="center"/>
          </w:tcPr>
          <w:p>
            <w:pPr>
              <w:spacing w:after="0" w:line="240" w:lineRule="auto"/>
              <w:jc w:val="center"/>
            </w:pPr>
            <w:r/>
            <w:r>
              <w:rPr>
                <w:rFonts w:ascii="Calibri" w:hAnsi="Calibri"/>
                <w:b w:val="0"/>
                <w:i w:val="0"/>
                <w:color w:val="000000"/>
                <w:sz w:val="11"/>
              </w:rPr>
              <w:t>0.1555</w:t>
            </w:r>
          </w:p>
        </w:tc>
        <w:tc>
          <w:tcPr>
            <w:tcW w:type="dxa" w:w="1535"/>
            <w:vAlign w:val="center"/>
          </w:tcPr>
          <w:p>
            <w:pPr>
              <w:spacing w:after="0" w:line="240" w:lineRule="auto"/>
              <w:jc w:val="center"/>
            </w:pPr>
            <w:r/>
            <w:r>
              <w:rPr>
                <w:rFonts w:ascii="Calibri" w:hAnsi="Calibri"/>
                <w:b w:val="0"/>
                <w:i w:val="0"/>
                <w:color w:val="000000"/>
                <w:sz w:val="11"/>
              </w:rPr>
              <w:t>0.7532</w:t>
            </w:r>
          </w:p>
        </w:tc>
        <w:tc>
          <w:tcPr>
            <w:tcW w:type="dxa" w:w="2654"/>
            <w:vAlign w:val="center"/>
          </w:tcPr>
          <w:p>
            <w:pPr>
              <w:spacing w:after="0" w:line="240" w:lineRule="auto"/>
              <w:jc w:val="center"/>
            </w:pPr>
            <w:r/>
            <w:r>
              <w:rPr>
                <w:rFonts w:ascii="Calibri" w:hAnsi="Calibri"/>
                <w:b w:val="0"/>
                <w:i w:val="0"/>
                <w:color w:val="000000"/>
                <w:sz w:val="11"/>
              </w:rPr>
              <w:t>0.0664</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0.0029</w:t>
            </w:r>
          </w:p>
        </w:tc>
        <w:tc>
          <w:tcPr>
            <w:tcW w:type="dxa" w:w="1954"/>
            <w:vAlign w:val="center"/>
          </w:tcPr>
          <w:p>
            <w:pPr>
              <w:spacing w:after="0" w:line="240" w:lineRule="auto"/>
              <w:jc w:val="center"/>
            </w:pPr>
            <w:r/>
            <w:r>
              <w:rPr>
                <w:rFonts w:ascii="Calibri" w:hAnsi="Calibri"/>
                <w:b w:val="0"/>
                <w:i w:val="0"/>
                <w:color w:val="000000"/>
                <w:sz w:val="11"/>
              </w:rPr>
              <w:t>345.0000</w:t>
            </w:r>
          </w:p>
        </w:tc>
        <w:tc>
          <w:tcPr>
            <w:tcW w:type="dxa" w:w="1954"/>
            <w:vAlign w:val="center"/>
          </w:tcPr>
          <w:p>
            <w:pPr>
              <w:spacing w:after="0" w:line="240" w:lineRule="auto"/>
              <w:jc w:val="center"/>
            </w:pPr>
            <w:r/>
            <w:r>
              <w:rPr>
                <w:rFonts w:ascii="Calibri" w:hAnsi="Calibri"/>
                <w:b w:val="0"/>
                <w:i w:val="0"/>
                <w:color w:val="000000"/>
                <w:sz w:val="11"/>
              </w:rPr>
              <w:t>0.0065</w:t>
            </w:r>
          </w:p>
        </w:tc>
        <w:tc>
          <w:tcPr>
            <w:tcW w:type="dxa" w:w="1535"/>
            <w:vAlign w:val="center"/>
          </w:tcPr>
          <w:p>
            <w:pPr>
              <w:spacing w:after="0" w:line="240" w:lineRule="auto"/>
              <w:jc w:val="center"/>
            </w:pPr>
            <w:r/>
            <w:r>
              <w:rPr>
                <w:rFonts w:ascii="Calibri" w:hAnsi="Calibri"/>
                <w:b w:val="0"/>
                <w:i w:val="0"/>
                <w:color w:val="000000"/>
                <w:sz w:val="11"/>
              </w:rPr>
              <w:t>0.6613</w:t>
            </w:r>
          </w:p>
        </w:tc>
        <w:tc>
          <w:tcPr>
            <w:tcW w:type="dxa" w:w="2654"/>
            <w:vAlign w:val="center"/>
          </w:tcPr>
          <w:p>
            <w:pPr>
              <w:spacing w:after="0" w:line="240" w:lineRule="auto"/>
              <w:jc w:val="center"/>
            </w:pPr>
            <w:r/>
            <w:r>
              <w:rPr>
                <w:rFonts w:ascii="Calibri" w:hAnsi="Calibri"/>
                <w:b w:val="0"/>
                <w:i w:val="0"/>
                <w:color w:val="000000"/>
                <w:sz w:val="11"/>
              </w:rPr>
              <w:t>0.0281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0.0014</w:t>
            </w:r>
          </w:p>
        </w:tc>
        <w:tc>
          <w:tcPr>
            <w:tcW w:type="dxa" w:w="1954"/>
            <w:vAlign w:val="center"/>
          </w:tcPr>
          <w:p>
            <w:pPr>
              <w:spacing w:after="0" w:line="240" w:lineRule="auto"/>
              <w:jc w:val="center"/>
            </w:pPr>
            <w:r/>
            <w:r>
              <w:rPr>
                <w:rFonts w:ascii="Calibri" w:hAnsi="Calibri"/>
                <w:b w:val="0"/>
                <w:i w:val="0"/>
                <w:color w:val="000000"/>
                <w:sz w:val="11"/>
              </w:rPr>
              <w:t>690.0000</w:t>
            </w:r>
          </w:p>
        </w:tc>
        <w:tc>
          <w:tcPr>
            <w:tcW w:type="dxa" w:w="1954"/>
            <w:vAlign w:val="center"/>
          </w:tcPr>
          <w:p>
            <w:pPr>
              <w:spacing w:after="0" w:line="240" w:lineRule="auto"/>
              <w:jc w:val="center"/>
            </w:pPr>
            <w:r/>
            <w:r>
              <w:rPr>
                <w:rFonts w:ascii="Calibri" w:hAnsi="Calibri"/>
                <w:b w:val="0"/>
                <w:i w:val="0"/>
                <w:color w:val="000000"/>
                <w:sz w:val="11"/>
              </w:rPr>
              <w:t>0.4080</w:t>
            </w:r>
          </w:p>
        </w:tc>
        <w:tc>
          <w:tcPr>
            <w:tcW w:type="dxa" w:w="1535"/>
            <w:vAlign w:val="center"/>
          </w:tcPr>
          <w:p>
            <w:pPr>
              <w:spacing w:after="0" w:line="240" w:lineRule="auto"/>
              <w:jc w:val="center"/>
            </w:pPr>
            <w:r/>
            <w:r>
              <w:rPr>
                <w:rFonts w:ascii="Calibri" w:hAnsi="Calibri"/>
                <w:b w:val="0"/>
                <w:i w:val="0"/>
                <w:color w:val="000000"/>
                <w:sz w:val="11"/>
              </w:rPr>
              <w:t>0.9087</w:t>
            </w:r>
          </w:p>
        </w:tc>
        <w:tc>
          <w:tcPr>
            <w:tcW w:type="dxa" w:w="2654"/>
            <w:vAlign w:val="center"/>
          </w:tcPr>
          <w:p>
            <w:pPr>
              <w:spacing w:after="0" w:line="240" w:lineRule="auto"/>
              <w:jc w:val="center"/>
            </w:pPr>
            <w:r/>
            <w:r>
              <w:rPr>
                <w:rFonts w:ascii="Calibri" w:hAnsi="Calibri"/>
                <w:b w:val="0"/>
                <w:i w:val="0"/>
                <w:color w:val="000000"/>
                <w:sz w:val="11"/>
              </w:rPr>
              <w:t>0.0095</w:t>
            </w:r>
          </w:p>
        </w:tc>
      </w:tr>
    </w:tbl>
    <w:p>
      <w:pPr>
        <w:spacing w:after="60"/>
      </w:pPr>
    </w:p>
    <w:p>
      <w:pPr>
        <w:pStyle w:val="Heading3"/>
      </w:pPr>
      <w:r>
        <w:t>Interpretation of Table 5</w:t>
      </w:r>
    </w:p>
    <w:p>
      <w:pPr>
        <w:spacing w:after="160" w:line="320" w:lineRule="auto"/>
        <w:jc w:val="both"/>
      </w:pPr>
      <w:r>
        <w:rPr>
          <w:rFonts w:ascii="Calibri" w:hAnsi="Calibri"/>
          <w:b/>
          <w:i w:val="0"/>
          <w:color w:val="000000"/>
          <w:sz w:val="22"/>
        </w:rPr>
        <w:t>VMD structure:</w:t>
      </w:r>
      <w:r>
        <w:rPr>
          <w:rFonts w:ascii="Calibri" w:hAnsi="Calibri"/>
          <w:b w:val="0"/>
          <w:i w:val="0"/>
          <w:color w:val="000000"/>
          <w:sz w:val="22"/>
        </w:rPr>
        <w:t xml:space="preserve"> For hydroxide, VMD modes 1 and 2 carry variance shares of 0.3273 and 0.3651 and correlate 0.8212 and 0.8439 with the original series. For carbonate, the corresponding shares are 0.2786 and 0.3836 with correlations 0.8026 and 0.8602. Much of the smooth price path is therefore concentrated in the first two modes.</w:t>
      </w:r>
    </w:p>
    <w:p>
      <w:pPr>
        <w:spacing w:after="160" w:line="320" w:lineRule="auto"/>
        <w:jc w:val="both"/>
      </w:pPr>
      <w:r>
        <w:rPr>
          <w:rFonts w:ascii="Calibri" w:hAnsi="Calibri"/>
          <w:b/>
          <w:i w:val="0"/>
          <w:color w:val="000000"/>
          <w:sz w:val="22"/>
        </w:rPr>
        <w:t>CEEMDAN contrast:</w:t>
      </w:r>
      <w:r>
        <w:rPr>
          <w:rFonts w:ascii="Calibri" w:hAnsi="Calibri"/>
          <w:b w:val="0"/>
          <w:i w:val="0"/>
          <w:color w:val="000000"/>
          <w:sz w:val="22"/>
        </w:rPr>
        <w:t xml:space="preserve"> CEEMDAN concentrates its dominant low-frequency structure later: mode 7 accounts for 0.6059 of hydroxide variance and 0.4080 of carbonate variance, with correlations above 0.90 in both panels. Mode numbering is decomposition-specific, so VMD mode 1 cannot be interpreted as equivalent to CEEMDAN mode 1.</w:t>
      </w:r>
    </w:p>
    <w:p>
      <w:pPr>
        <w:spacing w:after="160" w:line="320" w:lineRule="auto"/>
        <w:jc w:val="both"/>
      </w:pPr>
      <w:r>
        <w:rPr>
          <w:rFonts w:ascii="Calibri" w:hAnsi="Calibri"/>
          <w:b/>
          <w:i w:val="0"/>
          <w:color w:val="000000"/>
          <w:sz w:val="22"/>
        </w:rPr>
        <w:t>Routing implication:</w:t>
      </w:r>
      <w:r>
        <w:rPr>
          <w:rFonts w:ascii="Calibri" w:hAnsi="Calibri"/>
          <w:b w:val="0"/>
          <w:i w:val="0"/>
          <w:color w:val="000000"/>
          <w:sz w:val="22"/>
        </w:rPr>
        <w:t xml:space="preserve"> Approximate entropy generally rises for faster modes, supporting different treatment of smooth and irregular components. However, the proposed model's fixed first-two-mode ARIMA routing is inherited from the reference protocol; Table 5 does not prove that this routing is optimal for either lithium target.</w:t>
      </w:r>
    </w:p>
    <w:p>
      <w:pPr>
        <w:keepNext/>
        <w:spacing w:before="100" w:after="80"/>
      </w:pPr>
      <w:r>
        <w:rPr>
          <w:rFonts w:ascii="Calibri" w:hAnsi="Calibri"/>
          <w:b/>
          <w:i w:val="0"/>
          <w:color w:val="1F4D78"/>
          <w:sz w:val="18"/>
        </w:rPr>
        <w:t xml:space="preserve">Table 6. </w:t>
      </w:r>
      <w:r>
        <w:rPr>
          <w:rFonts w:ascii="Calibri" w:hAnsi="Calibri"/>
          <w:b w:val="0"/>
          <w:i/>
          <w:color w:val="000000"/>
          <w:sz w:val="18"/>
        </w:rPr>
        <w:t>Indicators selected for the decomposed modes using LASSO regression.</w:t>
      </w:r>
    </w:p>
    <w:tbl>
      <w:tblPr>
        <w:tblStyle w:val="TableGrid"/>
        <w:tblW w:type="dxa" w:w="13680"/>
        <w:jc w:val="left"/>
        <w:tblLayout w:type="fixed"/>
        <w:tblLook w:firstColumn="1" w:firstRow="1" w:lastColumn="0" w:lastRow="0" w:noHBand="0" w:noVBand="1" w:val="04A0"/>
      </w:tblPr>
      <w:tblGrid>
        <w:gridCol w:w="3020"/>
        <w:gridCol w:w="1421"/>
        <w:gridCol w:w="1243"/>
        <w:gridCol w:w="6040"/>
        <w:gridCol w:w="1956"/>
      </w:tblGrid>
      <w:tr>
        <w:trPr>
          <w:tblHeader w:val="true"/>
        </w:trPr>
        <w:tc>
          <w:tcPr>
            <w:tcW w:type="dxa" w:w="3020"/>
            <w:shd w:fill="F4F6F9"/>
            <w:vAlign w:val="center"/>
          </w:tcPr>
          <w:p>
            <w:pPr>
              <w:jc w:val="center"/>
            </w:pPr>
            <w:r/>
            <w:r>
              <w:rPr>
                <w:rFonts w:ascii="Calibri" w:hAnsi="Calibri"/>
                <w:b/>
                <w:i w:val="0"/>
                <w:color w:val="0B2545"/>
                <w:sz w:val="11"/>
              </w:rPr>
              <w:t>Panel</w:t>
            </w:r>
          </w:p>
        </w:tc>
        <w:tc>
          <w:tcPr>
            <w:tcW w:type="dxa" w:w="1421"/>
            <w:shd w:fill="F4F6F9"/>
            <w:vAlign w:val="center"/>
          </w:tcPr>
          <w:p>
            <w:pPr>
              <w:jc w:val="center"/>
            </w:pPr>
            <w:r/>
            <w:r>
              <w:rPr>
                <w:rFonts w:ascii="Calibri" w:hAnsi="Calibri"/>
                <w:b/>
                <w:i w:val="0"/>
                <w:color w:val="0B2545"/>
                <w:sz w:val="11"/>
              </w:rPr>
              <w:t>Mode</w:t>
            </w:r>
          </w:p>
        </w:tc>
        <w:tc>
          <w:tcPr>
            <w:tcW w:type="dxa" w:w="1243"/>
            <w:shd w:fill="F4F6F9"/>
            <w:vAlign w:val="center"/>
          </w:tcPr>
          <w:p>
            <w:pPr>
              <w:jc w:val="center"/>
            </w:pPr>
            <w:r/>
            <w:r>
              <w:rPr>
                <w:rFonts w:ascii="Calibri" w:hAnsi="Calibri"/>
                <w:b/>
                <w:i w:val="0"/>
                <w:color w:val="0B2545"/>
                <w:sz w:val="11"/>
              </w:rPr>
              <w:t>Route</w:t>
            </w:r>
          </w:p>
        </w:tc>
        <w:tc>
          <w:tcPr>
            <w:tcW w:type="dxa" w:w="6040"/>
            <w:shd w:fill="F4F6F9"/>
            <w:vAlign w:val="center"/>
          </w:tcPr>
          <w:p>
            <w:pPr>
              <w:jc w:val="center"/>
            </w:pPr>
            <w:r/>
            <w:r>
              <w:rPr>
                <w:rFonts w:ascii="Calibri" w:hAnsi="Calibri"/>
                <w:b/>
                <w:i w:val="0"/>
                <w:color w:val="0B2545"/>
                <w:sz w:val="11"/>
              </w:rPr>
              <w:t>Selected indicators</w:t>
            </w:r>
          </w:p>
        </w:tc>
        <w:tc>
          <w:tcPr>
            <w:tcW w:type="dxa" w:w="1956"/>
            <w:shd w:fill="F4F6F9"/>
            <w:vAlign w:val="center"/>
          </w:tcPr>
          <w:p>
            <w:pPr>
              <w:jc w:val="center"/>
            </w:pPr>
            <w:r/>
            <w:r>
              <w:rPr>
                <w:rFonts w:ascii="Calibri" w:hAnsi="Calibri"/>
                <w:b/>
                <w:i w:val="0"/>
                <w:color w:val="0B2545"/>
                <w:sz w:val="11"/>
              </w:rPr>
              <w:t>LASSO alpha</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1</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 Cross_Lithium_Close</w:t>
            </w:r>
          </w:p>
        </w:tc>
        <w:tc>
          <w:tcPr>
            <w:tcW w:type="dxa" w:w="1956"/>
            <w:vAlign w:val="center"/>
          </w:tcPr>
          <w:p>
            <w:pPr>
              <w:spacing w:after="0" w:line="240" w:lineRule="auto"/>
              <w:jc w:val="center"/>
            </w:pPr>
            <w:r/>
            <w:r>
              <w:rPr>
                <w:rFonts w:ascii="Calibri" w:hAnsi="Calibri"/>
                <w:b w:val="0"/>
                <w:i w:val="0"/>
                <w:color w:val="000000"/>
                <w:sz w:val="11"/>
              </w:rPr>
              <w:t>0.0013</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2</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w:t>
            </w:r>
          </w:p>
        </w:tc>
        <w:tc>
          <w:tcPr>
            <w:tcW w:type="dxa" w:w="1956"/>
            <w:vAlign w:val="center"/>
          </w:tcPr>
          <w:p>
            <w:pPr>
              <w:spacing w:after="0" w:line="240" w:lineRule="auto"/>
              <w:jc w:val="center"/>
            </w:pPr>
            <w:r/>
            <w:r>
              <w:rPr>
                <w:rFonts w:ascii="Calibri" w:hAnsi="Calibri"/>
                <w:b w:val="0"/>
                <w:i w:val="0"/>
                <w:color w:val="000000"/>
                <w:sz w:val="11"/>
              </w:rPr>
              <w:t>0.0398</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3</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Cross_Lithium_Close, Ganfeng_Lithium_Close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4</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target_3, target_5, News_FinBERT_Score, News_TextBlob_Polarity, News_Article_Count,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5</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target_4, target_5, VIX, News_TextBlob_Polarity, Cross_Lithium_Close, News_FinBERT_Score</w:t>
            </w:r>
          </w:p>
        </w:tc>
        <w:tc>
          <w:tcPr>
            <w:tcW w:type="dxa" w:w="1956"/>
            <w:vAlign w:val="center"/>
          </w:tcPr>
          <w:p>
            <w:pPr>
              <w:spacing w:after="0" w:line="240" w:lineRule="auto"/>
              <w:jc w:val="center"/>
            </w:pPr>
            <w:r/>
            <w:r>
              <w:rPr>
                <w:rFonts w:ascii="Calibri" w:hAnsi="Calibri"/>
                <w:b w:val="0"/>
                <w:i w:val="0"/>
                <w:color w:val="000000"/>
                <w:sz w:val="11"/>
              </w:rPr>
              <w:t>0.0011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6</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target_4, target_3, Cross_Lithium_Close, VIX, News_Article_Count, News_TextBlob_Polarity</w:t>
            </w:r>
          </w:p>
        </w:tc>
        <w:tc>
          <w:tcPr>
            <w:tcW w:type="dxa" w:w="1956"/>
            <w:vAlign w:val="center"/>
          </w:tcPr>
          <w:p>
            <w:pPr>
              <w:spacing w:after="0" w:line="240" w:lineRule="auto"/>
              <w:jc w:val="center"/>
            </w:pPr>
            <w:r/>
            <w:r>
              <w:rPr>
                <w:rFonts w:ascii="Calibri" w:hAnsi="Calibri"/>
                <w:b w:val="0"/>
                <w:i w:val="0"/>
                <w:color w:val="000000"/>
                <w:sz w:val="11"/>
              </w:rPr>
              <w:t>0.0026</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7</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target_1, target_5, target_4, News_FinBERT_Score, VIX, Cross_Lithium_Close</w:t>
            </w:r>
          </w:p>
        </w:tc>
        <w:tc>
          <w:tcPr>
            <w:tcW w:type="dxa" w:w="1956"/>
            <w:vAlign w:val="center"/>
          </w:tcPr>
          <w:p>
            <w:pPr>
              <w:spacing w:after="0" w:line="240" w:lineRule="auto"/>
              <w:jc w:val="center"/>
            </w:pPr>
            <w:r/>
            <w:r>
              <w:rPr>
                <w:rFonts w:ascii="Calibri" w:hAnsi="Calibri"/>
                <w:b w:val="0"/>
                <w:i w:val="0"/>
                <w:color w:val="000000"/>
                <w:sz w:val="11"/>
              </w:rPr>
              <w:t>0.0021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8</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News_FinBERT_Score, Cross_Lithium_Close, VIX, News_TextBlob_Polarity</w:t>
            </w:r>
          </w:p>
        </w:tc>
        <w:tc>
          <w:tcPr>
            <w:tcW w:type="dxa" w:w="1956"/>
            <w:vAlign w:val="center"/>
          </w:tcPr>
          <w:p>
            <w:pPr>
              <w:spacing w:after="0" w:line="240" w:lineRule="auto"/>
              <w:jc w:val="center"/>
            </w:pPr>
            <w:r/>
            <w:r>
              <w:rPr>
                <w:rFonts w:ascii="Calibri" w:hAnsi="Calibri"/>
                <w:b w:val="0"/>
                <w:i w:val="0"/>
                <w:color w:val="000000"/>
                <w:sz w:val="11"/>
              </w:rPr>
              <w:t>0.0015</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9</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target_3, target_2, target_5, News_FinBERT_Score, News_Article_Count, Cross_Lithium_Close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Residual</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target_3, target_2, target_4, Cross_Lithium_Close</w:t>
            </w:r>
          </w:p>
        </w:tc>
        <w:tc>
          <w:tcPr>
            <w:tcW w:type="dxa" w:w="1956"/>
            <w:vAlign w:val="center"/>
          </w:tcPr>
          <w:p>
            <w:pPr>
              <w:spacing w:after="0" w:line="240" w:lineRule="auto"/>
              <w:jc w:val="center"/>
            </w:pPr>
            <w:r/>
            <w:r>
              <w:rPr>
                <w:rFonts w:ascii="Calibri" w:hAnsi="Calibri"/>
                <w:b w:val="0"/>
                <w:i w:val="0"/>
                <w:color w:val="000000"/>
                <w:sz w:val="11"/>
              </w:rPr>
              <w:t>0.0395</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1</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 Cross_Lithium_Close, Ganfeng_Lithium_Close</w:t>
            </w:r>
          </w:p>
        </w:tc>
        <w:tc>
          <w:tcPr>
            <w:tcW w:type="dxa" w:w="1956"/>
            <w:vAlign w:val="center"/>
          </w:tcPr>
          <w:p>
            <w:pPr>
              <w:spacing w:after="0" w:line="240" w:lineRule="auto"/>
              <w:jc w:val="center"/>
            </w:pPr>
            <w:r/>
            <w:r>
              <w:rPr>
                <w:rFonts w:ascii="Calibri" w:hAnsi="Calibri"/>
                <w:b w:val="0"/>
                <w:i w:val="0"/>
                <w:color w:val="000000"/>
                <w:sz w:val="11"/>
              </w:rPr>
              <w:t>0.0014</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2</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 SP500</w:t>
            </w:r>
          </w:p>
        </w:tc>
        <w:tc>
          <w:tcPr>
            <w:tcW w:type="dxa" w:w="1956"/>
            <w:vAlign w:val="center"/>
          </w:tcPr>
          <w:p>
            <w:pPr>
              <w:spacing w:after="0" w:line="240" w:lineRule="auto"/>
              <w:jc w:val="center"/>
            </w:pPr>
            <w:r/>
            <w:r>
              <w:rPr>
                <w:rFonts w:ascii="Calibri" w:hAnsi="Calibri"/>
                <w:b w:val="0"/>
                <w:i w:val="0"/>
                <w:color w:val="000000"/>
                <w:sz w:val="11"/>
              </w:rPr>
              <w:t>0.0018</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3</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Ganfeng_Lithium_Close, Cross_Lithium_Close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4</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Ganfeng_Lithium_Close, News_TextBlob_Polarity</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5</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target_4, target_3, Ganfeng_Lithium_Close, News_Article_Count, News_FinBERT_Score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6</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target_4, target_1, target_5, target_3, Ganfeng_Lithium_Close, US_Dollar_Index, Cross_Lithium_Close,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7</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target_1, target_4, target_5, Ganfeng_Lithium_Close, US_Dollar_Index, News_FinBERT_Score,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8</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target_4, target_3, Ganfeng_Lithium_Close, US_Dollar_Index, News_TextBlob_Polarity,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Residual</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target_5, target_4, Albemarle_Close, News_Article_Count, Ganfeng_Lithium_Close, US_Dollar_Index</w:t>
            </w:r>
          </w:p>
        </w:tc>
        <w:tc>
          <w:tcPr>
            <w:tcW w:type="dxa" w:w="1956"/>
            <w:vAlign w:val="center"/>
          </w:tcPr>
          <w:p>
            <w:pPr>
              <w:spacing w:after="0" w:line="240" w:lineRule="auto"/>
              <w:jc w:val="center"/>
            </w:pPr>
            <w:r/>
            <w:r>
              <w:rPr>
                <w:rFonts w:ascii="Calibri" w:hAnsi="Calibri"/>
                <w:b w:val="0"/>
                <w:i w:val="0"/>
                <w:color w:val="000000"/>
                <w:sz w:val="11"/>
              </w:rPr>
              <w:t>0.0153</w:t>
            </w:r>
          </w:p>
        </w:tc>
      </w:tr>
    </w:tbl>
    <w:p>
      <w:pPr>
        <w:spacing w:after="60"/>
      </w:pPr>
    </w:p>
    <w:p>
      <w:pPr>
        <w:pStyle w:val="Heading3"/>
      </w:pPr>
      <w:r>
        <w:t>Interpretation of Table 6</w:t>
      </w:r>
    </w:p>
    <w:p>
      <w:pPr>
        <w:spacing w:after="160" w:line="320" w:lineRule="auto"/>
        <w:jc w:val="both"/>
      </w:pPr>
      <w:r>
        <w:rPr>
          <w:rFonts w:ascii="Calibri" w:hAnsi="Calibri"/>
          <w:b/>
          <w:i w:val="0"/>
          <w:color w:val="000000"/>
          <w:sz w:val="22"/>
        </w:rPr>
        <w:t>Persistence dominates:</w:t>
      </w:r>
      <w:r>
        <w:rPr>
          <w:rFonts w:ascii="Calibri" w:hAnsi="Calibri"/>
          <w:b w:val="0"/>
          <w:i w:val="0"/>
          <w:color w:val="000000"/>
          <w:sz w:val="22"/>
        </w:rPr>
        <w:t xml:space="preserve"> The immediately lagged decomposed target, target_1, is selected in all nine target-specific mode rows for both panels. Longer lags also recur, showing that the decomposed components retain meaningful autoregressive memory after VMD.</w:t>
      </w:r>
    </w:p>
    <w:p>
      <w:pPr>
        <w:spacing w:after="160" w:line="320" w:lineRule="auto"/>
        <w:jc w:val="both"/>
      </w:pPr>
      <w:r>
        <w:rPr>
          <w:rFonts w:ascii="Calibri" w:hAnsi="Calibri"/>
          <w:b/>
          <w:i w:val="0"/>
          <w:color w:val="000000"/>
          <w:sz w:val="22"/>
        </w:rPr>
        <w:t>External-signal differences:</w:t>
      </w:r>
      <w:r>
        <w:rPr>
          <w:rFonts w:ascii="Calibri" w:hAnsi="Calibri"/>
          <w:b w:val="0"/>
          <w:i w:val="0"/>
          <w:color w:val="000000"/>
          <w:sz w:val="22"/>
        </w:rPr>
        <w:t xml:space="preserve"> Cross_Lithium_Close appears in eight hydroxide mode models, whereas Ganfeng_Lithium_Close appears in eight carbonate mode models. Hydroxide also selects FinBERT sentiment in five modes and TextBlob polarity in four; carbonate more often selects the US dollar index and Ganfeng equity signal.</w:t>
      </w:r>
    </w:p>
    <w:p>
      <w:pPr>
        <w:spacing w:after="160" w:line="320" w:lineRule="auto"/>
        <w:jc w:val="both"/>
      </w:pPr>
      <w:r>
        <w:rPr>
          <w:rFonts w:ascii="Calibri" w:hAnsi="Calibri"/>
          <w:b/>
          <w:i w:val="0"/>
          <w:color w:val="000000"/>
          <w:sz w:val="22"/>
        </w:rPr>
        <w:t>Interpretation:</w:t>
      </w:r>
      <w:r>
        <w:rPr>
          <w:rFonts w:ascii="Calibri" w:hAnsi="Calibri"/>
          <w:b w:val="0"/>
          <w:i w:val="0"/>
          <w:color w:val="000000"/>
          <w:sz w:val="22"/>
        </w:rPr>
        <w:t xml:space="preserve"> Selection frequency indicates predictive inclusion under this fitted sample, not structural causality. Correlated indicators can substitute for one another under LASSO, and the full-sample/static protocol can make the selected set look more stable than it would be in a rolling real-time experiment.</w:t>
      </w:r>
    </w:p>
    <w:p>
      <w:pPr>
        <w:sectPr>
          <w:pgSz w:w="15840" w:h="12240" w:orient="landscape"/>
          <w:pgMar w:top="1037" w:right="1037" w:bottom="1037" w:left="1037" w:header="605" w:footer="605" w:gutter="0"/>
          <w:cols w:space="720"/>
          <w:docGrid w:linePitch="360"/>
        </w:sectPr>
      </w:pPr>
    </w:p>
    <w:p>
      <w:pPr>
        <w:spacing w:after="160" w:line="320" w:lineRule="auto"/>
        <w:jc w:val="both"/>
      </w:pPr>
      <w:r>
        <w:rPr>
          <w:rFonts w:ascii="Calibri" w:hAnsi="Calibri"/>
          <w:b w:val="0"/>
          <w:i w:val="0"/>
          <w:color w:val="000000"/>
          <w:sz w:val="22"/>
        </w:rPr>
        <w:t>The decomposition summaries show that the modes differ materially in frequency, variance share, correlation with the original price, and approximate entropy. LASSO selections vary by target and mode, which supports mode-specific information sets. Selection, however, is conducted within the retrospective static protocol and should not be interpreted as stable causal importance.</w:t>
      </w:r>
    </w:p>
    <w:p>
      <w:pPr>
        <w:pStyle w:val="Heading1"/>
      </w:pPr>
      <w:r>
        <w:t>6. Forecasting results</w:t>
      </w:r>
    </w:p>
    <w:p>
      <w:pPr>
        <w:keepNext/>
        <w:spacing w:before="100" w:after="80"/>
      </w:pPr>
      <w:r>
        <w:rPr>
          <w:rFonts w:ascii="Calibri" w:hAnsi="Calibri"/>
          <w:b/>
          <w:i w:val="0"/>
          <w:color w:val="1F4D78"/>
          <w:sz w:val="18"/>
        </w:rPr>
        <w:t xml:space="preserve">Figure 9. </w:t>
      </w:r>
      <w:r>
        <w:rPr>
          <w:rFonts w:ascii="Calibri" w:hAnsi="Calibri"/>
          <w:b w:val="0"/>
          <w:i/>
          <w:color w:val="000000"/>
          <w:sz w:val="18"/>
        </w:rPr>
        <w:t>Testing-set forecasts from representative single forecasting models.</w:t>
      </w:r>
    </w:p>
    <w:p>
      <w:pPr>
        <w:spacing w:after="180"/>
        <w:jc w:val="center"/>
      </w:pPr>
      <w:r>
        <w:drawing>
          <wp:inline xmlns:a="http://schemas.openxmlformats.org/drawingml/2006/main" xmlns:pic="http://schemas.openxmlformats.org/drawingml/2006/picture">
            <wp:extent cx="5760720" cy="3857534"/>
            <wp:docPr id="9" name="Picture 9"/>
            <wp:cNvGraphicFramePr>
              <a:graphicFrameLocks noChangeAspect="1"/>
            </wp:cNvGraphicFramePr>
            <a:graphic>
              <a:graphicData uri="http://schemas.openxmlformats.org/drawingml/2006/picture">
                <pic:pic>
                  <pic:nvPicPr>
                    <pic:cNvPr id="0" name="fig9_single_forecasts.png"/>
                    <pic:cNvPicPr/>
                  </pic:nvPicPr>
                  <pic:blipFill>
                    <a:blip r:embed="rId19"/>
                    <a:stretch>
                      <a:fillRect/>
                    </a:stretch>
                  </pic:blipFill>
                  <pic:spPr>
                    <a:xfrm>
                      <a:off x="0" y="0"/>
                      <a:ext cx="5760720" cy="3857534"/>
                    </a:xfrm>
                    <a:prstGeom prst="rect"/>
                  </pic:spPr>
                </pic:pic>
              </a:graphicData>
            </a:graphic>
          </wp:inline>
        </w:drawing>
      </w:r>
    </w:p>
    <w:p>
      <w:pPr>
        <w:keepNext/>
        <w:spacing w:before="100" w:after="80"/>
      </w:pPr>
      <w:r>
        <w:rPr>
          <w:rFonts w:ascii="Calibri" w:hAnsi="Calibri"/>
          <w:b/>
          <w:i w:val="0"/>
          <w:color w:val="1F4D78"/>
          <w:sz w:val="18"/>
        </w:rPr>
        <w:t xml:space="preserve">Figure 10. </w:t>
      </w:r>
      <w:r>
        <w:rPr>
          <w:rFonts w:ascii="Calibri" w:hAnsi="Calibri"/>
          <w:b w:val="0"/>
          <w:i/>
          <w:color w:val="000000"/>
          <w:sz w:val="18"/>
        </w:rPr>
        <w:t>Target-normalized forecasting errors across all evaluated models.</w:t>
      </w:r>
    </w:p>
    <w:p>
      <w:pPr>
        <w:spacing w:after="180"/>
        <w:jc w:val="center"/>
      </w:pPr>
      <w:r>
        <w:drawing>
          <wp:inline xmlns:a="http://schemas.openxmlformats.org/drawingml/2006/main" xmlns:pic="http://schemas.openxmlformats.org/drawingml/2006/picture">
            <wp:extent cx="5760720" cy="3089961"/>
            <wp:docPr id="10" name="Picture 10"/>
            <wp:cNvGraphicFramePr>
              <a:graphicFrameLocks noChangeAspect="1"/>
            </wp:cNvGraphicFramePr>
            <a:graphic>
              <a:graphicData uri="http://schemas.openxmlformats.org/drawingml/2006/picture">
                <pic:pic>
                  <pic:nvPicPr>
                    <pic:cNvPr id="0" name="fig10_errors.png"/>
                    <pic:cNvPicPr/>
                  </pic:nvPicPr>
                  <pic:blipFill>
                    <a:blip r:embed="rId20"/>
                    <a:stretch>
                      <a:fillRect/>
                    </a:stretch>
                  </pic:blipFill>
                  <pic:spPr>
                    <a:xfrm>
                      <a:off x="0" y="0"/>
                      <a:ext cx="5760720" cy="3089961"/>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7. </w:t>
      </w:r>
      <w:r>
        <w:rPr>
          <w:rFonts w:ascii="Calibri" w:hAnsi="Calibri"/>
          <w:b w:val="0"/>
          <w:i/>
          <w:color w:val="000000"/>
          <w:sz w:val="18"/>
        </w:rPr>
        <w:t>Forecasting errors on the testing sets for single models.</w:t>
      </w:r>
    </w:p>
    <w:tbl>
      <w:tblPr>
        <w:tblStyle w:val="TableGrid"/>
        <w:tblW w:type="dxa" w:w="13680"/>
        <w:jc w:val="left"/>
        <w:tblLayout w:type="fixed"/>
        <w:tblLook w:firstColumn="1" w:firstRow="1" w:lastColumn="0" w:lastRow="0" w:noHBand="0" w:noVBand="1" w:val="04A0"/>
      </w:tblPr>
      <w:tblGrid>
        <w:gridCol w:w="2673"/>
        <w:gridCol w:w="1100"/>
        <w:gridCol w:w="1729"/>
        <w:gridCol w:w="1729"/>
        <w:gridCol w:w="1100"/>
        <w:gridCol w:w="1100"/>
        <w:gridCol w:w="1100"/>
        <w:gridCol w:w="3149"/>
      </w:tblGrid>
      <w:tr>
        <w:trPr>
          <w:tblHeader w:val="true"/>
        </w:trPr>
        <w:tc>
          <w:tcPr>
            <w:tcW w:type="dxa" w:w="2673"/>
            <w:shd w:fill="F4F6F9"/>
            <w:vAlign w:val="center"/>
          </w:tcPr>
          <w:p>
            <w:pPr>
              <w:jc w:val="center"/>
            </w:pPr>
            <w:r/>
            <w:r>
              <w:rPr>
                <w:rFonts w:ascii="Calibri" w:hAnsi="Calibri"/>
                <w:b/>
                <w:i w:val="0"/>
                <w:color w:val="0B2545"/>
                <w:sz w:val="12"/>
              </w:rPr>
              <w:t>Target</w:t>
            </w:r>
          </w:p>
        </w:tc>
        <w:tc>
          <w:tcPr>
            <w:tcW w:type="dxa" w:w="1100"/>
            <w:shd w:fill="F4F6F9"/>
            <w:vAlign w:val="center"/>
          </w:tcPr>
          <w:p>
            <w:pPr>
              <w:jc w:val="center"/>
            </w:pPr>
            <w:r/>
            <w:r>
              <w:rPr>
                <w:rFonts w:ascii="Calibri" w:hAnsi="Calibri"/>
                <w:b/>
                <w:i w:val="0"/>
                <w:color w:val="0B2545"/>
                <w:sz w:val="12"/>
              </w:rPr>
              <w:t>Model</w:t>
            </w:r>
          </w:p>
        </w:tc>
        <w:tc>
          <w:tcPr>
            <w:tcW w:type="dxa" w:w="1729"/>
            <w:shd w:fill="F4F6F9"/>
            <w:vAlign w:val="center"/>
          </w:tcPr>
          <w:p>
            <w:pPr>
              <w:jc w:val="center"/>
            </w:pPr>
            <w:r/>
            <w:r>
              <w:rPr>
                <w:rFonts w:ascii="Calibri" w:hAnsi="Calibri"/>
                <w:b/>
                <w:i w:val="0"/>
                <w:color w:val="0B2545"/>
                <w:sz w:val="12"/>
              </w:rPr>
              <w:t>RMSE</w:t>
            </w:r>
          </w:p>
        </w:tc>
        <w:tc>
          <w:tcPr>
            <w:tcW w:type="dxa" w:w="1729"/>
            <w:shd w:fill="F4F6F9"/>
            <w:vAlign w:val="center"/>
          </w:tcPr>
          <w:p>
            <w:pPr>
              <w:jc w:val="center"/>
            </w:pPr>
            <w:r/>
            <w:r>
              <w:rPr>
                <w:rFonts w:ascii="Calibri" w:hAnsi="Calibri"/>
                <w:b/>
                <w:i w:val="0"/>
                <w:color w:val="0B2545"/>
                <w:sz w:val="12"/>
              </w:rPr>
              <w:t>MAE</w:t>
            </w:r>
          </w:p>
        </w:tc>
        <w:tc>
          <w:tcPr>
            <w:tcW w:type="dxa" w:w="1100"/>
            <w:shd w:fill="F4F6F9"/>
            <w:vAlign w:val="center"/>
          </w:tcPr>
          <w:p>
            <w:pPr>
              <w:jc w:val="center"/>
            </w:pPr>
            <w:r/>
            <w:r>
              <w:rPr>
                <w:rFonts w:ascii="Calibri" w:hAnsi="Calibri"/>
                <w:b/>
                <w:i w:val="0"/>
                <w:color w:val="0B2545"/>
                <w:sz w:val="12"/>
              </w:rPr>
              <w:t>MASE</w:t>
            </w:r>
          </w:p>
        </w:tc>
        <w:tc>
          <w:tcPr>
            <w:tcW w:type="dxa" w:w="1100"/>
            <w:shd w:fill="F4F6F9"/>
            <w:vAlign w:val="center"/>
          </w:tcPr>
          <w:p>
            <w:pPr>
              <w:jc w:val="center"/>
            </w:pPr>
            <w:r/>
            <w:r>
              <w:rPr>
                <w:rFonts w:ascii="Calibri" w:hAnsi="Calibri"/>
                <w:b/>
                <w:i w:val="0"/>
                <w:color w:val="0B2545"/>
                <w:sz w:val="12"/>
              </w:rPr>
              <w:t>MAPE</w:t>
            </w:r>
          </w:p>
        </w:tc>
        <w:tc>
          <w:tcPr>
            <w:tcW w:type="dxa" w:w="1100"/>
            <w:shd w:fill="F4F6F9"/>
            <w:vAlign w:val="center"/>
          </w:tcPr>
          <w:p>
            <w:pPr>
              <w:jc w:val="center"/>
            </w:pPr>
            <w:r/>
            <w:r>
              <w:rPr>
                <w:rFonts w:ascii="Calibri" w:hAnsi="Calibri"/>
                <w:b/>
                <w:i w:val="0"/>
                <w:color w:val="0B2545"/>
                <w:sz w:val="12"/>
              </w:rPr>
              <w:t>sMAPE</w:t>
            </w:r>
          </w:p>
        </w:tc>
        <w:tc>
          <w:tcPr>
            <w:tcW w:type="dxa" w:w="3149"/>
            <w:shd w:fill="F4F6F9"/>
            <w:vAlign w:val="center"/>
          </w:tcPr>
          <w:p>
            <w:pPr>
              <w:jc w:val="center"/>
            </w:pPr>
            <w:r/>
            <w:r>
              <w:rPr>
                <w:rFonts w:ascii="Calibri" w:hAnsi="Calibri"/>
                <w:b/>
                <w:i w:val="0"/>
                <w:color w:val="0B2545"/>
                <w:sz w:val="12"/>
              </w:rPr>
              <w:t>Directional Accuracy</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ARIMA</w:t>
            </w:r>
          </w:p>
        </w:tc>
        <w:tc>
          <w:tcPr>
            <w:tcW w:type="dxa" w:w="1729"/>
            <w:vAlign w:val="center"/>
          </w:tcPr>
          <w:p>
            <w:pPr>
              <w:spacing w:after="0" w:line="240" w:lineRule="auto"/>
              <w:jc w:val="center"/>
            </w:pPr>
            <w:r/>
            <w:r>
              <w:rPr>
                <w:rFonts w:ascii="Calibri" w:hAnsi="Calibri"/>
                <w:b w:val="0"/>
                <w:i w:val="0"/>
                <w:color w:val="000000"/>
                <w:sz w:val="12"/>
              </w:rPr>
              <w:t>3612.1970</w:t>
            </w:r>
          </w:p>
        </w:tc>
        <w:tc>
          <w:tcPr>
            <w:tcW w:type="dxa" w:w="1729"/>
            <w:vAlign w:val="center"/>
          </w:tcPr>
          <w:p>
            <w:pPr>
              <w:spacing w:after="0" w:line="240" w:lineRule="auto"/>
              <w:jc w:val="center"/>
            </w:pPr>
            <w:r/>
            <w:r>
              <w:rPr>
                <w:rFonts w:ascii="Calibri" w:hAnsi="Calibri"/>
                <w:b w:val="0"/>
                <w:i w:val="0"/>
                <w:color w:val="000000"/>
                <w:sz w:val="12"/>
              </w:rPr>
              <w:t>1827.0413</w:t>
            </w:r>
          </w:p>
        </w:tc>
        <w:tc>
          <w:tcPr>
            <w:tcW w:type="dxa" w:w="1100"/>
            <w:vAlign w:val="center"/>
          </w:tcPr>
          <w:p>
            <w:pPr>
              <w:spacing w:after="0" w:line="240" w:lineRule="auto"/>
              <w:jc w:val="center"/>
            </w:pPr>
            <w:r/>
            <w:r>
              <w:rPr>
                <w:rFonts w:ascii="Calibri" w:hAnsi="Calibri"/>
                <w:b w:val="0"/>
                <w:i w:val="0"/>
                <w:color w:val="000000"/>
                <w:sz w:val="12"/>
              </w:rPr>
              <w:t>0.9132</w:t>
            </w:r>
          </w:p>
        </w:tc>
        <w:tc>
          <w:tcPr>
            <w:tcW w:type="dxa" w:w="1100"/>
            <w:vAlign w:val="center"/>
          </w:tcPr>
          <w:p>
            <w:pPr>
              <w:spacing w:after="0" w:line="240" w:lineRule="auto"/>
              <w:jc w:val="center"/>
            </w:pPr>
            <w:r/>
            <w:r>
              <w:rPr>
                <w:rFonts w:ascii="Calibri" w:hAnsi="Calibri"/>
                <w:b w:val="0"/>
                <w:i w:val="0"/>
                <w:color w:val="000000"/>
                <w:sz w:val="12"/>
              </w:rPr>
              <w:t>1.43</w:t>
            </w:r>
          </w:p>
        </w:tc>
        <w:tc>
          <w:tcPr>
            <w:tcW w:type="dxa" w:w="1100"/>
            <w:vAlign w:val="center"/>
          </w:tcPr>
          <w:p>
            <w:pPr>
              <w:spacing w:after="0" w:line="240" w:lineRule="auto"/>
              <w:jc w:val="center"/>
            </w:pPr>
            <w:r/>
            <w:r>
              <w:rPr>
                <w:rFonts w:ascii="Calibri" w:hAnsi="Calibri"/>
                <w:b w:val="0"/>
                <w:i w:val="0"/>
                <w:color w:val="000000"/>
                <w:sz w:val="12"/>
              </w:rPr>
              <w:t>1.46</w:t>
            </w:r>
          </w:p>
        </w:tc>
        <w:tc>
          <w:tcPr>
            <w:tcW w:type="dxa" w:w="3149"/>
            <w:vAlign w:val="center"/>
          </w:tcPr>
          <w:p>
            <w:pPr>
              <w:spacing w:after="0" w:line="240" w:lineRule="auto"/>
              <w:jc w:val="center"/>
            </w:pPr>
            <w:r/>
            <w:r>
              <w:rPr>
                <w:rFonts w:ascii="Calibri" w:hAnsi="Calibri"/>
                <w:b w:val="0"/>
                <w:i w:val="0"/>
                <w:color w:val="000000"/>
                <w:sz w:val="12"/>
              </w:rPr>
              <w:t>69.63</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RF</w:t>
            </w:r>
          </w:p>
        </w:tc>
        <w:tc>
          <w:tcPr>
            <w:tcW w:type="dxa" w:w="1729"/>
            <w:vAlign w:val="center"/>
          </w:tcPr>
          <w:p>
            <w:pPr>
              <w:spacing w:after="0" w:line="240" w:lineRule="auto"/>
              <w:jc w:val="center"/>
            </w:pPr>
            <w:r/>
            <w:r>
              <w:rPr>
                <w:rFonts w:ascii="Calibri" w:hAnsi="Calibri"/>
                <w:b w:val="0"/>
                <w:i w:val="0"/>
                <w:color w:val="000000"/>
                <w:sz w:val="12"/>
              </w:rPr>
              <w:t>5380.3212</w:t>
            </w:r>
          </w:p>
        </w:tc>
        <w:tc>
          <w:tcPr>
            <w:tcW w:type="dxa" w:w="1729"/>
            <w:vAlign w:val="center"/>
          </w:tcPr>
          <w:p>
            <w:pPr>
              <w:spacing w:after="0" w:line="240" w:lineRule="auto"/>
              <w:jc w:val="center"/>
            </w:pPr>
            <w:r/>
            <w:r>
              <w:rPr>
                <w:rFonts w:ascii="Calibri" w:hAnsi="Calibri"/>
                <w:b w:val="0"/>
                <w:i w:val="0"/>
                <w:color w:val="000000"/>
                <w:sz w:val="12"/>
              </w:rPr>
              <w:t>3231.2770</w:t>
            </w:r>
          </w:p>
        </w:tc>
        <w:tc>
          <w:tcPr>
            <w:tcW w:type="dxa" w:w="1100"/>
            <w:vAlign w:val="center"/>
          </w:tcPr>
          <w:p>
            <w:pPr>
              <w:spacing w:after="0" w:line="240" w:lineRule="auto"/>
              <w:jc w:val="center"/>
            </w:pPr>
            <w:r/>
            <w:r>
              <w:rPr>
                <w:rFonts w:ascii="Calibri" w:hAnsi="Calibri"/>
                <w:b w:val="0"/>
                <w:i w:val="0"/>
                <w:color w:val="000000"/>
                <w:sz w:val="12"/>
              </w:rPr>
              <w:t>1.6150</w:t>
            </w:r>
          </w:p>
        </w:tc>
        <w:tc>
          <w:tcPr>
            <w:tcW w:type="dxa" w:w="1100"/>
            <w:vAlign w:val="center"/>
          </w:tcPr>
          <w:p>
            <w:pPr>
              <w:spacing w:after="0" w:line="240" w:lineRule="auto"/>
              <w:jc w:val="center"/>
            </w:pPr>
            <w:r/>
            <w:r>
              <w:rPr>
                <w:rFonts w:ascii="Calibri" w:hAnsi="Calibri"/>
                <w:b w:val="0"/>
                <w:i w:val="0"/>
                <w:color w:val="000000"/>
                <w:sz w:val="12"/>
              </w:rPr>
              <w:t>2.55</w:t>
            </w:r>
          </w:p>
        </w:tc>
        <w:tc>
          <w:tcPr>
            <w:tcW w:type="dxa" w:w="1100"/>
            <w:vAlign w:val="center"/>
          </w:tcPr>
          <w:p>
            <w:pPr>
              <w:spacing w:after="0" w:line="240" w:lineRule="auto"/>
              <w:jc w:val="center"/>
            </w:pPr>
            <w:r/>
            <w:r>
              <w:rPr>
                <w:rFonts w:ascii="Calibri" w:hAnsi="Calibri"/>
                <w:b w:val="0"/>
                <w:i w:val="0"/>
                <w:color w:val="000000"/>
                <w:sz w:val="12"/>
              </w:rPr>
              <w:t>2.59</w:t>
            </w:r>
          </w:p>
        </w:tc>
        <w:tc>
          <w:tcPr>
            <w:tcW w:type="dxa" w:w="3149"/>
            <w:vAlign w:val="center"/>
          </w:tcPr>
          <w:p>
            <w:pPr>
              <w:spacing w:after="0" w:line="240" w:lineRule="auto"/>
              <w:jc w:val="center"/>
            </w:pPr>
            <w:r/>
            <w:r>
              <w:rPr>
                <w:rFonts w:ascii="Calibri" w:hAnsi="Calibri"/>
                <w:b w:val="0"/>
                <w:i w:val="0"/>
                <w:color w:val="000000"/>
                <w:sz w:val="12"/>
              </w:rPr>
              <w:t>72.59</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LSTM</w:t>
            </w:r>
          </w:p>
        </w:tc>
        <w:tc>
          <w:tcPr>
            <w:tcW w:type="dxa" w:w="1729"/>
            <w:vAlign w:val="center"/>
          </w:tcPr>
          <w:p>
            <w:pPr>
              <w:spacing w:after="0" w:line="240" w:lineRule="auto"/>
              <w:jc w:val="center"/>
            </w:pPr>
            <w:r/>
            <w:r>
              <w:rPr>
                <w:rFonts w:ascii="Calibri" w:hAnsi="Calibri"/>
                <w:b w:val="0"/>
                <w:i w:val="0"/>
                <w:color w:val="000000"/>
                <w:sz w:val="12"/>
              </w:rPr>
              <w:t>11222.0126</w:t>
            </w:r>
          </w:p>
        </w:tc>
        <w:tc>
          <w:tcPr>
            <w:tcW w:type="dxa" w:w="1729"/>
            <w:vAlign w:val="center"/>
          </w:tcPr>
          <w:p>
            <w:pPr>
              <w:spacing w:after="0" w:line="240" w:lineRule="auto"/>
              <w:jc w:val="center"/>
            </w:pPr>
            <w:r/>
            <w:r>
              <w:rPr>
                <w:rFonts w:ascii="Calibri" w:hAnsi="Calibri"/>
                <w:b w:val="0"/>
                <w:i w:val="0"/>
                <w:color w:val="000000"/>
                <w:sz w:val="12"/>
              </w:rPr>
              <w:t>9516.7432</w:t>
            </w:r>
          </w:p>
        </w:tc>
        <w:tc>
          <w:tcPr>
            <w:tcW w:type="dxa" w:w="1100"/>
            <w:vAlign w:val="center"/>
          </w:tcPr>
          <w:p>
            <w:pPr>
              <w:spacing w:after="0" w:line="240" w:lineRule="auto"/>
              <w:jc w:val="center"/>
            </w:pPr>
            <w:r/>
            <w:r>
              <w:rPr>
                <w:rFonts w:ascii="Calibri" w:hAnsi="Calibri"/>
                <w:b w:val="0"/>
                <w:i w:val="0"/>
                <w:color w:val="000000"/>
                <w:sz w:val="12"/>
              </w:rPr>
              <w:t>4.7566</w:t>
            </w:r>
          </w:p>
        </w:tc>
        <w:tc>
          <w:tcPr>
            <w:tcW w:type="dxa" w:w="1100"/>
            <w:vAlign w:val="center"/>
          </w:tcPr>
          <w:p>
            <w:pPr>
              <w:spacing w:after="0" w:line="240" w:lineRule="auto"/>
              <w:jc w:val="center"/>
            </w:pPr>
            <w:r/>
            <w:r>
              <w:rPr>
                <w:rFonts w:ascii="Calibri" w:hAnsi="Calibri"/>
                <w:b w:val="0"/>
                <w:i w:val="0"/>
                <w:color w:val="000000"/>
                <w:sz w:val="12"/>
              </w:rPr>
              <w:t>9.56</w:t>
            </w:r>
          </w:p>
        </w:tc>
        <w:tc>
          <w:tcPr>
            <w:tcW w:type="dxa" w:w="1100"/>
            <w:vAlign w:val="center"/>
          </w:tcPr>
          <w:p>
            <w:pPr>
              <w:spacing w:after="0" w:line="240" w:lineRule="auto"/>
              <w:jc w:val="center"/>
            </w:pPr>
            <w:r/>
            <w:r>
              <w:rPr>
                <w:rFonts w:ascii="Calibri" w:hAnsi="Calibri"/>
                <w:b w:val="0"/>
                <w:i w:val="0"/>
                <w:color w:val="000000"/>
                <w:sz w:val="12"/>
              </w:rPr>
              <w:t>9.04</w:t>
            </w:r>
          </w:p>
        </w:tc>
        <w:tc>
          <w:tcPr>
            <w:tcW w:type="dxa" w:w="3149"/>
            <w:vAlign w:val="center"/>
          </w:tcPr>
          <w:p>
            <w:pPr>
              <w:spacing w:after="0" w:line="240" w:lineRule="auto"/>
              <w:jc w:val="center"/>
            </w:pPr>
            <w:r/>
            <w:r>
              <w:rPr>
                <w:rFonts w:ascii="Calibri" w:hAnsi="Calibri"/>
                <w:b w:val="0"/>
                <w:i w:val="0"/>
                <w:color w:val="000000"/>
                <w:sz w:val="12"/>
              </w:rPr>
              <w:t>54.81</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SVR</w:t>
            </w:r>
          </w:p>
        </w:tc>
        <w:tc>
          <w:tcPr>
            <w:tcW w:type="dxa" w:w="1729"/>
            <w:vAlign w:val="center"/>
          </w:tcPr>
          <w:p>
            <w:pPr>
              <w:spacing w:after="0" w:line="240" w:lineRule="auto"/>
              <w:jc w:val="center"/>
            </w:pPr>
            <w:r/>
            <w:r>
              <w:rPr>
                <w:rFonts w:ascii="Calibri" w:hAnsi="Calibri"/>
                <w:b w:val="0"/>
                <w:i w:val="0"/>
                <w:color w:val="000000"/>
                <w:sz w:val="12"/>
              </w:rPr>
              <w:t>24629.9992</w:t>
            </w:r>
          </w:p>
        </w:tc>
        <w:tc>
          <w:tcPr>
            <w:tcW w:type="dxa" w:w="1729"/>
            <w:vAlign w:val="center"/>
          </w:tcPr>
          <w:p>
            <w:pPr>
              <w:spacing w:after="0" w:line="240" w:lineRule="auto"/>
              <w:jc w:val="center"/>
            </w:pPr>
            <w:r/>
            <w:r>
              <w:rPr>
                <w:rFonts w:ascii="Calibri" w:hAnsi="Calibri"/>
                <w:b w:val="0"/>
                <w:i w:val="0"/>
                <w:color w:val="000000"/>
                <w:sz w:val="12"/>
              </w:rPr>
              <w:t>18864.5712</w:t>
            </w:r>
          </w:p>
        </w:tc>
        <w:tc>
          <w:tcPr>
            <w:tcW w:type="dxa" w:w="1100"/>
            <w:vAlign w:val="center"/>
          </w:tcPr>
          <w:p>
            <w:pPr>
              <w:spacing w:after="0" w:line="240" w:lineRule="auto"/>
              <w:jc w:val="center"/>
            </w:pPr>
            <w:r/>
            <w:r>
              <w:rPr>
                <w:rFonts w:ascii="Calibri" w:hAnsi="Calibri"/>
                <w:b w:val="0"/>
                <w:i w:val="0"/>
                <w:color w:val="000000"/>
                <w:sz w:val="12"/>
              </w:rPr>
              <w:t>9.4288</w:t>
            </w:r>
          </w:p>
        </w:tc>
        <w:tc>
          <w:tcPr>
            <w:tcW w:type="dxa" w:w="1100"/>
            <w:vAlign w:val="center"/>
          </w:tcPr>
          <w:p>
            <w:pPr>
              <w:spacing w:after="0" w:line="240" w:lineRule="auto"/>
              <w:jc w:val="center"/>
            </w:pPr>
            <w:r/>
            <w:r>
              <w:rPr>
                <w:rFonts w:ascii="Calibri" w:hAnsi="Calibri"/>
                <w:b w:val="0"/>
                <w:i w:val="0"/>
                <w:color w:val="000000"/>
                <w:sz w:val="12"/>
              </w:rPr>
              <w:t>21.87</w:t>
            </w:r>
          </w:p>
        </w:tc>
        <w:tc>
          <w:tcPr>
            <w:tcW w:type="dxa" w:w="1100"/>
            <w:vAlign w:val="center"/>
          </w:tcPr>
          <w:p>
            <w:pPr>
              <w:spacing w:after="0" w:line="240" w:lineRule="auto"/>
              <w:jc w:val="center"/>
            </w:pPr>
            <w:r/>
            <w:r>
              <w:rPr>
                <w:rFonts w:ascii="Calibri" w:hAnsi="Calibri"/>
                <w:b w:val="0"/>
                <w:i w:val="0"/>
                <w:color w:val="000000"/>
                <w:sz w:val="12"/>
              </w:rPr>
              <w:t>18.25</w:t>
            </w:r>
          </w:p>
        </w:tc>
        <w:tc>
          <w:tcPr>
            <w:tcW w:type="dxa" w:w="3149"/>
            <w:vAlign w:val="center"/>
          </w:tcPr>
          <w:p>
            <w:pPr>
              <w:spacing w:after="0" w:line="240" w:lineRule="auto"/>
              <w:jc w:val="center"/>
            </w:pPr>
            <w:r/>
            <w:r>
              <w:rPr>
                <w:rFonts w:ascii="Calibri" w:hAnsi="Calibri"/>
                <w:b w:val="0"/>
                <w:i w:val="0"/>
                <w:color w:val="000000"/>
                <w:sz w:val="12"/>
              </w:rPr>
              <w:t>56.30</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ELM</w:t>
            </w:r>
          </w:p>
        </w:tc>
        <w:tc>
          <w:tcPr>
            <w:tcW w:type="dxa" w:w="1729"/>
            <w:vAlign w:val="center"/>
          </w:tcPr>
          <w:p>
            <w:pPr>
              <w:spacing w:after="0" w:line="240" w:lineRule="auto"/>
              <w:jc w:val="center"/>
            </w:pPr>
            <w:r/>
            <w:r>
              <w:rPr>
                <w:rFonts w:ascii="Calibri" w:hAnsi="Calibri"/>
                <w:b w:val="0"/>
                <w:i w:val="0"/>
                <w:color w:val="000000"/>
                <w:sz w:val="12"/>
              </w:rPr>
              <w:t>41457.7667</w:t>
            </w:r>
          </w:p>
        </w:tc>
        <w:tc>
          <w:tcPr>
            <w:tcW w:type="dxa" w:w="1729"/>
            <w:vAlign w:val="center"/>
          </w:tcPr>
          <w:p>
            <w:pPr>
              <w:spacing w:after="0" w:line="240" w:lineRule="auto"/>
              <w:jc w:val="center"/>
            </w:pPr>
            <w:r/>
            <w:r>
              <w:rPr>
                <w:rFonts w:ascii="Calibri" w:hAnsi="Calibri"/>
                <w:b w:val="0"/>
                <w:i w:val="0"/>
                <w:color w:val="000000"/>
                <w:sz w:val="12"/>
              </w:rPr>
              <w:t>34950.9727</w:t>
            </w:r>
          </w:p>
        </w:tc>
        <w:tc>
          <w:tcPr>
            <w:tcW w:type="dxa" w:w="1100"/>
            <w:vAlign w:val="center"/>
          </w:tcPr>
          <w:p>
            <w:pPr>
              <w:spacing w:after="0" w:line="240" w:lineRule="auto"/>
              <w:jc w:val="center"/>
            </w:pPr>
            <w:r/>
            <w:r>
              <w:rPr>
                <w:rFonts w:ascii="Calibri" w:hAnsi="Calibri"/>
                <w:b w:val="0"/>
                <w:i w:val="0"/>
                <w:color w:val="000000"/>
                <w:sz w:val="12"/>
              </w:rPr>
              <w:t>17.4690</w:t>
            </w:r>
          </w:p>
        </w:tc>
        <w:tc>
          <w:tcPr>
            <w:tcW w:type="dxa" w:w="1100"/>
            <w:vAlign w:val="center"/>
          </w:tcPr>
          <w:p>
            <w:pPr>
              <w:spacing w:after="0" w:line="240" w:lineRule="auto"/>
              <w:jc w:val="center"/>
            </w:pPr>
            <w:r/>
            <w:r>
              <w:rPr>
                <w:rFonts w:ascii="Calibri" w:hAnsi="Calibri"/>
                <w:b w:val="0"/>
                <w:i w:val="0"/>
                <w:color w:val="000000"/>
                <w:sz w:val="12"/>
              </w:rPr>
              <w:t>36.01</w:t>
            </w:r>
          </w:p>
        </w:tc>
        <w:tc>
          <w:tcPr>
            <w:tcW w:type="dxa" w:w="1100"/>
            <w:vAlign w:val="center"/>
          </w:tcPr>
          <w:p>
            <w:pPr>
              <w:spacing w:after="0" w:line="240" w:lineRule="auto"/>
              <w:jc w:val="center"/>
            </w:pPr>
            <w:r/>
            <w:r>
              <w:rPr>
                <w:rFonts w:ascii="Calibri" w:hAnsi="Calibri"/>
                <w:b w:val="0"/>
                <w:i w:val="0"/>
                <w:color w:val="000000"/>
                <w:sz w:val="12"/>
              </w:rPr>
              <w:t>28.29</w:t>
            </w:r>
          </w:p>
        </w:tc>
        <w:tc>
          <w:tcPr>
            <w:tcW w:type="dxa" w:w="3149"/>
            <w:vAlign w:val="center"/>
          </w:tcPr>
          <w:p>
            <w:pPr>
              <w:spacing w:after="0" w:line="240" w:lineRule="auto"/>
              <w:jc w:val="center"/>
            </w:pPr>
            <w:r/>
            <w:r>
              <w:rPr>
                <w:rFonts w:ascii="Calibri" w:hAnsi="Calibri"/>
                <w:b w:val="0"/>
                <w:i w:val="0"/>
                <w:color w:val="000000"/>
                <w:sz w:val="12"/>
              </w:rPr>
              <w:t>58.52</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MLP</w:t>
            </w:r>
          </w:p>
        </w:tc>
        <w:tc>
          <w:tcPr>
            <w:tcW w:type="dxa" w:w="1729"/>
            <w:vAlign w:val="center"/>
          </w:tcPr>
          <w:p>
            <w:pPr>
              <w:spacing w:after="0" w:line="240" w:lineRule="auto"/>
              <w:jc w:val="center"/>
            </w:pPr>
            <w:r/>
            <w:r>
              <w:rPr>
                <w:rFonts w:ascii="Calibri" w:hAnsi="Calibri"/>
                <w:b w:val="0"/>
                <w:i w:val="0"/>
                <w:color w:val="000000"/>
                <w:sz w:val="12"/>
              </w:rPr>
              <w:t>45712.4002</w:t>
            </w:r>
          </w:p>
        </w:tc>
        <w:tc>
          <w:tcPr>
            <w:tcW w:type="dxa" w:w="1729"/>
            <w:vAlign w:val="center"/>
          </w:tcPr>
          <w:p>
            <w:pPr>
              <w:spacing w:after="0" w:line="240" w:lineRule="auto"/>
              <w:jc w:val="center"/>
            </w:pPr>
            <w:r/>
            <w:r>
              <w:rPr>
                <w:rFonts w:ascii="Calibri" w:hAnsi="Calibri"/>
                <w:b w:val="0"/>
                <w:i w:val="0"/>
                <w:color w:val="000000"/>
                <w:sz w:val="12"/>
              </w:rPr>
              <w:t>37502.1294</w:t>
            </w:r>
          </w:p>
        </w:tc>
        <w:tc>
          <w:tcPr>
            <w:tcW w:type="dxa" w:w="1100"/>
            <w:vAlign w:val="center"/>
          </w:tcPr>
          <w:p>
            <w:pPr>
              <w:spacing w:after="0" w:line="240" w:lineRule="auto"/>
              <w:jc w:val="center"/>
            </w:pPr>
            <w:r/>
            <w:r>
              <w:rPr>
                <w:rFonts w:ascii="Calibri" w:hAnsi="Calibri"/>
                <w:b w:val="0"/>
                <w:i w:val="0"/>
                <w:color w:val="000000"/>
                <w:sz w:val="12"/>
              </w:rPr>
              <w:t>18.7441</w:t>
            </w:r>
          </w:p>
        </w:tc>
        <w:tc>
          <w:tcPr>
            <w:tcW w:type="dxa" w:w="1100"/>
            <w:vAlign w:val="center"/>
          </w:tcPr>
          <w:p>
            <w:pPr>
              <w:spacing w:after="0" w:line="240" w:lineRule="auto"/>
              <w:jc w:val="center"/>
            </w:pPr>
            <w:r/>
            <w:r>
              <w:rPr>
                <w:rFonts w:ascii="Calibri" w:hAnsi="Calibri"/>
                <w:b w:val="0"/>
                <w:i w:val="0"/>
                <w:color w:val="000000"/>
                <w:sz w:val="12"/>
              </w:rPr>
              <w:t>40.06</w:t>
            </w:r>
          </w:p>
        </w:tc>
        <w:tc>
          <w:tcPr>
            <w:tcW w:type="dxa" w:w="1100"/>
            <w:vAlign w:val="center"/>
          </w:tcPr>
          <w:p>
            <w:pPr>
              <w:spacing w:after="0" w:line="240" w:lineRule="auto"/>
              <w:jc w:val="center"/>
            </w:pPr>
            <w:r/>
            <w:r>
              <w:rPr>
                <w:rFonts w:ascii="Calibri" w:hAnsi="Calibri"/>
                <w:b w:val="0"/>
                <w:i w:val="0"/>
                <w:color w:val="000000"/>
                <w:sz w:val="12"/>
              </w:rPr>
              <w:t>30.61</w:t>
            </w:r>
          </w:p>
        </w:tc>
        <w:tc>
          <w:tcPr>
            <w:tcW w:type="dxa" w:w="3149"/>
            <w:vAlign w:val="center"/>
          </w:tcPr>
          <w:p>
            <w:pPr>
              <w:spacing w:after="0" w:line="240" w:lineRule="auto"/>
              <w:jc w:val="center"/>
            </w:pPr>
            <w:r/>
            <w:r>
              <w:rPr>
                <w:rFonts w:ascii="Calibri" w:hAnsi="Calibri"/>
                <w:b w:val="0"/>
                <w:i w:val="0"/>
                <w:color w:val="000000"/>
                <w:sz w:val="12"/>
              </w:rPr>
              <w:t>48.15</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ES</w:t>
            </w:r>
          </w:p>
        </w:tc>
        <w:tc>
          <w:tcPr>
            <w:tcW w:type="dxa" w:w="1729"/>
            <w:vAlign w:val="center"/>
          </w:tcPr>
          <w:p>
            <w:pPr>
              <w:spacing w:after="0" w:line="240" w:lineRule="auto"/>
              <w:jc w:val="center"/>
            </w:pPr>
            <w:r/>
            <w:r>
              <w:rPr>
                <w:rFonts w:ascii="Calibri" w:hAnsi="Calibri"/>
                <w:b w:val="0"/>
                <w:i w:val="0"/>
                <w:color w:val="000000"/>
                <w:sz w:val="12"/>
              </w:rPr>
              <w:t>200226.2914</w:t>
            </w:r>
          </w:p>
        </w:tc>
        <w:tc>
          <w:tcPr>
            <w:tcW w:type="dxa" w:w="1729"/>
            <w:vAlign w:val="center"/>
          </w:tcPr>
          <w:p>
            <w:pPr>
              <w:spacing w:after="0" w:line="240" w:lineRule="auto"/>
              <w:jc w:val="center"/>
            </w:pPr>
            <w:r/>
            <w:r>
              <w:rPr>
                <w:rFonts w:ascii="Calibri" w:hAnsi="Calibri"/>
                <w:b w:val="0"/>
                <w:i w:val="0"/>
                <w:color w:val="000000"/>
                <w:sz w:val="12"/>
              </w:rPr>
              <w:t>180239.9823</w:t>
            </w:r>
          </w:p>
        </w:tc>
        <w:tc>
          <w:tcPr>
            <w:tcW w:type="dxa" w:w="1100"/>
            <w:vAlign w:val="center"/>
          </w:tcPr>
          <w:p>
            <w:pPr>
              <w:spacing w:after="0" w:line="240" w:lineRule="auto"/>
              <w:jc w:val="center"/>
            </w:pPr>
            <w:r/>
            <w:r>
              <w:rPr>
                <w:rFonts w:ascii="Calibri" w:hAnsi="Calibri"/>
                <w:b w:val="0"/>
                <w:i w:val="0"/>
                <w:color w:val="000000"/>
                <w:sz w:val="12"/>
              </w:rPr>
              <w:t>90.0866</w:t>
            </w:r>
          </w:p>
        </w:tc>
        <w:tc>
          <w:tcPr>
            <w:tcW w:type="dxa" w:w="1100"/>
            <w:vAlign w:val="center"/>
          </w:tcPr>
          <w:p>
            <w:pPr>
              <w:spacing w:after="0" w:line="240" w:lineRule="auto"/>
              <w:jc w:val="center"/>
            </w:pPr>
            <w:r/>
            <w:r>
              <w:rPr>
                <w:rFonts w:ascii="Calibri" w:hAnsi="Calibri"/>
                <w:b w:val="0"/>
                <w:i w:val="0"/>
                <w:color w:val="000000"/>
                <w:sz w:val="12"/>
              </w:rPr>
              <w:t>165.22</w:t>
            </w:r>
          </w:p>
        </w:tc>
        <w:tc>
          <w:tcPr>
            <w:tcW w:type="dxa" w:w="1100"/>
            <w:vAlign w:val="center"/>
          </w:tcPr>
          <w:p>
            <w:pPr>
              <w:spacing w:after="0" w:line="240" w:lineRule="auto"/>
              <w:jc w:val="center"/>
            </w:pPr>
            <w:r/>
            <w:r>
              <w:rPr>
                <w:rFonts w:ascii="Calibri" w:hAnsi="Calibri"/>
                <w:b w:val="0"/>
                <w:i w:val="0"/>
                <w:color w:val="000000"/>
                <w:sz w:val="12"/>
              </w:rPr>
              <w:t>86.50</w:t>
            </w:r>
          </w:p>
        </w:tc>
        <w:tc>
          <w:tcPr>
            <w:tcW w:type="dxa" w:w="3149"/>
            <w:vAlign w:val="center"/>
          </w:tcPr>
          <w:p>
            <w:pPr>
              <w:spacing w:after="0" w:line="240" w:lineRule="auto"/>
              <w:jc w:val="center"/>
            </w:pPr>
            <w:r/>
            <w:r>
              <w:rPr>
                <w:rFonts w:ascii="Calibri" w:hAnsi="Calibri"/>
                <w:b w:val="0"/>
                <w:i w:val="0"/>
                <w:color w:val="000000"/>
                <w:sz w:val="12"/>
              </w:rPr>
              <w:t>54.07</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ARIMA</w:t>
            </w:r>
          </w:p>
        </w:tc>
        <w:tc>
          <w:tcPr>
            <w:tcW w:type="dxa" w:w="1729"/>
            <w:vAlign w:val="center"/>
          </w:tcPr>
          <w:p>
            <w:pPr>
              <w:spacing w:after="0" w:line="240" w:lineRule="auto"/>
              <w:jc w:val="center"/>
            </w:pPr>
            <w:r/>
            <w:r>
              <w:rPr>
                <w:rFonts w:ascii="Calibri" w:hAnsi="Calibri"/>
                <w:b w:val="0"/>
                <w:i w:val="0"/>
                <w:color w:val="000000"/>
                <w:sz w:val="12"/>
              </w:rPr>
              <w:t>0.6437</w:t>
            </w:r>
          </w:p>
        </w:tc>
        <w:tc>
          <w:tcPr>
            <w:tcW w:type="dxa" w:w="1729"/>
            <w:vAlign w:val="center"/>
          </w:tcPr>
          <w:p>
            <w:pPr>
              <w:spacing w:after="0" w:line="240" w:lineRule="auto"/>
              <w:jc w:val="center"/>
            </w:pPr>
            <w:r/>
            <w:r>
              <w:rPr>
                <w:rFonts w:ascii="Calibri" w:hAnsi="Calibri"/>
                <w:b w:val="0"/>
                <w:i w:val="0"/>
                <w:color w:val="000000"/>
                <w:sz w:val="12"/>
              </w:rPr>
              <w:t>0.2395</w:t>
            </w:r>
          </w:p>
        </w:tc>
        <w:tc>
          <w:tcPr>
            <w:tcW w:type="dxa" w:w="1100"/>
            <w:vAlign w:val="center"/>
          </w:tcPr>
          <w:p>
            <w:pPr>
              <w:spacing w:after="0" w:line="240" w:lineRule="auto"/>
              <w:jc w:val="center"/>
            </w:pPr>
            <w:r/>
            <w:r>
              <w:rPr>
                <w:rFonts w:ascii="Calibri" w:hAnsi="Calibri"/>
                <w:b w:val="0"/>
                <w:i w:val="0"/>
                <w:color w:val="000000"/>
                <w:sz w:val="12"/>
              </w:rPr>
              <w:t>1.3159</w:t>
            </w:r>
          </w:p>
        </w:tc>
        <w:tc>
          <w:tcPr>
            <w:tcW w:type="dxa" w:w="1100"/>
            <w:vAlign w:val="center"/>
          </w:tcPr>
          <w:p>
            <w:pPr>
              <w:spacing w:after="0" w:line="240" w:lineRule="auto"/>
              <w:jc w:val="center"/>
            </w:pPr>
            <w:r/>
            <w:r>
              <w:rPr>
                <w:rFonts w:ascii="Calibri" w:hAnsi="Calibri"/>
                <w:b w:val="0"/>
                <w:i w:val="0"/>
                <w:color w:val="000000"/>
                <w:sz w:val="12"/>
              </w:rPr>
              <w:t>1.76</w:t>
            </w:r>
          </w:p>
        </w:tc>
        <w:tc>
          <w:tcPr>
            <w:tcW w:type="dxa" w:w="1100"/>
            <w:vAlign w:val="center"/>
          </w:tcPr>
          <w:p>
            <w:pPr>
              <w:spacing w:after="0" w:line="240" w:lineRule="auto"/>
              <w:jc w:val="center"/>
            </w:pPr>
            <w:r/>
            <w:r>
              <w:rPr>
                <w:rFonts w:ascii="Calibri" w:hAnsi="Calibri"/>
                <w:b w:val="0"/>
                <w:i w:val="0"/>
                <w:color w:val="000000"/>
                <w:sz w:val="12"/>
              </w:rPr>
              <w:t>1.92</w:t>
            </w:r>
          </w:p>
        </w:tc>
        <w:tc>
          <w:tcPr>
            <w:tcW w:type="dxa" w:w="3149"/>
            <w:vAlign w:val="center"/>
          </w:tcPr>
          <w:p>
            <w:pPr>
              <w:spacing w:after="0" w:line="240" w:lineRule="auto"/>
              <w:jc w:val="center"/>
            </w:pPr>
            <w:r/>
            <w:r>
              <w:rPr>
                <w:rFonts w:ascii="Calibri" w:hAnsi="Calibri"/>
                <w:b w:val="0"/>
                <w:i w:val="0"/>
                <w:color w:val="000000"/>
                <w:sz w:val="12"/>
              </w:rPr>
              <w:t>29.29</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ELM</w:t>
            </w:r>
          </w:p>
        </w:tc>
        <w:tc>
          <w:tcPr>
            <w:tcW w:type="dxa" w:w="1729"/>
            <w:vAlign w:val="center"/>
          </w:tcPr>
          <w:p>
            <w:pPr>
              <w:spacing w:after="0" w:line="240" w:lineRule="auto"/>
              <w:jc w:val="center"/>
            </w:pPr>
            <w:r/>
            <w:r>
              <w:rPr>
                <w:rFonts w:ascii="Calibri" w:hAnsi="Calibri"/>
                <w:b w:val="0"/>
                <w:i w:val="0"/>
                <w:color w:val="000000"/>
                <w:sz w:val="12"/>
              </w:rPr>
              <w:t>0.6542</w:t>
            </w:r>
          </w:p>
        </w:tc>
        <w:tc>
          <w:tcPr>
            <w:tcW w:type="dxa" w:w="1729"/>
            <w:vAlign w:val="center"/>
          </w:tcPr>
          <w:p>
            <w:pPr>
              <w:spacing w:after="0" w:line="240" w:lineRule="auto"/>
              <w:jc w:val="center"/>
            </w:pPr>
            <w:r/>
            <w:r>
              <w:rPr>
                <w:rFonts w:ascii="Calibri" w:hAnsi="Calibri"/>
                <w:b w:val="0"/>
                <w:i w:val="0"/>
                <w:color w:val="000000"/>
                <w:sz w:val="12"/>
              </w:rPr>
              <w:t>0.2573</w:t>
            </w:r>
          </w:p>
        </w:tc>
        <w:tc>
          <w:tcPr>
            <w:tcW w:type="dxa" w:w="1100"/>
            <w:vAlign w:val="center"/>
          </w:tcPr>
          <w:p>
            <w:pPr>
              <w:spacing w:after="0" w:line="240" w:lineRule="auto"/>
              <w:jc w:val="center"/>
            </w:pPr>
            <w:r/>
            <w:r>
              <w:rPr>
                <w:rFonts w:ascii="Calibri" w:hAnsi="Calibri"/>
                <w:b w:val="0"/>
                <w:i w:val="0"/>
                <w:color w:val="000000"/>
                <w:sz w:val="12"/>
              </w:rPr>
              <w:t>1.4138</w:t>
            </w:r>
          </w:p>
        </w:tc>
        <w:tc>
          <w:tcPr>
            <w:tcW w:type="dxa" w:w="1100"/>
            <w:vAlign w:val="center"/>
          </w:tcPr>
          <w:p>
            <w:pPr>
              <w:spacing w:after="0" w:line="240" w:lineRule="auto"/>
              <w:jc w:val="center"/>
            </w:pPr>
            <w:r/>
            <w:r>
              <w:rPr>
                <w:rFonts w:ascii="Calibri" w:hAnsi="Calibri"/>
                <w:b w:val="0"/>
                <w:i w:val="0"/>
                <w:color w:val="000000"/>
                <w:sz w:val="12"/>
              </w:rPr>
              <w:t>1.71</w:t>
            </w:r>
          </w:p>
        </w:tc>
        <w:tc>
          <w:tcPr>
            <w:tcW w:type="dxa" w:w="1100"/>
            <w:vAlign w:val="center"/>
          </w:tcPr>
          <w:p>
            <w:pPr>
              <w:spacing w:after="0" w:line="240" w:lineRule="auto"/>
              <w:jc w:val="center"/>
            </w:pPr>
            <w:r/>
            <w:r>
              <w:rPr>
                <w:rFonts w:ascii="Calibri" w:hAnsi="Calibri"/>
                <w:b w:val="0"/>
                <w:i w:val="0"/>
                <w:color w:val="000000"/>
                <w:sz w:val="12"/>
              </w:rPr>
              <w:t>1.79</w:t>
            </w:r>
          </w:p>
        </w:tc>
        <w:tc>
          <w:tcPr>
            <w:tcW w:type="dxa" w:w="3149"/>
            <w:vAlign w:val="center"/>
          </w:tcPr>
          <w:p>
            <w:pPr>
              <w:spacing w:after="0" w:line="240" w:lineRule="auto"/>
              <w:jc w:val="center"/>
            </w:pPr>
            <w:r/>
            <w:r>
              <w:rPr>
                <w:rFonts w:ascii="Calibri" w:hAnsi="Calibri"/>
                <w:b w:val="0"/>
                <w:i w:val="0"/>
                <w:color w:val="000000"/>
                <w:sz w:val="12"/>
              </w:rPr>
              <w:t>28.57</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MLP</w:t>
            </w:r>
          </w:p>
        </w:tc>
        <w:tc>
          <w:tcPr>
            <w:tcW w:type="dxa" w:w="1729"/>
            <w:vAlign w:val="center"/>
          </w:tcPr>
          <w:p>
            <w:pPr>
              <w:spacing w:after="0" w:line="240" w:lineRule="auto"/>
              <w:jc w:val="center"/>
            </w:pPr>
            <w:r/>
            <w:r>
              <w:rPr>
                <w:rFonts w:ascii="Calibri" w:hAnsi="Calibri"/>
                <w:b w:val="0"/>
                <w:i w:val="0"/>
                <w:color w:val="000000"/>
                <w:sz w:val="12"/>
              </w:rPr>
              <w:t>0.6766</w:t>
            </w:r>
          </w:p>
        </w:tc>
        <w:tc>
          <w:tcPr>
            <w:tcW w:type="dxa" w:w="1729"/>
            <w:vAlign w:val="center"/>
          </w:tcPr>
          <w:p>
            <w:pPr>
              <w:spacing w:after="0" w:line="240" w:lineRule="auto"/>
              <w:jc w:val="center"/>
            </w:pPr>
            <w:r/>
            <w:r>
              <w:rPr>
                <w:rFonts w:ascii="Calibri" w:hAnsi="Calibri"/>
                <w:b w:val="0"/>
                <w:i w:val="0"/>
                <w:color w:val="000000"/>
                <w:sz w:val="12"/>
              </w:rPr>
              <w:t>0.4589</w:t>
            </w:r>
          </w:p>
        </w:tc>
        <w:tc>
          <w:tcPr>
            <w:tcW w:type="dxa" w:w="1100"/>
            <w:vAlign w:val="center"/>
          </w:tcPr>
          <w:p>
            <w:pPr>
              <w:spacing w:after="0" w:line="240" w:lineRule="auto"/>
              <w:jc w:val="center"/>
            </w:pPr>
            <w:r/>
            <w:r>
              <w:rPr>
                <w:rFonts w:ascii="Calibri" w:hAnsi="Calibri"/>
                <w:b w:val="0"/>
                <w:i w:val="0"/>
                <w:color w:val="000000"/>
                <w:sz w:val="12"/>
              </w:rPr>
              <w:t>2.5212</w:t>
            </w:r>
          </w:p>
        </w:tc>
        <w:tc>
          <w:tcPr>
            <w:tcW w:type="dxa" w:w="1100"/>
            <w:vAlign w:val="center"/>
          </w:tcPr>
          <w:p>
            <w:pPr>
              <w:spacing w:after="0" w:line="240" w:lineRule="auto"/>
              <w:jc w:val="center"/>
            </w:pPr>
            <w:r/>
            <w:r>
              <w:rPr>
                <w:rFonts w:ascii="Calibri" w:hAnsi="Calibri"/>
                <w:b w:val="0"/>
                <w:i w:val="0"/>
                <w:color w:val="000000"/>
                <w:sz w:val="12"/>
              </w:rPr>
              <w:t>3.52</w:t>
            </w:r>
          </w:p>
        </w:tc>
        <w:tc>
          <w:tcPr>
            <w:tcW w:type="dxa" w:w="1100"/>
            <w:vAlign w:val="center"/>
          </w:tcPr>
          <w:p>
            <w:pPr>
              <w:spacing w:after="0" w:line="240" w:lineRule="auto"/>
              <w:jc w:val="center"/>
            </w:pPr>
            <w:r/>
            <w:r>
              <w:rPr>
                <w:rFonts w:ascii="Calibri" w:hAnsi="Calibri"/>
                <w:b w:val="0"/>
                <w:i w:val="0"/>
                <w:color w:val="000000"/>
                <w:sz w:val="12"/>
              </w:rPr>
              <w:t>3.54</w:t>
            </w:r>
          </w:p>
        </w:tc>
        <w:tc>
          <w:tcPr>
            <w:tcW w:type="dxa" w:w="3149"/>
            <w:vAlign w:val="center"/>
          </w:tcPr>
          <w:p>
            <w:pPr>
              <w:spacing w:after="0" w:line="240" w:lineRule="auto"/>
              <w:jc w:val="center"/>
            </w:pPr>
            <w:r/>
            <w:r>
              <w:rPr>
                <w:rFonts w:ascii="Calibri" w:hAnsi="Calibri"/>
                <w:b w:val="0"/>
                <w:i w:val="0"/>
                <w:color w:val="000000"/>
                <w:sz w:val="12"/>
              </w:rPr>
              <w:t>35.00</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SVR</w:t>
            </w:r>
          </w:p>
        </w:tc>
        <w:tc>
          <w:tcPr>
            <w:tcW w:type="dxa" w:w="1729"/>
            <w:vAlign w:val="center"/>
          </w:tcPr>
          <w:p>
            <w:pPr>
              <w:spacing w:after="0" w:line="240" w:lineRule="auto"/>
              <w:jc w:val="center"/>
            </w:pPr>
            <w:r/>
            <w:r>
              <w:rPr>
                <w:rFonts w:ascii="Calibri" w:hAnsi="Calibri"/>
                <w:b w:val="0"/>
                <w:i w:val="0"/>
                <w:color w:val="000000"/>
                <w:sz w:val="12"/>
              </w:rPr>
              <w:t>0.7060</w:t>
            </w:r>
          </w:p>
        </w:tc>
        <w:tc>
          <w:tcPr>
            <w:tcW w:type="dxa" w:w="1729"/>
            <w:vAlign w:val="center"/>
          </w:tcPr>
          <w:p>
            <w:pPr>
              <w:spacing w:after="0" w:line="240" w:lineRule="auto"/>
              <w:jc w:val="center"/>
            </w:pPr>
            <w:r/>
            <w:r>
              <w:rPr>
                <w:rFonts w:ascii="Calibri" w:hAnsi="Calibri"/>
                <w:b w:val="0"/>
                <w:i w:val="0"/>
                <w:color w:val="000000"/>
                <w:sz w:val="12"/>
              </w:rPr>
              <w:t>0.5847</w:t>
            </w:r>
          </w:p>
        </w:tc>
        <w:tc>
          <w:tcPr>
            <w:tcW w:type="dxa" w:w="1100"/>
            <w:vAlign w:val="center"/>
          </w:tcPr>
          <w:p>
            <w:pPr>
              <w:spacing w:after="0" w:line="240" w:lineRule="auto"/>
              <w:jc w:val="center"/>
            </w:pPr>
            <w:r/>
            <w:r>
              <w:rPr>
                <w:rFonts w:ascii="Calibri" w:hAnsi="Calibri"/>
                <w:b w:val="0"/>
                <w:i w:val="0"/>
                <w:color w:val="000000"/>
                <w:sz w:val="12"/>
              </w:rPr>
              <w:t>3.2129</w:t>
            </w:r>
          </w:p>
        </w:tc>
        <w:tc>
          <w:tcPr>
            <w:tcW w:type="dxa" w:w="1100"/>
            <w:vAlign w:val="center"/>
          </w:tcPr>
          <w:p>
            <w:pPr>
              <w:spacing w:after="0" w:line="240" w:lineRule="auto"/>
              <w:jc w:val="center"/>
            </w:pPr>
            <w:r/>
            <w:r>
              <w:rPr>
                <w:rFonts w:ascii="Calibri" w:hAnsi="Calibri"/>
                <w:b w:val="0"/>
                <w:i w:val="0"/>
                <w:color w:val="000000"/>
                <w:sz w:val="12"/>
              </w:rPr>
              <w:t>4.95</w:t>
            </w:r>
          </w:p>
        </w:tc>
        <w:tc>
          <w:tcPr>
            <w:tcW w:type="dxa" w:w="1100"/>
            <w:vAlign w:val="center"/>
          </w:tcPr>
          <w:p>
            <w:pPr>
              <w:spacing w:after="0" w:line="240" w:lineRule="auto"/>
              <w:jc w:val="center"/>
            </w:pPr>
            <w:r/>
            <w:r>
              <w:rPr>
                <w:rFonts w:ascii="Calibri" w:hAnsi="Calibri"/>
                <w:b w:val="0"/>
                <w:i w:val="0"/>
                <w:color w:val="000000"/>
                <w:sz w:val="12"/>
              </w:rPr>
              <w:t>4.83</w:t>
            </w:r>
          </w:p>
        </w:tc>
        <w:tc>
          <w:tcPr>
            <w:tcW w:type="dxa" w:w="3149"/>
            <w:vAlign w:val="center"/>
          </w:tcPr>
          <w:p>
            <w:pPr>
              <w:spacing w:after="0" w:line="240" w:lineRule="auto"/>
              <w:jc w:val="center"/>
            </w:pPr>
            <w:r/>
            <w:r>
              <w:rPr>
                <w:rFonts w:ascii="Calibri" w:hAnsi="Calibri"/>
                <w:b w:val="0"/>
                <w:i w:val="0"/>
                <w:color w:val="000000"/>
                <w:sz w:val="12"/>
              </w:rPr>
              <w:t>38.57</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LSTM</w:t>
            </w:r>
          </w:p>
        </w:tc>
        <w:tc>
          <w:tcPr>
            <w:tcW w:type="dxa" w:w="1729"/>
            <w:vAlign w:val="center"/>
          </w:tcPr>
          <w:p>
            <w:pPr>
              <w:spacing w:after="0" w:line="240" w:lineRule="auto"/>
              <w:jc w:val="center"/>
            </w:pPr>
            <w:r/>
            <w:r>
              <w:rPr>
                <w:rFonts w:ascii="Calibri" w:hAnsi="Calibri"/>
                <w:b w:val="0"/>
                <w:i w:val="0"/>
                <w:color w:val="000000"/>
                <w:sz w:val="12"/>
              </w:rPr>
              <w:t>0.7220</w:t>
            </w:r>
          </w:p>
        </w:tc>
        <w:tc>
          <w:tcPr>
            <w:tcW w:type="dxa" w:w="1729"/>
            <w:vAlign w:val="center"/>
          </w:tcPr>
          <w:p>
            <w:pPr>
              <w:spacing w:after="0" w:line="240" w:lineRule="auto"/>
              <w:jc w:val="center"/>
            </w:pPr>
            <w:r/>
            <w:r>
              <w:rPr>
                <w:rFonts w:ascii="Calibri" w:hAnsi="Calibri"/>
                <w:b w:val="0"/>
                <w:i w:val="0"/>
                <w:color w:val="000000"/>
                <w:sz w:val="12"/>
              </w:rPr>
              <w:t>0.4668</w:t>
            </w:r>
          </w:p>
        </w:tc>
        <w:tc>
          <w:tcPr>
            <w:tcW w:type="dxa" w:w="1100"/>
            <w:vAlign w:val="center"/>
          </w:tcPr>
          <w:p>
            <w:pPr>
              <w:spacing w:after="0" w:line="240" w:lineRule="auto"/>
              <w:jc w:val="center"/>
            </w:pPr>
            <w:r/>
            <w:r>
              <w:rPr>
                <w:rFonts w:ascii="Calibri" w:hAnsi="Calibri"/>
                <w:b w:val="0"/>
                <w:i w:val="0"/>
                <w:color w:val="000000"/>
                <w:sz w:val="12"/>
              </w:rPr>
              <w:t>2.5646</w:t>
            </w:r>
          </w:p>
        </w:tc>
        <w:tc>
          <w:tcPr>
            <w:tcW w:type="dxa" w:w="1100"/>
            <w:vAlign w:val="center"/>
          </w:tcPr>
          <w:p>
            <w:pPr>
              <w:spacing w:after="0" w:line="240" w:lineRule="auto"/>
              <w:jc w:val="center"/>
            </w:pPr>
            <w:r/>
            <w:r>
              <w:rPr>
                <w:rFonts w:ascii="Calibri" w:hAnsi="Calibri"/>
                <w:b w:val="0"/>
                <w:i w:val="0"/>
                <w:color w:val="000000"/>
                <w:sz w:val="12"/>
              </w:rPr>
              <w:t>3.46</w:t>
            </w:r>
          </w:p>
        </w:tc>
        <w:tc>
          <w:tcPr>
            <w:tcW w:type="dxa" w:w="1100"/>
            <w:vAlign w:val="center"/>
          </w:tcPr>
          <w:p>
            <w:pPr>
              <w:spacing w:after="0" w:line="240" w:lineRule="auto"/>
              <w:jc w:val="center"/>
            </w:pPr>
            <w:r/>
            <w:r>
              <w:rPr>
                <w:rFonts w:ascii="Calibri" w:hAnsi="Calibri"/>
                <w:b w:val="0"/>
                <w:i w:val="0"/>
                <w:color w:val="000000"/>
                <w:sz w:val="12"/>
              </w:rPr>
              <w:t>3.46</w:t>
            </w:r>
          </w:p>
        </w:tc>
        <w:tc>
          <w:tcPr>
            <w:tcW w:type="dxa" w:w="3149"/>
            <w:vAlign w:val="center"/>
          </w:tcPr>
          <w:p>
            <w:pPr>
              <w:spacing w:after="0" w:line="240" w:lineRule="auto"/>
              <w:jc w:val="center"/>
            </w:pPr>
            <w:r/>
            <w:r>
              <w:rPr>
                <w:rFonts w:ascii="Calibri" w:hAnsi="Calibri"/>
                <w:b w:val="0"/>
                <w:i w:val="0"/>
                <w:color w:val="000000"/>
                <w:sz w:val="12"/>
              </w:rPr>
              <w:t>30.71</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RF</w:t>
            </w:r>
          </w:p>
        </w:tc>
        <w:tc>
          <w:tcPr>
            <w:tcW w:type="dxa" w:w="1729"/>
            <w:vAlign w:val="center"/>
          </w:tcPr>
          <w:p>
            <w:pPr>
              <w:spacing w:after="0" w:line="240" w:lineRule="auto"/>
              <w:jc w:val="center"/>
            </w:pPr>
            <w:r/>
            <w:r>
              <w:rPr>
                <w:rFonts w:ascii="Calibri" w:hAnsi="Calibri"/>
                <w:b w:val="0"/>
                <w:i w:val="0"/>
                <w:color w:val="000000"/>
                <w:sz w:val="12"/>
              </w:rPr>
              <w:t>1.3033</w:t>
            </w:r>
          </w:p>
        </w:tc>
        <w:tc>
          <w:tcPr>
            <w:tcW w:type="dxa" w:w="1729"/>
            <w:vAlign w:val="center"/>
          </w:tcPr>
          <w:p>
            <w:pPr>
              <w:spacing w:after="0" w:line="240" w:lineRule="auto"/>
              <w:jc w:val="center"/>
            </w:pPr>
            <w:r/>
            <w:r>
              <w:rPr>
                <w:rFonts w:ascii="Calibri" w:hAnsi="Calibri"/>
                <w:b w:val="0"/>
                <w:i w:val="0"/>
                <w:color w:val="000000"/>
                <w:sz w:val="12"/>
              </w:rPr>
              <w:t>0.8864</w:t>
            </w:r>
          </w:p>
        </w:tc>
        <w:tc>
          <w:tcPr>
            <w:tcW w:type="dxa" w:w="1100"/>
            <w:vAlign w:val="center"/>
          </w:tcPr>
          <w:p>
            <w:pPr>
              <w:spacing w:after="0" w:line="240" w:lineRule="auto"/>
              <w:jc w:val="center"/>
            </w:pPr>
            <w:r/>
            <w:r>
              <w:rPr>
                <w:rFonts w:ascii="Calibri" w:hAnsi="Calibri"/>
                <w:b w:val="0"/>
                <w:i w:val="0"/>
                <w:color w:val="000000"/>
                <w:sz w:val="12"/>
              </w:rPr>
              <w:t>4.8704</w:t>
            </w:r>
          </w:p>
        </w:tc>
        <w:tc>
          <w:tcPr>
            <w:tcW w:type="dxa" w:w="1100"/>
            <w:vAlign w:val="center"/>
          </w:tcPr>
          <w:p>
            <w:pPr>
              <w:spacing w:after="0" w:line="240" w:lineRule="auto"/>
              <w:jc w:val="center"/>
            </w:pPr>
            <w:r/>
            <w:r>
              <w:rPr>
                <w:rFonts w:ascii="Calibri" w:hAnsi="Calibri"/>
                <w:b w:val="0"/>
                <w:i w:val="0"/>
                <w:color w:val="000000"/>
                <w:sz w:val="12"/>
              </w:rPr>
              <w:t>6.01</w:t>
            </w:r>
          </w:p>
        </w:tc>
        <w:tc>
          <w:tcPr>
            <w:tcW w:type="dxa" w:w="1100"/>
            <w:vAlign w:val="center"/>
          </w:tcPr>
          <w:p>
            <w:pPr>
              <w:spacing w:after="0" w:line="240" w:lineRule="auto"/>
              <w:jc w:val="center"/>
            </w:pPr>
            <w:r/>
            <w:r>
              <w:rPr>
                <w:rFonts w:ascii="Calibri" w:hAnsi="Calibri"/>
                <w:b w:val="0"/>
                <w:i w:val="0"/>
                <w:color w:val="000000"/>
                <w:sz w:val="12"/>
              </w:rPr>
              <w:t>5.76</w:t>
            </w:r>
          </w:p>
        </w:tc>
        <w:tc>
          <w:tcPr>
            <w:tcW w:type="dxa" w:w="3149"/>
            <w:vAlign w:val="center"/>
          </w:tcPr>
          <w:p>
            <w:pPr>
              <w:spacing w:after="0" w:line="240" w:lineRule="auto"/>
              <w:jc w:val="center"/>
            </w:pPr>
            <w:r/>
            <w:r>
              <w:rPr>
                <w:rFonts w:ascii="Calibri" w:hAnsi="Calibri"/>
                <w:b w:val="0"/>
                <w:i w:val="0"/>
                <w:color w:val="000000"/>
                <w:sz w:val="12"/>
              </w:rPr>
              <w:t>37.14</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ES</w:t>
            </w:r>
          </w:p>
        </w:tc>
        <w:tc>
          <w:tcPr>
            <w:tcW w:type="dxa" w:w="1729"/>
            <w:vAlign w:val="center"/>
          </w:tcPr>
          <w:p>
            <w:pPr>
              <w:spacing w:after="0" w:line="240" w:lineRule="auto"/>
              <w:jc w:val="center"/>
            </w:pPr>
            <w:r/>
            <w:r>
              <w:rPr>
                <w:rFonts w:ascii="Calibri" w:hAnsi="Calibri"/>
                <w:b w:val="0"/>
                <w:i w:val="0"/>
                <w:color w:val="000000"/>
                <w:sz w:val="12"/>
              </w:rPr>
              <w:t>4.8948</w:t>
            </w:r>
          </w:p>
        </w:tc>
        <w:tc>
          <w:tcPr>
            <w:tcW w:type="dxa" w:w="1729"/>
            <w:vAlign w:val="center"/>
          </w:tcPr>
          <w:p>
            <w:pPr>
              <w:spacing w:after="0" w:line="240" w:lineRule="auto"/>
              <w:jc w:val="center"/>
            </w:pPr>
            <w:r/>
            <w:r>
              <w:rPr>
                <w:rFonts w:ascii="Calibri" w:hAnsi="Calibri"/>
                <w:b w:val="0"/>
                <w:i w:val="0"/>
                <w:color w:val="000000"/>
                <w:sz w:val="12"/>
              </w:rPr>
              <w:t>3.3720</w:t>
            </w:r>
          </w:p>
        </w:tc>
        <w:tc>
          <w:tcPr>
            <w:tcW w:type="dxa" w:w="1100"/>
            <w:vAlign w:val="center"/>
          </w:tcPr>
          <w:p>
            <w:pPr>
              <w:spacing w:after="0" w:line="240" w:lineRule="auto"/>
              <w:jc w:val="center"/>
            </w:pPr>
            <w:r/>
            <w:r>
              <w:rPr>
                <w:rFonts w:ascii="Calibri" w:hAnsi="Calibri"/>
                <w:b w:val="0"/>
                <w:i w:val="0"/>
                <w:color w:val="000000"/>
                <w:sz w:val="12"/>
              </w:rPr>
              <w:t>18.5273</w:t>
            </w:r>
          </w:p>
        </w:tc>
        <w:tc>
          <w:tcPr>
            <w:tcW w:type="dxa" w:w="1100"/>
            <w:vAlign w:val="center"/>
          </w:tcPr>
          <w:p>
            <w:pPr>
              <w:spacing w:after="0" w:line="240" w:lineRule="auto"/>
              <w:jc w:val="center"/>
            </w:pPr>
            <w:r/>
            <w:r>
              <w:rPr>
                <w:rFonts w:ascii="Calibri" w:hAnsi="Calibri"/>
                <w:b w:val="0"/>
                <w:i w:val="0"/>
                <w:color w:val="000000"/>
                <w:sz w:val="12"/>
              </w:rPr>
              <w:t>21.47</w:t>
            </w:r>
          </w:p>
        </w:tc>
        <w:tc>
          <w:tcPr>
            <w:tcW w:type="dxa" w:w="1100"/>
            <w:vAlign w:val="center"/>
          </w:tcPr>
          <w:p>
            <w:pPr>
              <w:spacing w:after="0" w:line="240" w:lineRule="auto"/>
              <w:jc w:val="center"/>
            </w:pPr>
            <w:r/>
            <w:r>
              <w:rPr>
                <w:rFonts w:ascii="Calibri" w:hAnsi="Calibri"/>
                <w:b w:val="0"/>
                <w:i w:val="0"/>
                <w:color w:val="000000"/>
                <w:sz w:val="12"/>
              </w:rPr>
              <w:t>26.45</w:t>
            </w:r>
          </w:p>
        </w:tc>
        <w:tc>
          <w:tcPr>
            <w:tcW w:type="dxa" w:w="3149"/>
            <w:vAlign w:val="center"/>
          </w:tcPr>
          <w:p>
            <w:pPr>
              <w:spacing w:after="0" w:line="240" w:lineRule="auto"/>
              <w:jc w:val="center"/>
            </w:pPr>
            <w:r/>
            <w:r>
              <w:rPr>
                <w:rFonts w:ascii="Calibri" w:hAnsi="Calibri"/>
                <w:b w:val="0"/>
                <w:i w:val="0"/>
                <w:color w:val="000000"/>
                <w:sz w:val="12"/>
              </w:rPr>
              <w:t>35.00</w:t>
            </w:r>
          </w:p>
        </w:tc>
      </w:tr>
    </w:tbl>
    <w:p>
      <w:pPr>
        <w:spacing w:after="60"/>
      </w:pPr>
    </w:p>
    <w:p>
      <w:pPr>
        <w:pStyle w:val="Heading3"/>
      </w:pPr>
      <w:r>
        <w:t>Interpretation of Table 7</w:t>
      </w:r>
    </w:p>
    <w:p>
      <w:pPr>
        <w:spacing w:after="160" w:line="320" w:lineRule="auto"/>
        <w:jc w:val="both"/>
      </w:pPr>
      <w:r>
        <w:rPr>
          <w:rFonts w:ascii="Calibri" w:hAnsi="Calibri"/>
          <w:b/>
          <w:i w:val="0"/>
          <w:color w:val="000000"/>
          <w:sz w:val="22"/>
        </w:rPr>
        <w:t>Carbonate result:</w:t>
      </w:r>
      <w:r>
        <w:rPr>
          <w:rFonts w:ascii="Calibri" w:hAnsi="Calibri"/>
          <w:b w:val="0"/>
          <w:i w:val="0"/>
          <w:color w:val="000000"/>
          <w:sz w:val="22"/>
        </w:rPr>
        <w:t xml:space="preserve"> ARIMA is the strongest single model for carbonate by RMSE (3,612.20), MAE (1,827.04), MASE (0.9132), and MAPE (1.43%). RF has the highest directional accuracy (72.59%) but a materially worse RMSE of 5,380.32, showing that direction and price-level accuracy answer different questions.</w:t>
      </w:r>
    </w:p>
    <w:p>
      <w:pPr>
        <w:spacing w:after="160" w:line="320" w:lineRule="auto"/>
        <w:jc w:val="both"/>
      </w:pPr>
      <w:r>
        <w:rPr>
          <w:rFonts w:ascii="Calibri" w:hAnsi="Calibri"/>
          <w:b/>
          <w:i w:val="0"/>
          <w:color w:val="000000"/>
          <w:sz w:val="22"/>
        </w:rPr>
        <w:t>Hydroxide result:</w:t>
      </w:r>
      <w:r>
        <w:rPr>
          <w:rFonts w:ascii="Calibri" w:hAnsi="Calibri"/>
          <w:b w:val="0"/>
          <w:i w:val="0"/>
          <w:color w:val="000000"/>
          <w:sz w:val="22"/>
        </w:rPr>
        <w:t xml:space="preserve"> ARIMA again has the lowest single-model RMSE (0.6437) and MAE (0.2395), but its directional accuracy is only 29.29%. SVR raises directional accuracy to 38.57% while worsening RMSE to 0.7060. A model can track the price level yet fail to identify small one-day changes around a persistent series.</w:t>
      </w:r>
    </w:p>
    <w:p>
      <w:pPr>
        <w:spacing w:after="160" w:line="320" w:lineRule="auto"/>
        <w:jc w:val="both"/>
      </w:pPr>
      <w:r>
        <w:rPr>
          <w:rFonts w:ascii="Calibri" w:hAnsi="Calibri"/>
          <w:b/>
          <w:i w:val="0"/>
          <w:color w:val="000000"/>
          <w:sz w:val="22"/>
        </w:rPr>
        <w:t>Benchmark lesson:</w:t>
      </w:r>
      <w:r>
        <w:rPr>
          <w:rFonts w:ascii="Calibri" w:hAnsi="Calibri"/>
          <w:b w:val="0"/>
          <w:i w:val="0"/>
          <w:color w:val="000000"/>
          <w:sz w:val="22"/>
        </w:rPr>
        <w:t xml:space="preserve"> ES performs especially poorly after structural shifts, while MLP, ELM, and LSTM do not automatically benefit from greater nonlinearity in this short sample. Table 7 therefore establishes a demanding statistical baseline: complexity is valuable only when decomposition or information selection converts it into lower loss.</w:t>
      </w:r>
    </w:p>
    <w:p>
      <w:pPr>
        <w:keepNext/>
        <w:spacing w:before="100" w:after="80"/>
      </w:pPr>
      <w:r>
        <w:rPr>
          <w:rFonts w:ascii="Calibri" w:hAnsi="Calibri"/>
          <w:b/>
          <w:i w:val="0"/>
          <w:color w:val="1F4D78"/>
          <w:sz w:val="18"/>
        </w:rPr>
        <w:t xml:space="preserve">Table 8. </w:t>
      </w:r>
      <w:r>
        <w:rPr>
          <w:rFonts w:ascii="Calibri" w:hAnsi="Calibri"/>
          <w:b w:val="0"/>
          <w:i/>
          <w:color w:val="000000"/>
          <w:sz w:val="18"/>
        </w:rPr>
        <w:t>Forecasting errors on the testing sets for decomposition models.</w:t>
      </w:r>
    </w:p>
    <w:tbl>
      <w:tblPr>
        <w:tblStyle w:val="TableGrid"/>
        <w:tblW w:type="dxa" w:w="13680"/>
        <w:jc w:val="left"/>
        <w:tblLayout w:type="fixed"/>
        <w:tblLook w:firstColumn="1" w:firstRow="1" w:lastColumn="0" w:lastRow="0" w:noHBand="0" w:noVBand="1" w:val="04A0"/>
      </w:tblPr>
      <w:tblGrid>
        <w:gridCol w:w="2214"/>
        <w:gridCol w:w="3778"/>
        <w:gridCol w:w="1172"/>
        <w:gridCol w:w="1172"/>
        <w:gridCol w:w="912"/>
        <w:gridCol w:w="912"/>
        <w:gridCol w:w="912"/>
        <w:gridCol w:w="2608"/>
      </w:tblGrid>
      <w:tr>
        <w:trPr>
          <w:tblHeader w:val="true"/>
        </w:trPr>
        <w:tc>
          <w:tcPr>
            <w:tcW w:type="dxa" w:w="2214"/>
            <w:shd w:fill="F4F6F9"/>
            <w:vAlign w:val="center"/>
          </w:tcPr>
          <w:p>
            <w:pPr>
              <w:jc w:val="center"/>
            </w:pPr>
            <w:r/>
            <w:r>
              <w:rPr>
                <w:rFonts w:ascii="Calibri" w:hAnsi="Calibri"/>
                <w:b/>
                <w:i w:val="0"/>
                <w:color w:val="0B2545"/>
                <w:sz w:val="12"/>
              </w:rPr>
              <w:t>Target</w:t>
            </w:r>
          </w:p>
        </w:tc>
        <w:tc>
          <w:tcPr>
            <w:tcW w:type="dxa" w:w="3778"/>
            <w:shd w:fill="F4F6F9"/>
            <w:vAlign w:val="center"/>
          </w:tcPr>
          <w:p>
            <w:pPr>
              <w:jc w:val="center"/>
            </w:pPr>
            <w:r/>
            <w:r>
              <w:rPr>
                <w:rFonts w:ascii="Calibri" w:hAnsi="Calibri"/>
                <w:b/>
                <w:i w:val="0"/>
                <w:color w:val="0B2545"/>
                <w:sz w:val="12"/>
              </w:rPr>
              <w:t>Model</w:t>
            </w:r>
          </w:p>
        </w:tc>
        <w:tc>
          <w:tcPr>
            <w:tcW w:type="dxa" w:w="1172"/>
            <w:shd w:fill="F4F6F9"/>
            <w:vAlign w:val="center"/>
          </w:tcPr>
          <w:p>
            <w:pPr>
              <w:jc w:val="center"/>
            </w:pPr>
            <w:r/>
            <w:r>
              <w:rPr>
                <w:rFonts w:ascii="Calibri" w:hAnsi="Calibri"/>
                <w:b/>
                <w:i w:val="0"/>
                <w:color w:val="0B2545"/>
                <w:sz w:val="12"/>
              </w:rPr>
              <w:t>RMSE</w:t>
            </w:r>
          </w:p>
        </w:tc>
        <w:tc>
          <w:tcPr>
            <w:tcW w:type="dxa" w:w="1172"/>
            <w:shd w:fill="F4F6F9"/>
            <w:vAlign w:val="center"/>
          </w:tcPr>
          <w:p>
            <w:pPr>
              <w:jc w:val="center"/>
            </w:pPr>
            <w:r/>
            <w:r>
              <w:rPr>
                <w:rFonts w:ascii="Calibri" w:hAnsi="Calibri"/>
                <w:b/>
                <w:i w:val="0"/>
                <w:color w:val="0B2545"/>
                <w:sz w:val="12"/>
              </w:rPr>
              <w:t>MAE</w:t>
            </w:r>
          </w:p>
        </w:tc>
        <w:tc>
          <w:tcPr>
            <w:tcW w:type="dxa" w:w="912"/>
            <w:shd w:fill="F4F6F9"/>
            <w:vAlign w:val="center"/>
          </w:tcPr>
          <w:p>
            <w:pPr>
              <w:jc w:val="center"/>
            </w:pPr>
            <w:r/>
            <w:r>
              <w:rPr>
                <w:rFonts w:ascii="Calibri" w:hAnsi="Calibri"/>
                <w:b/>
                <w:i w:val="0"/>
                <w:color w:val="0B2545"/>
                <w:sz w:val="12"/>
              </w:rPr>
              <w:t>MASE</w:t>
            </w:r>
          </w:p>
        </w:tc>
        <w:tc>
          <w:tcPr>
            <w:tcW w:type="dxa" w:w="912"/>
            <w:shd w:fill="F4F6F9"/>
            <w:vAlign w:val="center"/>
          </w:tcPr>
          <w:p>
            <w:pPr>
              <w:jc w:val="center"/>
            </w:pPr>
            <w:r/>
            <w:r>
              <w:rPr>
                <w:rFonts w:ascii="Calibri" w:hAnsi="Calibri"/>
                <w:b/>
                <w:i w:val="0"/>
                <w:color w:val="0B2545"/>
                <w:sz w:val="12"/>
              </w:rPr>
              <w:t>MAPE</w:t>
            </w:r>
          </w:p>
        </w:tc>
        <w:tc>
          <w:tcPr>
            <w:tcW w:type="dxa" w:w="912"/>
            <w:shd w:fill="F4F6F9"/>
            <w:vAlign w:val="center"/>
          </w:tcPr>
          <w:p>
            <w:pPr>
              <w:jc w:val="center"/>
            </w:pPr>
            <w:r/>
            <w:r>
              <w:rPr>
                <w:rFonts w:ascii="Calibri" w:hAnsi="Calibri"/>
                <w:b/>
                <w:i w:val="0"/>
                <w:color w:val="0B2545"/>
                <w:sz w:val="12"/>
              </w:rPr>
              <w:t>sMAPE</w:t>
            </w:r>
          </w:p>
        </w:tc>
        <w:tc>
          <w:tcPr>
            <w:tcW w:type="dxa" w:w="2608"/>
            <w:shd w:fill="F4F6F9"/>
            <w:vAlign w:val="center"/>
          </w:tcPr>
          <w:p>
            <w:pPr>
              <w:jc w:val="center"/>
            </w:pPr>
            <w:r/>
            <w:r>
              <w:rPr>
                <w:rFonts w:ascii="Calibri" w:hAnsi="Calibri"/>
                <w:b/>
                <w:i w:val="0"/>
                <w:color w:val="0B2545"/>
                <w:sz w:val="12"/>
              </w:rPr>
              <w:t>Directional Accuracy</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CEEMDAN-LSTM</w:t>
            </w:r>
          </w:p>
        </w:tc>
        <w:tc>
          <w:tcPr>
            <w:tcW w:type="dxa" w:w="1172"/>
            <w:vAlign w:val="center"/>
          </w:tcPr>
          <w:p>
            <w:pPr>
              <w:spacing w:after="0" w:line="240" w:lineRule="auto"/>
              <w:jc w:val="center"/>
            </w:pPr>
            <w:r/>
            <w:r>
              <w:rPr>
                <w:rFonts w:ascii="Calibri" w:hAnsi="Calibri"/>
                <w:b w:val="0"/>
                <w:i w:val="0"/>
                <w:color w:val="000000"/>
                <w:sz w:val="12"/>
              </w:rPr>
              <w:t>3385.6721</w:t>
            </w:r>
          </w:p>
        </w:tc>
        <w:tc>
          <w:tcPr>
            <w:tcW w:type="dxa" w:w="1172"/>
            <w:vAlign w:val="center"/>
          </w:tcPr>
          <w:p>
            <w:pPr>
              <w:spacing w:after="0" w:line="240" w:lineRule="auto"/>
              <w:jc w:val="center"/>
            </w:pPr>
            <w:r/>
            <w:r>
              <w:rPr>
                <w:rFonts w:ascii="Calibri" w:hAnsi="Calibri"/>
                <w:b w:val="0"/>
                <w:i w:val="0"/>
                <w:color w:val="000000"/>
                <w:sz w:val="12"/>
              </w:rPr>
              <w:t>2193.4135</w:t>
            </w:r>
          </w:p>
        </w:tc>
        <w:tc>
          <w:tcPr>
            <w:tcW w:type="dxa" w:w="912"/>
            <w:vAlign w:val="center"/>
          </w:tcPr>
          <w:p>
            <w:pPr>
              <w:spacing w:after="0" w:line="240" w:lineRule="auto"/>
              <w:jc w:val="center"/>
            </w:pPr>
            <w:r/>
            <w:r>
              <w:rPr>
                <w:rFonts w:ascii="Calibri" w:hAnsi="Calibri"/>
                <w:b w:val="0"/>
                <w:i w:val="0"/>
                <w:color w:val="000000"/>
                <w:sz w:val="12"/>
              </w:rPr>
              <w:t>1.0963</w:t>
            </w:r>
          </w:p>
        </w:tc>
        <w:tc>
          <w:tcPr>
            <w:tcW w:type="dxa" w:w="912"/>
            <w:vAlign w:val="center"/>
          </w:tcPr>
          <w:p>
            <w:pPr>
              <w:spacing w:after="0" w:line="240" w:lineRule="auto"/>
              <w:jc w:val="center"/>
            </w:pPr>
            <w:r/>
            <w:r>
              <w:rPr>
                <w:rFonts w:ascii="Calibri" w:hAnsi="Calibri"/>
                <w:b w:val="0"/>
                <w:i w:val="0"/>
                <w:color w:val="000000"/>
                <w:sz w:val="12"/>
              </w:rPr>
              <w:t>1.89</w:t>
            </w:r>
          </w:p>
        </w:tc>
        <w:tc>
          <w:tcPr>
            <w:tcW w:type="dxa" w:w="912"/>
            <w:vAlign w:val="center"/>
          </w:tcPr>
          <w:p>
            <w:pPr>
              <w:spacing w:after="0" w:line="240" w:lineRule="auto"/>
              <w:jc w:val="center"/>
            </w:pPr>
            <w:r/>
            <w:r>
              <w:rPr>
                <w:rFonts w:ascii="Calibri" w:hAnsi="Calibri"/>
                <w:b w:val="0"/>
                <w:i w:val="0"/>
                <w:color w:val="000000"/>
                <w:sz w:val="12"/>
              </w:rPr>
              <w:t>1.89</w:t>
            </w:r>
          </w:p>
        </w:tc>
        <w:tc>
          <w:tcPr>
            <w:tcW w:type="dxa" w:w="2608"/>
            <w:vAlign w:val="center"/>
          </w:tcPr>
          <w:p>
            <w:pPr>
              <w:spacing w:after="0" w:line="240" w:lineRule="auto"/>
              <w:jc w:val="center"/>
            </w:pPr>
            <w:r/>
            <w:r>
              <w:rPr>
                <w:rFonts w:ascii="Calibri" w:hAnsi="Calibri"/>
                <w:b w:val="0"/>
                <w:i w:val="0"/>
                <w:color w:val="000000"/>
                <w:sz w:val="12"/>
              </w:rPr>
              <w:t>76.30</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CEEMDAN-ARIMA</w:t>
            </w:r>
          </w:p>
        </w:tc>
        <w:tc>
          <w:tcPr>
            <w:tcW w:type="dxa" w:w="1172"/>
            <w:vAlign w:val="center"/>
          </w:tcPr>
          <w:p>
            <w:pPr>
              <w:spacing w:after="0" w:line="240" w:lineRule="auto"/>
              <w:jc w:val="center"/>
            </w:pPr>
            <w:r/>
            <w:r>
              <w:rPr>
                <w:rFonts w:ascii="Calibri" w:hAnsi="Calibri"/>
                <w:b w:val="0"/>
                <w:i w:val="0"/>
                <w:color w:val="000000"/>
                <w:sz w:val="12"/>
              </w:rPr>
              <w:t>3623.5469</w:t>
            </w:r>
          </w:p>
        </w:tc>
        <w:tc>
          <w:tcPr>
            <w:tcW w:type="dxa" w:w="1172"/>
            <w:vAlign w:val="center"/>
          </w:tcPr>
          <w:p>
            <w:pPr>
              <w:spacing w:after="0" w:line="240" w:lineRule="auto"/>
              <w:jc w:val="center"/>
            </w:pPr>
            <w:r/>
            <w:r>
              <w:rPr>
                <w:rFonts w:ascii="Calibri" w:hAnsi="Calibri"/>
                <w:b w:val="0"/>
                <w:i w:val="0"/>
                <w:color w:val="000000"/>
                <w:sz w:val="12"/>
              </w:rPr>
              <w:t>1436.9183</w:t>
            </w:r>
          </w:p>
        </w:tc>
        <w:tc>
          <w:tcPr>
            <w:tcW w:type="dxa" w:w="912"/>
            <w:vAlign w:val="center"/>
          </w:tcPr>
          <w:p>
            <w:pPr>
              <w:spacing w:after="0" w:line="240" w:lineRule="auto"/>
              <w:jc w:val="center"/>
            </w:pPr>
            <w:r/>
            <w:r>
              <w:rPr>
                <w:rFonts w:ascii="Calibri" w:hAnsi="Calibri"/>
                <w:b w:val="0"/>
                <w:i w:val="0"/>
                <w:color w:val="000000"/>
                <w:sz w:val="12"/>
              </w:rPr>
              <w:t>0.7182</w:t>
            </w:r>
          </w:p>
        </w:tc>
        <w:tc>
          <w:tcPr>
            <w:tcW w:type="dxa" w:w="912"/>
            <w:vAlign w:val="center"/>
          </w:tcPr>
          <w:p>
            <w:pPr>
              <w:spacing w:after="0" w:line="240" w:lineRule="auto"/>
              <w:jc w:val="center"/>
            </w:pPr>
            <w:r/>
            <w:r>
              <w:rPr>
                <w:rFonts w:ascii="Calibri" w:hAnsi="Calibri"/>
                <w:b w:val="0"/>
                <w:i w:val="0"/>
                <w:color w:val="000000"/>
                <w:sz w:val="12"/>
              </w:rPr>
              <w:t>1.12</w:t>
            </w:r>
          </w:p>
        </w:tc>
        <w:tc>
          <w:tcPr>
            <w:tcW w:type="dxa" w:w="912"/>
            <w:vAlign w:val="center"/>
          </w:tcPr>
          <w:p>
            <w:pPr>
              <w:spacing w:after="0" w:line="240" w:lineRule="auto"/>
              <w:jc w:val="center"/>
            </w:pPr>
            <w:r/>
            <w:r>
              <w:rPr>
                <w:rFonts w:ascii="Calibri" w:hAnsi="Calibri"/>
                <w:b w:val="0"/>
                <w:i w:val="0"/>
                <w:color w:val="000000"/>
                <w:sz w:val="12"/>
              </w:rPr>
              <w:t>1.16</w:t>
            </w:r>
          </w:p>
        </w:tc>
        <w:tc>
          <w:tcPr>
            <w:tcW w:type="dxa" w:w="2608"/>
            <w:vAlign w:val="center"/>
          </w:tcPr>
          <w:p>
            <w:pPr>
              <w:spacing w:after="0" w:line="240" w:lineRule="auto"/>
              <w:jc w:val="center"/>
            </w:pPr>
            <w:r/>
            <w:r>
              <w:rPr>
                <w:rFonts w:ascii="Calibri" w:hAnsi="Calibri"/>
                <w:b w:val="0"/>
                <w:i w:val="0"/>
                <w:color w:val="000000"/>
                <w:sz w:val="12"/>
              </w:rPr>
              <w:t>77.04</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Proposed VMD-LASSO-ARIMA/LSTM</w:t>
            </w:r>
          </w:p>
        </w:tc>
        <w:tc>
          <w:tcPr>
            <w:tcW w:type="dxa" w:w="1172"/>
            <w:vAlign w:val="center"/>
          </w:tcPr>
          <w:p>
            <w:pPr>
              <w:spacing w:after="0" w:line="240" w:lineRule="auto"/>
              <w:jc w:val="center"/>
            </w:pPr>
            <w:r/>
            <w:r>
              <w:rPr>
                <w:rFonts w:ascii="Calibri" w:hAnsi="Calibri"/>
                <w:b w:val="0"/>
                <w:i w:val="0"/>
                <w:color w:val="000000"/>
                <w:sz w:val="12"/>
              </w:rPr>
              <w:t>3672.3030</w:t>
            </w:r>
          </w:p>
        </w:tc>
        <w:tc>
          <w:tcPr>
            <w:tcW w:type="dxa" w:w="1172"/>
            <w:vAlign w:val="center"/>
          </w:tcPr>
          <w:p>
            <w:pPr>
              <w:spacing w:after="0" w:line="240" w:lineRule="auto"/>
              <w:jc w:val="center"/>
            </w:pPr>
            <w:r/>
            <w:r>
              <w:rPr>
                <w:rFonts w:ascii="Calibri" w:hAnsi="Calibri"/>
                <w:b w:val="0"/>
                <w:i w:val="0"/>
                <w:color w:val="000000"/>
                <w:sz w:val="12"/>
              </w:rPr>
              <w:t>2086.1666</w:t>
            </w:r>
          </w:p>
        </w:tc>
        <w:tc>
          <w:tcPr>
            <w:tcW w:type="dxa" w:w="912"/>
            <w:vAlign w:val="center"/>
          </w:tcPr>
          <w:p>
            <w:pPr>
              <w:spacing w:after="0" w:line="240" w:lineRule="auto"/>
              <w:jc w:val="center"/>
            </w:pPr>
            <w:r/>
            <w:r>
              <w:rPr>
                <w:rFonts w:ascii="Calibri" w:hAnsi="Calibri"/>
                <w:b w:val="0"/>
                <w:i w:val="0"/>
                <w:color w:val="000000"/>
                <w:sz w:val="12"/>
              </w:rPr>
              <w:t>1.0427</w:t>
            </w:r>
          </w:p>
        </w:tc>
        <w:tc>
          <w:tcPr>
            <w:tcW w:type="dxa" w:w="912"/>
            <w:vAlign w:val="center"/>
          </w:tcPr>
          <w:p>
            <w:pPr>
              <w:spacing w:after="0" w:line="240" w:lineRule="auto"/>
              <w:jc w:val="center"/>
            </w:pPr>
            <w:r/>
            <w:r>
              <w:rPr>
                <w:rFonts w:ascii="Calibri" w:hAnsi="Calibri"/>
                <w:b w:val="0"/>
                <w:i w:val="0"/>
                <w:color w:val="000000"/>
                <w:sz w:val="12"/>
              </w:rPr>
              <w:t>1.84</w:t>
            </w:r>
          </w:p>
        </w:tc>
        <w:tc>
          <w:tcPr>
            <w:tcW w:type="dxa" w:w="912"/>
            <w:vAlign w:val="center"/>
          </w:tcPr>
          <w:p>
            <w:pPr>
              <w:spacing w:after="0" w:line="240" w:lineRule="auto"/>
              <w:jc w:val="center"/>
            </w:pPr>
            <w:r/>
            <w:r>
              <w:rPr>
                <w:rFonts w:ascii="Calibri" w:hAnsi="Calibri"/>
                <w:b w:val="0"/>
                <w:i w:val="0"/>
                <w:color w:val="000000"/>
                <w:sz w:val="12"/>
              </w:rPr>
              <w:t>1.87</w:t>
            </w:r>
          </w:p>
        </w:tc>
        <w:tc>
          <w:tcPr>
            <w:tcW w:type="dxa" w:w="2608"/>
            <w:vAlign w:val="center"/>
          </w:tcPr>
          <w:p>
            <w:pPr>
              <w:spacing w:after="0" w:line="240" w:lineRule="auto"/>
              <w:jc w:val="center"/>
            </w:pPr>
            <w:r/>
            <w:r>
              <w:rPr>
                <w:rFonts w:ascii="Calibri" w:hAnsi="Calibri"/>
                <w:b w:val="0"/>
                <w:i w:val="0"/>
                <w:color w:val="000000"/>
                <w:sz w:val="12"/>
              </w:rPr>
              <w:t>76.30</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VMD-LSTM</w:t>
            </w:r>
          </w:p>
        </w:tc>
        <w:tc>
          <w:tcPr>
            <w:tcW w:type="dxa" w:w="1172"/>
            <w:vAlign w:val="center"/>
          </w:tcPr>
          <w:p>
            <w:pPr>
              <w:spacing w:after="0" w:line="240" w:lineRule="auto"/>
              <w:jc w:val="center"/>
            </w:pPr>
            <w:r/>
            <w:r>
              <w:rPr>
                <w:rFonts w:ascii="Calibri" w:hAnsi="Calibri"/>
                <w:b w:val="0"/>
                <w:i w:val="0"/>
                <w:color w:val="000000"/>
                <w:sz w:val="12"/>
              </w:rPr>
              <w:t>5592.2187</w:t>
            </w:r>
          </w:p>
        </w:tc>
        <w:tc>
          <w:tcPr>
            <w:tcW w:type="dxa" w:w="1172"/>
            <w:vAlign w:val="center"/>
          </w:tcPr>
          <w:p>
            <w:pPr>
              <w:spacing w:after="0" w:line="240" w:lineRule="auto"/>
              <w:jc w:val="center"/>
            </w:pPr>
            <w:r/>
            <w:r>
              <w:rPr>
                <w:rFonts w:ascii="Calibri" w:hAnsi="Calibri"/>
                <w:b w:val="0"/>
                <w:i w:val="0"/>
                <w:color w:val="000000"/>
                <w:sz w:val="12"/>
              </w:rPr>
              <w:t>3718.5097</w:t>
            </w:r>
          </w:p>
        </w:tc>
        <w:tc>
          <w:tcPr>
            <w:tcW w:type="dxa" w:w="912"/>
            <w:vAlign w:val="center"/>
          </w:tcPr>
          <w:p>
            <w:pPr>
              <w:spacing w:after="0" w:line="240" w:lineRule="auto"/>
              <w:jc w:val="center"/>
            </w:pPr>
            <w:r/>
            <w:r>
              <w:rPr>
                <w:rFonts w:ascii="Calibri" w:hAnsi="Calibri"/>
                <w:b w:val="0"/>
                <w:i w:val="0"/>
                <w:color w:val="000000"/>
                <w:sz w:val="12"/>
              </w:rPr>
              <w:t>1.8586</w:t>
            </w:r>
          </w:p>
        </w:tc>
        <w:tc>
          <w:tcPr>
            <w:tcW w:type="dxa" w:w="912"/>
            <w:vAlign w:val="center"/>
          </w:tcPr>
          <w:p>
            <w:pPr>
              <w:spacing w:after="0" w:line="240" w:lineRule="auto"/>
              <w:jc w:val="center"/>
            </w:pPr>
            <w:r/>
            <w:r>
              <w:rPr>
                <w:rFonts w:ascii="Calibri" w:hAnsi="Calibri"/>
                <w:b w:val="0"/>
                <w:i w:val="0"/>
                <w:color w:val="000000"/>
                <w:sz w:val="12"/>
              </w:rPr>
              <w:t>3.01</w:t>
            </w:r>
          </w:p>
        </w:tc>
        <w:tc>
          <w:tcPr>
            <w:tcW w:type="dxa" w:w="912"/>
            <w:vAlign w:val="center"/>
          </w:tcPr>
          <w:p>
            <w:pPr>
              <w:spacing w:after="0" w:line="240" w:lineRule="auto"/>
              <w:jc w:val="center"/>
            </w:pPr>
            <w:r/>
            <w:r>
              <w:rPr>
                <w:rFonts w:ascii="Calibri" w:hAnsi="Calibri"/>
                <w:b w:val="0"/>
                <w:i w:val="0"/>
                <w:color w:val="000000"/>
                <w:sz w:val="12"/>
              </w:rPr>
              <w:t>3.06</w:t>
            </w:r>
          </w:p>
        </w:tc>
        <w:tc>
          <w:tcPr>
            <w:tcW w:type="dxa" w:w="2608"/>
            <w:vAlign w:val="center"/>
          </w:tcPr>
          <w:p>
            <w:pPr>
              <w:spacing w:after="0" w:line="240" w:lineRule="auto"/>
              <w:jc w:val="center"/>
            </w:pPr>
            <w:r/>
            <w:r>
              <w:rPr>
                <w:rFonts w:ascii="Calibri" w:hAnsi="Calibri"/>
                <w:b w:val="0"/>
                <w:i w:val="0"/>
                <w:color w:val="000000"/>
                <w:sz w:val="12"/>
              </w:rPr>
              <w:t>74.81</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VMD-ARIMA</w:t>
            </w:r>
          </w:p>
        </w:tc>
        <w:tc>
          <w:tcPr>
            <w:tcW w:type="dxa" w:w="1172"/>
            <w:vAlign w:val="center"/>
          </w:tcPr>
          <w:p>
            <w:pPr>
              <w:spacing w:after="0" w:line="240" w:lineRule="auto"/>
              <w:jc w:val="center"/>
            </w:pPr>
            <w:r/>
            <w:r>
              <w:rPr>
                <w:rFonts w:ascii="Calibri" w:hAnsi="Calibri"/>
                <w:b w:val="0"/>
                <w:i w:val="0"/>
                <w:color w:val="000000"/>
                <w:sz w:val="12"/>
              </w:rPr>
              <w:t>8886.6128</w:t>
            </w:r>
          </w:p>
        </w:tc>
        <w:tc>
          <w:tcPr>
            <w:tcW w:type="dxa" w:w="1172"/>
            <w:vAlign w:val="center"/>
          </w:tcPr>
          <w:p>
            <w:pPr>
              <w:spacing w:after="0" w:line="240" w:lineRule="auto"/>
              <w:jc w:val="center"/>
            </w:pPr>
            <w:r/>
            <w:r>
              <w:rPr>
                <w:rFonts w:ascii="Calibri" w:hAnsi="Calibri"/>
                <w:b w:val="0"/>
                <w:i w:val="0"/>
                <w:color w:val="000000"/>
                <w:sz w:val="12"/>
              </w:rPr>
              <w:t>7428.7803</w:t>
            </w:r>
          </w:p>
        </w:tc>
        <w:tc>
          <w:tcPr>
            <w:tcW w:type="dxa" w:w="912"/>
            <w:vAlign w:val="center"/>
          </w:tcPr>
          <w:p>
            <w:pPr>
              <w:spacing w:after="0" w:line="240" w:lineRule="auto"/>
              <w:jc w:val="center"/>
            </w:pPr>
            <w:r/>
            <w:r>
              <w:rPr>
                <w:rFonts w:ascii="Calibri" w:hAnsi="Calibri"/>
                <w:b w:val="0"/>
                <w:i w:val="0"/>
                <w:color w:val="000000"/>
                <w:sz w:val="12"/>
              </w:rPr>
              <w:t>3.7130</w:t>
            </w:r>
          </w:p>
        </w:tc>
        <w:tc>
          <w:tcPr>
            <w:tcW w:type="dxa" w:w="912"/>
            <w:vAlign w:val="center"/>
          </w:tcPr>
          <w:p>
            <w:pPr>
              <w:spacing w:after="0" w:line="240" w:lineRule="auto"/>
              <w:jc w:val="center"/>
            </w:pPr>
            <w:r/>
            <w:r>
              <w:rPr>
                <w:rFonts w:ascii="Calibri" w:hAnsi="Calibri"/>
                <w:b w:val="0"/>
                <w:i w:val="0"/>
                <w:color w:val="000000"/>
                <w:sz w:val="12"/>
              </w:rPr>
              <w:t>7.36</w:t>
            </w:r>
          </w:p>
        </w:tc>
        <w:tc>
          <w:tcPr>
            <w:tcW w:type="dxa" w:w="912"/>
            <w:vAlign w:val="center"/>
          </w:tcPr>
          <w:p>
            <w:pPr>
              <w:spacing w:after="0" w:line="240" w:lineRule="auto"/>
              <w:jc w:val="center"/>
            </w:pPr>
            <w:r/>
            <w:r>
              <w:rPr>
                <w:rFonts w:ascii="Calibri" w:hAnsi="Calibri"/>
                <w:b w:val="0"/>
                <w:i w:val="0"/>
                <w:color w:val="000000"/>
                <w:sz w:val="12"/>
              </w:rPr>
              <w:t>7.36</w:t>
            </w:r>
          </w:p>
        </w:tc>
        <w:tc>
          <w:tcPr>
            <w:tcW w:type="dxa" w:w="2608"/>
            <w:vAlign w:val="center"/>
          </w:tcPr>
          <w:p>
            <w:pPr>
              <w:spacing w:after="0" w:line="240" w:lineRule="auto"/>
              <w:jc w:val="center"/>
            </w:pPr>
            <w:r/>
            <w:r>
              <w:rPr>
                <w:rFonts w:ascii="Calibri" w:hAnsi="Calibri"/>
                <w:b w:val="0"/>
                <w:i w:val="0"/>
                <w:color w:val="000000"/>
                <w:sz w:val="12"/>
              </w:rPr>
              <w:t>68.89</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CEEMDAN-ARIMA</w:t>
            </w:r>
          </w:p>
        </w:tc>
        <w:tc>
          <w:tcPr>
            <w:tcW w:type="dxa" w:w="1172"/>
            <w:vAlign w:val="center"/>
          </w:tcPr>
          <w:p>
            <w:pPr>
              <w:spacing w:after="0" w:line="240" w:lineRule="auto"/>
              <w:jc w:val="center"/>
            </w:pPr>
            <w:r/>
            <w:r>
              <w:rPr>
                <w:rFonts w:ascii="Calibri" w:hAnsi="Calibri"/>
                <w:b w:val="0"/>
                <w:i w:val="0"/>
                <w:color w:val="000000"/>
                <w:sz w:val="12"/>
              </w:rPr>
              <w:t>0.4467</w:t>
            </w:r>
          </w:p>
        </w:tc>
        <w:tc>
          <w:tcPr>
            <w:tcW w:type="dxa" w:w="1172"/>
            <w:vAlign w:val="center"/>
          </w:tcPr>
          <w:p>
            <w:pPr>
              <w:spacing w:after="0" w:line="240" w:lineRule="auto"/>
              <w:jc w:val="center"/>
            </w:pPr>
            <w:r/>
            <w:r>
              <w:rPr>
                <w:rFonts w:ascii="Calibri" w:hAnsi="Calibri"/>
                <w:b w:val="0"/>
                <w:i w:val="0"/>
                <w:color w:val="000000"/>
                <w:sz w:val="12"/>
              </w:rPr>
              <w:t>0.1994</w:t>
            </w:r>
          </w:p>
        </w:tc>
        <w:tc>
          <w:tcPr>
            <w:tcW w:type="dxa" w:w="912"/>
            <w:vAlign w:val="center"/>
          </w:tcPr>
          <w:p>
            <w:pPr>
              <w:spacing w:after="0" w:line="240" w:lineRule="auto"/>
              <w:jc w:val="center"/>
            </w:pPr>
            <w:r/>
            <w:r>
              <w:rPr>
                <w:rFonts w:ascii="Calibri" w:hAnsi="Calibri"/>
                <w:b w:val="0"/>
                <w:i w:val="0"/>
                <w:color w:val="000000"/>
                <w:sz w:val="12"/>
              </w:rPr>
              <w:t>1.0955</w:t>
            </w:r>
          </w:p>
        </w:tc>
        <w:tc>
          <w:tcPr>
            <w:tcW w:type="dxa" w:w="912"/>
            <w:vAlign w:val="center"/>
          </w:tcPr>
          <w:p>
            <w:pPr>
              <w:spacing w:after="0" w:line="240" w:lineRule="auto"/>
              <w:jc w:val="center"/>
            </w:pPr>
            <w:r/>
            <w:r>
              <w:rPr>
                <w:rFonts w:ascii="Calibri" w:hAnsi="Calibri"/>
                <w:b w:val="0"/>
                <w:i w:val="0"/>
                <w:color w:val="000000"/>
                <w:sz w:val="12"/>
              </w:rPr>
              <w:t>1.54</w:t>
            </w:r>
          </w:p>
        </w:tc>
        <w:tc>
          <w:tcPr>
            <w:tcW w:type="dxa" w:w="912"/>
            <w:vAlign w:val="center"/>
          </w:tcPr>
          <w:p>
            <w:pPr>
              <w:spacing w:after="0" w:line="240" w:lineRule="auto"/>
              <w:jc w:val="center"/>
            </w:pPr>
            <w:r/>
            <w:r>
              <w:rPr>
                <w:rFonts w:ascii="Calibri" w:hAnsi="Calibri"/>
                <w:b w:val="0"/>
                <w:i w:val="0"/>
                <w:color w:val="000000"/>
                <w:sz w:val="12"/>
              </w:rPr>
              <w:t>1.66</w:t>
            </w:r>
          </w:p>
        </w:tc>
        <w:tc>
          <w:tcPr>
            <w:tcW w:type="dxa" w:w="2608"/>
            <w:vAlign w:val="center"/>
          </w:tcPr>
          <w:p>
            <w:pPr>
              <w:spacing w:after="0" w:line="240" w:lineRule="auto"/>
              <w:jc w:val="center"/>
            </w:pPr>
            <w:r/>
            <w:r>
              <w:rPr>
                <w:rFonts w:ascii="Calibri" w:hAnsi="Calibri"/>
                <w:b w:val="0"/>
                <w:i w:val="0"/>
                <w:color w:val="000000"/>
                <w:sz w:val="12"/>
              </w:rPr>
              <w:t>37.86</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VMD-ARIMA</w:t>
            </w:r>
          </w:p>
        </w:tc>
        <w:tc>
          <w:tcPr>
            <w:tcW w:type="dxa" w:w="1172"/>
            <w:vAlign w:val="center"/>
          </w:tcPr>
          <w:p>
            <w:pPr>
              <w:spacing w:after="0" w:line="240" w:lineRule="auto"/>
              <w:jc w:val="center"/>
            </w:pPr>
            <w:r/>
            <w:r>
              <w:rPr>
                <w:rFonts w:ascii="Calibri" w:hAnsi="Calibri"/>
                <w:b w:val="0"/>
                <w:i w:val="0"/>
                <w:color w:val="000000"/>
                <w:sz w:val="12"/>
              </w:rPr>
              <w:t>0.4731</w:t>
            </w:r>
          </w:p>
        </w:tc>
        <w:tc>
          <w:tcPr>
            <w:tcW w:type="dxa" w:w="1172"/>
            <w:vAlign w:val="center"/>
          </w:tcPr>
          <w:p>
            <w:pPr>
              <w:spacing w:after="0" w:line="240" w:lineRule="auto"/>
              <w:jc w:val="center"/>
            </w:pPr>
            <w:r/>
            <w:r>
              <w:rPr>
                <w:rFonts w:ascii="Calibri" w:hAnsi="Calibri"/>
                <w:b w:val="0"/>
                <w:i w:val="0"/>
                <w:color w:val="000000"/>
                <w:sz w:val="12"/>
              </w:rPr>
              <w:t>0.2450</w:t>
            </w:r>
          </w:p>
        </w:tc>
        <w:tc>
          <w:tcPr>
            <w:tcW w:type="dxa" w:w="912"/>
            <w:vAlign w:val="center"/>
          </w:tcPr>
          <w:p>
            <w:pPr>
              <w:spacing w:after="0" w:line="240" w:lineRule="auto"/>
              <w:jc w:val="center"/>
            </w:pPr>
            <w:r/>
            <w:r>
              <w:rPr>
                <w:rFonts w:ascii="Calibri" w:hAnsi="Calibri"/>
                <w:b w:val="0"/>
                <w:i w:val="0"/>
                <w:color w:val="000000"/>
                <w:sz w:val="12"/>
              </w:rPr>
              <w:t>1.3463</w:t>
            </w:r>
          </w:p>
        </w:tc>
        <w:tc>
          <w:tcPr>
            <w:tcW w:type="dxa" w:w="912"/>
            <w:vAlign w:val="center"/>
          </w:tcPr>
          <w:p>
            <w:pPr>
              <w:spacing w:after="0" w:line="240" w:lineRule="auto"/>
              <w:jc w:val="center"/>
            </w:pPr>
            <w:r/>
            <w:r>
              <w:rPr>
                <w:rFonts w:ascii="Calibri" w:hAnsi="Calibri"/>
                <w:b w:val="0"/>
                <w:i w:val="0"/>
                <w:color w:val="000000"/>
                <w:sz w:val="12"/>
              </w:rPr>
              <w:t>1.92</w:t>
            </w:r>
          </w:p>
        </w:tc>
        <w:tc>
          <w:tcPr>
            <w:tcW w:type="dxa" w:w="912"/>
            <w:vAlign w:val="center"/>
          </w:tcPr>
          <w:p>
            <w:pPr>
              <w:spacing w:after="0" w:line="240" w:lineRule="auto"/>
              <w:jc w:val="center"/>
            </w:pPr>
            <w:r/>
            <w:r>
              <w:rPr>
                <w:rFonts w:ascii="Calibri" w:hAnsi="Calibri"/>
                <w:b w:val="0"/>
                <w:i w:val="0"/>
                <w:color w:val="000000"/>
                <w:sz w:val="12"/>
              </w:rPr>
              <w:t>2.03</w:t>
            </w:r>
          </w:p>
        </w:tc>
        <w:tc>
          <w:tcPr>
            <w:tcW w:type="dxa" w:w="2608"/>
            <w:vAlign w:val="center"/>
          </w:tcPr>
          <w:p>
            <w:pPr>
              <w:spacing w:after="0" w:line="240" w:lineRule="auto"/>
              <w:jc w:val="center"/>
            </w:pPr>
            <w:r/>
            <w:r>
              <w:rPr>
                <w:rFonts w:ascii="Calibri" w:hAnsi="Calibri"/>
                <w:b w:val="0"/>
                <w:i w:val="0"/>
                <w:color w:val="000000"/>
                <w:sz w:val="12"/>
              </w:rPr>
              <w:t>44.29</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Proposed VMD-LASSO-ARIMA/LSTM</w:t>
            </w:r>
          </w:p>
        </w:tc>
        <w:tc>
          <w:tcPr>
            <w:tcW w:type="dxa" w:w="1172"/>
            <w:vAlign w:val="center"/>
          </w:tcPr>
          <w:p>
            <w:pPr>
              <w:spacing w:after="0" w:line="240" w:lineRule="auto"/>
              <w:jc w:val="center"/>
            </w:pPr>
            <w:r/>
            <w:r>
              <w:rPr>
                <w:rFonts w:ascii="Calibri" w:hAnsi="Calibri"/>
                <w:b w:val="0"/>
                <w:i w:val="0"/>
                <w:color w:val="000000"/>
                <w:sz w:val="12"/>
              </w:rPr>
              <w:t>0.5360</w:t>
            </w:r>
          </w:p>
        </w:tc>
        <w:tc>
          <w:tcPr>
            <w:tcW w:type="dxa" w:w="1172"/>
            <w:vAlign w:val="center"/>
          </w:tcPr>
          <w:p>
            <w:pPr>
              <w:spacing w:after="0" w:line="240" w:lineRule="auto"/>
              <w:jc w:val="center"/>
            </w:pPr>
            <w:r/>
            <w:r>
              <w:rPr>
                <w:rFonts w:ascii="Calibri" w:hAnsi="Calibri"/>
                <w:b w:val="0"/>
                <w:i w:val="0"/>
                <w:color w:val="000000"/>
                <w:sz w:val="12"/>
              </w:rPr>
              <w:t>0.2986</w:t>
            </w:r>
          </w:p>
        </w:tc>
        <w:tc>
          <w:tcPr>
            <w:tcW w:type="dxa" w:w="912"/>
            <w:vAlign w:val="center"/>
          </w:tcPr>
          <w:p>
            <w:pPr>
              <w:spacing w:after="0" w:line="240" w:lineRule="auto"/>
              <w:jc w:val="center"/>
            </w:pPr>
            <w:r/>
            <w:r>
              <w:rPr>
                <w:rFonts w:ascii="Calibri" w:hAnsi="Calibri"/>
                <w:b w:val="0"/>
                <w:i w:val="0"/>
                <w:color w:val="000000"/>
                <w:sz w:val="12"/>
              </w:rPr>
              <w:t>1.6407</w:t>
            </w:r>
          </w:p>
        </w:tc>
        <w:tc>
          <w:tcPr>
            <w:tcW w:type="dxa" w:w="912"/>
            <w:vAlign w:val="center"/>
          </w:tcPr>
          <w:p>
            <w:pPr>
              <w:spacing w:after="0" w:line="240" w:lineRule="auto"/>
              <w:jc w:val="center"/>
            </w:pPr>
            <w:r/>
            <w:r>
              <w:rPr>
                <w:rFonts w:ascii="Calibri" w:hAnsi="Calibri"/>
                <w:b w:val="0"/>
                <w:i w:val="0"/>
                <w:color w:val="000000"/>
                <w:sz w:val="12"/>
              </w:rPr>
              <w:t>2.30</w:t>
            </w:r>
          </w:p>
        </w:tc>
        <w:tc>
          <w:tcPr>
            <w:tcW w:type="dxa" w:w="912"/>
            <w:vAlign w:val="center"/>
          </w:tcPr>
          <w:p>
            <w:pPr>
              <w:spacing w:after="0" w:line="240" w:lineRule="auto"/>
              <w:jc w:val="center"/>
            </w:pPr>
            <w:r/>
            <w:r>
              <w:rPr>
                <w:rFonts w:ascii="Calibri" w:hAnsi="Calibri"/>
                <w:b w:val="0"/>
                <w:i w:val="0"/>
                <w:color w:val="000000"/>
                <w:sz w:val="12"/>
              </w:rPr>
              <w:t>2.41</w:t>
            </w:r>
          </w:p>
        </w:tc>
        <w:tc>
          <w:tcPr>
            <w:tcW w:type="dxa" w:w="2608"/>
            <w:vAlign w:val="center"/>
          </w:tcPr>
          <w:p>
            <w:pPr>
              <w:spacing w:after="0" w:line="240" w:lineRule="auto"/>
              <w:jc w:val="center"/>
            </w:pPr>
            <w:r/>
            <w:r>
              <w:rPr>
                <w:rFonts w:ascii="Calibri" w:hAnsi="Calibri"/>
                <w:b w:val="0"/>
                <w:i w:val="0"/>
                <w:color w:val="000000"/>
                <w:sz w:val="12"/>
              </w:rPr>
              <w:t>41.43</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CEEMDAN-LSTM</w:t>
            </w:r>
          </w:p>
        </w:tc>
        <w:tc>
          <w:tcPr>
            <w:tcW w:type="dxa" w:w="1172"/>
            <w:vAlign w:val="center"/>
          </w:tcPr>
          <w:p>
            <w:pPr>
              <w:spacing w:after="0" w:line="240" w:lineRule="auto"/>
              <w:jc w:val="center"/>
            </w:pPr>
            <w:r/>
            <w:r>
              <w:rPr>
                <w:rFonts w:ascii="Calibri" w:hAnsi="Calibri"/>
                <w:b w:val="0"/>
                <w:i w:val="0"/>
                <w:color w:val="000000"/>
                <w:sz w:val="12"/>
              </w:rPr>
              <w:t>0.6157</w:t>
            </w:r>
          </w:p>
        </w:tc>
        <w:tc>
          <w:tcPr>
            <w:tcW w:type="dxa" w:w="1172"/>
            <w:vAlign w:val="center"/>
          </w:tcPr>
          <w:p>
            <w:pPr>
              <w:spacing w:after="0" w:line="240" w:lineRule="auto"/>
              <w:jc w:val="center"/>
            </w:pPr>
            <w:r/>
            <w:r>
              <w:rPr>
                <w:rFonts w:ascii="Calibri" w:hAnsi="Calibri"/>
                <w:b w:val="0"/>
                <w:i w:val="0"/>
                <w:color w:val="000000"/>
                <w:sz w:val="12"/>
              </w:rPr>
              <w:t>0.4043</w:t>
            </w:r>
          </w:p>
        </w:tc>
        <w:tc>
          <w:tcPr>
            <w:tcW w:type="dxa" w:w="912"/>
            <w:vAlign w:val="center"/>
          </w:tcPr>
          <w:p>
            <w:pPr>
              <w:spacing w:after="0" w:line="240" w:lineRule="auto"/>
              <w:jc w:val="center"/>
            </w:pPr>
            <w:r/>
            <w:r>
              <w:rPr>
                <w:rFonts w:ascii="Calibri" w:hAnsi="Calibri"/>
                <w:b w:val="0"/>
                <w:i w:val="0"/>
                <w:color w:val="000000"/>
                <w:sz w:val="12"/>
              </w:rPr>
              <w:t>2.2216</w:t>
            </w:r>
          </w:p>
        </w:tc>
        <w:tc>
          <w:tcPr>
            <w:tcW w:type="dxa" w:w="912"/>
            <w:vAlign w:val="center"/>
          </w:tcPr>
          <w:p>
            <w:pPr>
              <w:spacing w:after="0" w:line="240" w:lineRule="auto"/>
              <w:jc w:val="center"/>
            </w:pPr>
            <w:r/>
            <w:r>
              <w:rPr>
                <w:rFonts w:ascii="Calibri" w:hAnsi="Calibri"/>
                <w:b w:val="0"/>
                <w:i w:val="0"/>
                <w:color w:val="000000"/>
                <w:sz w:val="12"/>
              </w:rPr>
              <w:t>3.44</w:t>
            </w:r>
          </w:p>
        </w:tc>
        <w:tc>
          <w:tcPr>
            <w:tcW w:type="dxa" w:w="912"/>
            <w:vAlign w:val="center"/>
          </w:tcPr>
          <w:p>
            <w:pPr>
              <w:spacing w:after="0" w:line="240" w:lineRule="auto"/>
              <w:jc w:val="center"/>
            </w:pPr>
            <w:r/>
            <w:r>
              <w:rPr>
                <w:rFonts w:ascii="Calibri" w:hAnsi="Calibri"/>
                <w:b w:val="0"/>
                <w:i w:val="0"/>
                <w:color w:val="000000"/>
                <w:sz w:val="12"/>
              </w:rPr>
              <w:t>3.43</w:t>
            </w:r>
          </w:p>
        </w:tc>
        <w:tc>
          <w:tcPr>
            <w:tcW w:type="dxa" w:w="2608"/>
            <w:vAlign w:val="center"/>
          </w:tcPr>
          <w:p>
            <w:pPr>
              <w:spacing w:after="0" w:line="240" w:lineRule="auto"/>
              <w:jc w:val="center"/>
            </w:pPr>
            <w:r/>
            <w:r>
              <w:rPr>
                <w:rFonts w:ascii="Calibri" w:hAnsi="Calibri"/>
                <w:b w:val="0"/>
                <w:i w:val="0"/>
                <w:color w:val="000000"/>
                <w:sz w:val="12"/>
              </w:rPr>
              <w:t>39.29</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VMD-LSTM</w:t>
            </w:r>
          </w:p>
        </w:tc>
        <w:tc>
          <w:tcPr>
            <w:tcW w:type="dxa" w:w="1172"/>
            <w:vAlign w:val="center"/>
          </w:tcPr>
          <w:p>
            <w:pPr>
              <w:spacing w:after="0" w:line="240" w:lineRule="auto"/>
              <w:jc w:val="center"/>
            </w:pPr>
            <w:r/>
            <w:r>
              <w:rPr>
                <w:rFonts w:ascii="Calibri" w:hAnsi="Calibri"/>
                <w:b w:val="0"/>
                <w:i w:val="0"/>
                <w:color w:val="000000"/>
                <w:sz w:val="12"/>
              </w:rPr>
              <w:t>0.6450</w:t>
            </w:r>
          </w:p>
        </w:tc>
        <w:tc>
          <w:tcPr>
            <w:tcW w:type="dxa" w:w="1172"/>
            <w:vAlign w:val="center"/>
          </w:tcPr>
          <w:p>
            <w:pPr>
              <w:spacing w:after="0" w:line="240" w:lineRule="auto"/>
              <w:jc w:val="center"/>
            </w:pPr>
            <w:r/>
            <w:r>
              <w:rPr>
                <w:rFonts w:ascii="Calibri" w:hAnsi="Calibri"/>
                <w:b w:val="0"/>
                <w:i w:val="0"/>
                <w:color w:val="000000"/>
                <w:sz w:val="12"/>
              </w:rPr>
              <w:t>0.4285</w:t>
            </w:r>
          </w:p>
        </w:tc>
        <w:tc>
          <w:tcPr>
            <w:tcW w:type="dxa" w:w="912"/>
            <w:vAlign w:val="center"/>
          </w:tcPr>
          <w:p>
            <w:pPr>
              <w:spacing w:after="0" w:line="240" w:lineRule="auto"/>
              <w:jc w:val="center"/>
            </w:pPr>
            <w:r/>
            <w:r>
              <w:rPr>
                <w:rFonts w:ascii="Calibri" w:hAnsi="Calibri"/>
                <w:b w:val="0"/>
                <w:i w:val="0"/>
                <w:color w:val="000000"/>
                <w:sz w:val="12"/>
              </w:rPr>
              <w:t>2.3546</w:t>
            </w:r>
          </w:p>
        </w:tc>
        <w:tc>
          <w:tcPr>
            <w:tcW w:type="dxa" w:w="912"/>
            <w:vAlign w:val="center"/>
          </w:tcPr>
          <w:p>
            <w:pPr>
              <w:spacing w:after="0" w:line="240" w:lineRule="auto"/>
              <w:jc w:val="center"/>
            </w:pPr>
            <w:r/>
            <w:r>
              <w:rPr>
                <w:rFonts w:ascii="Calibri" w:hAnsi="Calibri"/>
                <w:b w:val="0"/>
                <w:i w:val="0"/>
                <w:color w:val="000000"/>
                <w:sz w:val="12"/>
              </w:rPr>
              <w:t>3.22</w:t>
            </w:r>
          </w:p>
        </w:tc>
        <w:tc>
          <w:tcPr>
            <w:tcW w:type="dxa" w:w="912"/>
            <w:vAlign w:val="center"/>
          </w:tcPr>
          <w:p>
            <w:pPr>
              <w:spacing w:after="0" w:line="240" w:lineRule="auto"/>
              <w:jc w:val="center"/>
            </w:pPr>
            <w:r/>
            <w:r>
              <w:rPr>
                <w:rFonts w:ascii="Calibri" w:hAnsi="Calibri"/>
                <w:b w:val="0"/>
                <w:i w:val="0"/>
                <w:color w:val="000000"/>
                <w:sz w:val="12"/>
              </w:rPr>
              <w:t>3.19</w:t>
            </w:r>
          </w:p>
        </w:tc>
        <w:tc>
          <w:tcPr>
            <w:tcW w:type="dxa" w:w="2608"/>
            <w:vAlign w:val="center"/>
          </w:tcPr>
          <w:p>
            <w:pPr>
              <w:spacing w:after="0" w:line="240" w:lineRule="auto"/>
              <w:jc w:val="center"/>
            </w:pPr>
            <w:r/>
            <w:r>
              <w:rPr>
                <w:rFonts w:ascii="Calibri" w:hAnsi="Calibri"/>
                <w:b w:val="0"/>
                <w:i w:val="0"/>
                <w:color w:val="000000"/>
                <w:sz w:val="12"/>
              </w:rPr>
              <w:t>44.29</w:t>
            </w:r>
          </w:p>
        </w:tc>
      </w:tr>
    </w:tbl>
    <w:p>
      <w:pPr>
        <w:spacing w:after="60"/>
      </w:pPr>
    </w:p>
    <w:p>
      <w:pPr>
        <w:pStyle w:val="Heading3"/>
      </w:pPr>
      <w:r>
        <w:t>Interpretation of Table 8</w:t>
      </w:r>
    </w:p>
    <w:p>
      <w:pPr>
        <w:spacing w:after="160" w:line="320" w:lineRule="auto"/>
        <w:jc w:val="both"/>
      </w:pPr>
      <w:r>
        <w:rPr>
          <w:rFonts w:ascii="Calibri" w:hAnsi="Calibri"/>
          <w:b/>
          <w:i w:val="0"/>
          <w:color w:val="000000"/>
          <w:sz w:val="22"/>
        </w:rPr>
        <w:t>Carbonate decomposition:</w:t>
      </w:r>
      <w:r>
        <w:rPr>
          <w:rFonts w:ascii="Calibri" w:hAnsi="Calibri"/>
          <w:b w:val="0"/>
          <w:i w:val="0"/>
          <w:color w:val="000000"/>
          <w:sz w:val="22"/>
        </w:rPr>
        <w:t xml:space="preserve"> CEEMDAN-LSTM achieves the lowest carbonate RMSE at 3,385.67, while CEEMDAN-ARIMA achieves the lowest MAE at 1,436.92 and the highest directional accuracy at 77.04%. The proposed hybrid records RMSE 3,672.30 and directional accuracy 76.30%, so it is competitive but not the metric leader.</w:t>
      </w:r>
    </w:p>
    <w:p>
      <w:pPr>
        <w:spacing w:after="160" w:line="320" w:lineRule="auto"/>
        <w:jc w:val="both"/>
      </w:pPr>
      <w:r>
        <w:rPr>
          <w:rFonts w:ascii="Calibri" w:hAnsi="Calibri"/>
          <w:b/>
          <w:i w:val="0"/>
          <w:color w:val="000000"/>
          <w:sz w:val="22"/>
        </w:rPr>
        <w:t>Hydroxide decomposition:</w:t>
      </w:r>
      <w:r>
        <w:rPr>
          <w:rFonts w:ascii="Calibri" w:hAnsi="Calibri"/>
          <w:b w:val="0"/>
          <w:i w:val="0"/>
          <w:color w:val="000000"/>
          <w:sz w:val="22"/>
        </w:rPr>
        <w:t xml:space="preserve"> CEEMDAN-ARIMA leads hydroxide on RMSE (0.4467) and MAE (0.1994). VMD-ARIMA has the highest directional accuracy (44.29%). The proposed RMSE of 0.5360 improves on every single-model RMSE but is roughly 20% above CEEMDAN-ARIMA.</w:t>
      </w:r>
    </w:p>
    <w:p>
      <w:pPr>
        <w:spacing w:after="160" w:line="320" w:lineRule="auto"/>
        <w:jc w:val="both"/>
      </w:pPr>
      <w:r>
        <w:rPr>
          <w:rFonts w:ascii="Calibri" w:hAnsi="Calibri"/>
          <w:b/>
          <w:i w:val="0"/>
          <w:color w:val="000000"/>
          <w:sz w:val="22"/>
        </w:rPr>
        <w:t>Main conclusion:</w:t>
      </w:r>
      <w:r>
        <w:rPr>
          <w:rFonts w:ascii="Calibri" w:hAnsi="Calibri"/>
          <w:b w:val="0"/>
          <w:i w:val="0"/>
          <w:color w:val="000000"/>
          <w:sz w:val="22"/>
        </w:rPr>
        <w:t xml:space="preserve"> Decomposition is useful, but the evidence does not support universal superiority of the proposed VMD-LASSO-ARIMA/LSTM architecture. The best decomposition family and component forecaster depend on the target and metric, which is more informative than selecting a single winner from one error column.</w:t>
      </w:r>
    </w:p>
    <w:p>
      <w:pPr>
        <w:keepNext/>
        <w:spacing w:before="100" w:after="80"/>
      </w:pPr>
      <w:r>
        <w:rPr>
          <w:rFonts w:ascii="Calibri" w:hAnsi="Calibri"/>
          <w:b/>
          <w:i w:val="0"/>
          <w:color w:val="1F4D78"/>
          <w:sz w:val="18"/>
        </w:rPr>
        <w:t xml:space="preserve">Table 9. </w:t>
      </w:r>
      <w:r>
        <w:rPr>
          <w:rFonts w:ascii="Calibri" w:hAnsi="Calibri"/>
          <w:b w:val="0"/>
          <w:i/>
          <w:color w:val="000000"/>
          <w:sz w:val="18"/>
        </w:rPr>
        <w:t>Diebold-Mariano tests comparing the proposed model with forecasting benchmarks.</w:t>
      </w:r>
    </w:p>
    <w:tbl>
      <w:tblPr>
        <w:tblStyle w:val="TableGrid"/>
        <w:tblW w:type="dxa" w:w="13680"/>
        <w:jc w:val="left"/>
        <w:tblLayout w:type="fixed"/>
        <w:tblLook w:firstColumn="1" w:firstRow="1" w:lastColumn="0" w:lastRow="0" w:noHBand="0" w:noVBand="1" w:val="04A0"/>
      </w:tblPr>
      <w:tblGrid>
        <w:gridCol w:w="3577"/>
        <w:gridCol w:w="2736"/>
        <w:gridCol w:w="2525"/>
        <w:gridCol w:w="1473"/>
        <w:gridCol w:w="3369"/>
      </w:tblGrid>
      <w:tr>
        <w:trPr>
          <w:tblHeader w:val="true"/>
        </w:trPr>
        <w:tc>
          <w:tcPr>
            <w:tcW w:type="dxa" w:w="3577"/>
            <w:shd w:fill="F4F6F9"/>
            <w:vAlign w:val="center"/>
          </w:tcPr>
          <w:p>
            <w:pPr>
              <w:jc w:val="center"/>
            </w:pPr>
            <w:r/>
            <w:r>
              <w:rPr>
                <w:rFonts w:ascii="Calibri" w:hAnsi="Calibri"/>
                <w:b/>
                <w:i w:val="0"/>
                <w:color w:val="0B2545"/>
                <w:sz w:val="11"/>
              </w:rPr>
              <w:t>Target</w:t>
            </w:r>
          </w:p>
        </w:tc>
        <w:tc>
          <w:tcPr>
            <w:tcW w:type="dxa" w:w="2736"/>
            <w:shd w:fill="F4F6F9"/>
            <w:vAlign w:val="center"/>
          </w:tcPr>
          <w:p>
            <w:pPr>
              <w:jc w:val="center"/>
            </w:pPr>
            <w:r/>
            <w:r>
              <w:rPr>
                <w:rFonts w:ascii="Calibri" w:hAnsi="Calibri"/>
                <w:b/>
                <w:i w:val="0"/>
                <w:color w:val="0B2545"/>
                <w:sz w:val="11"/>
              </w:rPr>
              <w:t>Benchmark</w:t>
            </w:r>
          </w:p>
        </w:tc>
        <w:tc>
          <w:tcPr>
            <w:tcW w:type="dxa" w:w="2525"/>
            <w:shd w:fill="F4F6F9"/>
            <w:vAlign w:val="center"/>
          </w:tcPr>
          <w:p>
            <w:pPr>
              <w:jc w:val="center"/>
            </w:pPr>
            <w:r/>
            <w:r>
              <w:rPr>
                <w:rFonts w:ascii="Calibri" w:hAnsi="Calibri"/>
                <w:b/>
                <w:i w:val="0"/>
                <w:color w:val="0B2545"/>
                <w:sz w:val="11"/>
              </w:rPr>
              <w:t>DM statistic</w:t>
            </w:r>
          </w:p>
        </w:tc>
        <w:tc>
          <w:tcPr>
            <w:tcW w:type="dxa" w:w="1473"/>
            <w:shd w:fill="F4F6F9"/>
            <w:vAlign w:val="center"/>
          </w:tcPr>
          <w:p>
            <w:pPr>
              <w:jc w:val="center"/>
            </w:pPr>
            <w:r/>
            <w:r>
              <w:rPr>
                <w:rFonts w:ascii="Calibri" w:hAnsi="Calibri"/>
                <w:b/>
                <w:i w:val="0"/>
                <w:color w:val="0B2545"/>
                <w:sz w:val="11"/>
              </w:rPr>
              <w:t>p-value</w:t>
            </w:r>
          </w:p>
        </w:tc>
        <w:tc>
          <w:tcPr>
            <w:tcW w:type="dxa" w:w="3369"/>
            <w:shd w:fill="F4F6F9"/>
            <w:vAlign w:val="center"/>
          </w:tcPr>
          <w:p>
            <w:pPr>
              <w:jc w:val="center"/>
            </w:pPr>
            <w:r/>
            <w:r>
              <w:rPr>
                <w:rFonts w:ascii="Calibri" w:hAnsi="Calibri"/>
                <w:b/>
                <w:i w:val="0"/>
                <w:color w:val="0B2545"/>
                <w:sz w:val="11"/>
              </w:rPr>
              <w:t>Direction</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ES</w:t>
            </w:r>
          </w:p>
        </w:tc>
        <w:tc>
          <w:tcPr>
            <w:tcW w:type="dxa" w:w="2525"/>
            <w:vAlign w:val="center"/>
          </w:tcPr>
          <w:p>
            <w:pPr>
              <w:spacing w:after="0" w:line="240" w:lineRule="auto"/>
              <w:jc w:val="center"/>
            </w:pPr>
            <w:r/>
            <w:r>
              <w:rPr>
                <w:rFonts w:ascii="Calibri" w:hAnsi="Calibri"/>
                <w:b w:val="0"/>
                <w:i w:val="0"/>
                <w:color w:val="000000"/>
                <w:sz w:val="11"/>
              </w:rPr>
              <w:t>-10.9885</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ELM</w:t>
            </w:r>
          </w:p>
        </w:tc>
        <w:tc>
          <w:tcPr>
            <w:tcW w:type="dxa" w:w="2525"/>
            <w:vAlign w:val="center"/>
          </w:tcPr>
          <w:p>
            <w:pPr>
              <w:spacing w:after="0" w:line="240" w:lineRule="auto"/>
              <w:jc w:val="center"/>
            </w:pPr>
            <w:r/>
            <w:r>
              <w:rPr>
                <w:rFonts w:ascii="Calibri" w:hAnsi="Calibri"/>
                <w:b w:val="0"/>
                <w:i w:val="0"/>
                <w:color w:val="000000"/>
                <w:sz w:val="11"/>
              </w:rPr>
              <w:t>-8.3139</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VMD-ARIMA</w:t>
            </w:r>
          </w:p>
        </w:tc>
        <w:tc>
          <w:tcPr>
            <w:tcW w:type="dxa" w:w="2525"/>
            <w:vAlign w:val="center"/>
          </w:tcPr>
          <w:p>
            <w:pPr>
              <w:spacing w:after="0" w:line="240" w:lineRule="auto"/>
              <w:jc w:val="center"/>
            </w:pPr>
            <w:r/>
            <w:r>
              <w:rPr>
                <w:rFonts w:ascii="Calibri" w:hAnsi="Calibri"/>
                <w:b w:val="0"/>
                <w:i w:val="0"/>
                <w:color w:val="000000"/>
                <w:sz w:val="11"/>
              </w:rPr>
              <w:t>-7.3929</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MLP</w:t>
            </w:r>
          </w:p>
        </w:tc>
        <w:tc>
          <w:tcPr>
            <w:tcW w:type="dxa" w:w="2525"/>
            <w:vAlign w:val="center"/>
          </w:tcPr>
          <w:p>
            <w:pPr>
              <w:spacing w:after="0" w:line="240" w:lineRule="auto"/>
              <w:jc w:val="center"/>
            </w:pPr>
            <w:r/>
            <w:r>
              <w:rPr>
                <w:rFonts w:ascii="Calibri" w:hAnsi="Calibri"/>
                <w:b w:val="0"/>
                <w:i w:val="0"/>
                <w:color w:val="000000"/>
                <w:sz w:val="11"/>
              </w:rPr>
              <w:t>-7.1313</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SVR</w:t>
            </w:r>
          </w:p>
        </w:tc>
        <w:tc>
          <w:tcPr>
            <w:tcW w:type="dxa" w:w="2525"/>
            <w:vAlign w:val="center"/>
          </w:tcPr>
          <w:p>
            <w:pPr>
              <w:spacing w:after="0" w:line="240" w:lineRule="auto"/>
              <w:jc w:val="center"/>
            </w:pPr>
            <w:r/>
            <w:r>
              <w:rPr>
                <w:rFonts w:ascii="Calibri" w:hAnsi="Calibri"/>
                <w:b w:val="0"/>
                <w:i w:val="0"/>
                <w:color w:val="000000"/>
                <w:sz w:val="11"/>
              </w:rPr>
              <w:t>-6.0575</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LSTM</w:t>
            </w:r>
          </w:p>
        </w:tc>
        <w:tc>
          <w:tcPr>
            <w:tcW w:type="dxa" w:w="2525"/>
            <w:vAlign w:val="center"/>
          </w:tcPr>
          <w:p>
            <w:pPr>
              <w:spacing w:after="0" w:line="240" w:lineRule="auto"/>
              <w:jc w:val="center"/>
            </w:pPr>
            <w:r/>
            <w:r>
              <w:rPr>
                <w:rFonts w:ascii="Calibri" w:hAnsi="Calibri"/>
                <w:b w:val="0"/>
                <w:i w:val="0"/>
                <w:color w:val="000000"/>
                <w:sz w:val="11"/>
              </w:rPr>
              <w:t>-5.8798</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VMD-LSTM</w:t>
            </w:r>
          </w:p>
        </w:tc>
        <w:tc>
          <w:tcPr>
            <w:tcW w:type="dxa" w:w="2525"/>
            <w:vAlign w:val="center"/>
          </w:tcPr>
          <w:p>
            <w:pPr>
              <w:spacing w:after="0" w:line="240" w:lineRule="auto"/>
              <w:jc w:val="center"/>
            </w:pPr>
            <w:r/>
            <w:r>
              <w:rPr>
                <w:rFonts w:ascii="Calibri" w:hAnsi="Calibri"/>
                <w:b w:val="0"/>
                <w:i w:val="0"/>
                <w:color w:val="000000"/>
                <w:sz w:val="11"/>
              </w:rPr>
              <w:t>-2.4724</w:t>
            </w:r>
          </w:p>
        </w:tc>
        <w:tc>
          <w:tcPr>
            <w:tcW w:type="dxa" w:w="1473"/>
            <w:vAlign w:val="center"/>
          </w:tcPr>
          <w:p>
            <w:pPr>
              <w:spacing w:after="0" w:line="240" w:lineRule="auto"/>
              <w:jc w:val="center"/>
            </w:pPr>
            <w:r/>
            <w:r>
              <w:rPr>
                <w:rFonts w:ascii="Calibri" w:hAnsi="Calibri"/>
                <w:b w:val="0"/>
                <w:i w:val="0"/>
                <w:color w:val="000000"/>
                <w:sz w:val="11"/>
              </w:rPr>
              <w:t>0.0147</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RF</w:t>
            </w:r>
          </w:p>
        </w:tc>
        <w:tc>
          <w:tcPr>
            <w:tcW w:type="dxa" w:w="2525"/>
            <w:vAlign w:val="center"/>
          </w:tcPr>
          <w:p>
            <w:pPr>
              <w:spacing w:after="0" w:line="240" w:lineRule="auto"/>
              <w:jc w:val="center"/>
            </w:pPr>
            <w:r/>
            <w:r>
              <w:rPr>
                <w:rFonts w:ascii="Calibri" w:hAnsi="Calibri"/>
                <w:b w:val="0"/>
                <w:i w:val="0"/>
                <w:color w:val="000000"/>
                <w:sz w:val="11"/>
              </w:rPr>
              <w:t>-1.5777</w:t>
            </w:r>
          </w:p>
        </w:tc>
        <w:tc>
          <w:tcPr>
            <w:tcW w:type="dxa" w:w="1473"/>
            <w:vAlign w:val="center"/>
          </w:tcPr>
          <w:p>
            <w:pPr>
              <w:spacing w:after="0" w:line="240" w:lineRule="auto"/>
              <w:jc w:val="center"/>
            </w:pPr>
            <w:r/>
            <w:r>
              <w:rPr>
                <w:rFonts w:ascii="Calibri" w:hAnsi="Calibri"/>
                <w:b w:val="0"/>
                <w:i w:val="0"/>
                <w:color w:val="000000"/>
                <w:sz w:val="11"/>
              </w:rPr>
              <w:t>0.1170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CEEMDAN-LSTM</w:t>
            </w:r>
          </w:p>
        </w:tc>
        <w:tc>
          <w:tcPr>
            <w:tcW w:type="dxa" w:w="2525"/>
            <w:vAlign w:val="center"/>
          </w:tcPr>
          <w:p>
            <w:pPr>
              <w:spacing w:after="0" w:line="240" w:lineRule="auto"/>
              <w:jc w:val="center"/>
            </w:pPr>
            <w:r/>
            <w:r>
              <w:rPr>
                <w:rFonts w:ascii="Calibri" w:hAnsi="Calibri"/>
                <w:b w:val="0"/>
                <w:i w:val="0"/>
                <w:color w:val="000000"/>
                <w:sz w:val="11"/>
              </w:rPr>
              <w:t>0.4198</w:t>
            </w:r>
          </w:p>
        </w:tc>
        <w:tc>
          <w:tcPr>
            <w:tcW w:type="dxa" w:w="1473"/>
            <w:vAlign w:val="center"/>
          </w:tcPr>
          <w:p>
            <w:pPr>
              <w:spacing w:after="0" w:line="240" w:lineRule="auto"/>
              <w:jc w:val="center"/>
            </w:pPr>
            <w:r/>
            <w:r>
              <w:rPr>
                <w:rFonts w:ascii="Calibri" w:hAnsi="Calibri"/>
                <w:b w:val="0"/>
                <w:i w:val="0"/>
                <w:color w:val="000000"/>
                <w:sz w:val="11"/>
              </w:rPr>
              <w:t>0.6753</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Random Walk</w:t>
            </w:r>
          </w:p>
        </w:tc>
        <w:tc>
          <w:tcPr>
            <w:tcW w:type="dxa" w:w="2525"/>
            <w:vAlign w:val="center"/>
          </w:tcPr>
          <w:p>
            <w:pPr>
              <w:spacing w:after="0" w:line="240" w:lineRule="auto"/>
              <w:jc w:val="center"/>
            </w:pPr>
            <w:r/>
            <w:r>
              <w:rPr>
                <w:rFonts w:ascii="Calibri" w:hAnsi="Calibri"/>
                <w:b w:val="0"/>
                <w:i w:val="0"/>
                <w:color w:val="000000"/>
                <w:sz w:val="11"/>
              </w:rPr>
              <w:t>0.2038</w:t>
            </w:r>
          </w:p>
        </w:tc>
        <w:tc>
          <w:tcPr>
            <w:tcW w:type="dxa" w:w="1473"/>
            <w:vAlign w:val="center"/>
          </w:tcPr>
          <w:p>
            <w:pPr>
              <w:spacing w:after="0" w:line="240" w:lineRule="auto"/>
              <w:jc w:val="center"/>
            </w:pPr>
            <w:r/>
            <w:r>
              <w:rPr>
                <w:rFonts w:ascii="Calibri" w:hAnsi="Calibri"/>
                <w:b w:val="0"/>
                <w:i w:val="0"/>
                <w:color w:val="000000"/>
                <w:sz w:val="11"/>
              </w:rPr>
              <w:t>0.8388</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ARIMA</w:t>
            </w:r>
          </w:p>
        </w:tc>
        <w:tc>
          <w:tcPr>
            <w:tcW w:type="dxa" w:w="2525"/>
            <w:vAlign w:val="center"/>
          </w:tcPr>
          <w:p>
            <w:pPr>
              <w:spacing w:after="0" w:line="240" w:lineRule="auto"/>
              <w:jc w:val="center"/>
            </w:pPr>
            <w:r/>
            <w:r>
              <w:rPr>
                <w:rFonts w:ascii="Calibri" w:hAnsi="Calibri"/>
                <w:b w:val="0"/>
                <w:i w:val="0"/>
                <w:color w:val="000000"/>
                <w:sz w:val="11"/>
              </w:rPr>
              <w:t>0.1201</w:t>
            </w:r>
          </w:p>
        </w:tc>
        <w:tc>
          <w:tcPr>
            <w:tcW w:type="dxa" w:w="1473"/>
            <w:vAlign w:val="center"/>
          </w:tcPr>
          <w:p>
            <w:pPr>
              <w:spacing w:after="0" w:line="240" w:lineRule="auto"/>
              <w:jc w:val="center"/>
            </w:pPr>
            <w:r/>
            <w:r>
              <w:rPr>
                <w:rFonts w:ascii="Calibri" w:hAnsi="Calibri"/>
                <w:b w:val="0"/>
                <w:i w:val="0"/>
                <w:color w:val="000000"/>
                <w:sz w:val="11"/>
              </w:rPr>
              <w:t>0.9046</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CEEMDAN-ARIMA</w:t>
            </w:r>
          </w:p>
        </w:tc>
        <w:tc>
          <w:tcPr>
            <w:tcW w:type="dxa" w:w="2525"/>
            <w:vAlign w:val="center"/>
          </w:tcPr>
          <w:p>
            <w:pPr>
              <w:spacing w:after="0" w:line="240" w:lineRule="auto"/>
              <w:jc w:val="center"/>
            </w:pPr>
            <w:r/>
            <w:r>
              <w:rPr>
                <w:rFonts w:ascii="Calibri" w:hAnsi="Calibri"/>
                <w:b w:val="0"/>
                <w:i w:val="0"/>
                <w:color w:val="000000"/>
                <w:sz w:val="11"/>
              </w:rPr>
              <w:t>0.1090</w:t>
            </w:r>
          </w:p>
        </w:tc>
        <w:tc>
          <w:tcPr>
            <w:tcW w:type="dxa" w:w="1473"/>
            <w:vAlign w:val="center"/>
          </w:tcPr>
          <w:p>
            <w:pPr>
              <w:spacing w:after="0" w:line="240" w:lineRule="auto"/>
              <w:jc w:val="center"/>
            </w:pPr>
            <w:r/>
            <w:r>
              <w:rPr>
                <w:rFonts w:ascii="Calibri" w:hAnsi="Calibri"/>
                <w:b w:val="0"/>
                <w:i w:val="0"/>
                <w:color w:val="000000"/>
                <w:sz w:val="11"/>
              </w:rPr>
              <w:t>0.9134</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ES</w:t>
            </w:r>
          </w:p>
        </w:tc>
        <w:tc>
          <w:tcPr>
            <w:tcW w:type="dxa" w:w="2525"/>
            <w:vAlign w:val="center"/>
          </w:tcPr>
          <w:p>
            <w:pPr>
              <w:spacing w:after="0" w:line="240" w:lineRule="auto"/>
              <w:jc w:val="center"/>
            </w:pPr>
            <w:r/>
            <w:r>
              <w:rPr>
                <w:rFonts w:ascii="Calibri" w:hAnsi="Calibri"/>
                <w:b w:val="0"/>
                <w:i w:val="0"/>
                <w:color w:val="000000"/>
                <w:sz w:val="11"/>
              </w:rPr>
              <w:t>-5.7732</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RF</w:t>
            </w:r>
          </w:p>
        </w:tc>
        <w:tc>
          <w:tcPr>
            <w:tcW w:type="dxa" w:w="2525"/>
            <w:vAlign w:val="center"/>
          </w:tcPr>
          <w:p>
            <w:pPr>
              <w:spacing w:after="0" w:line="240" w:lineRule="auto"/>
              <w:jc w:val="center"/>
            </w:pPr>
            <w:r/>
            <w:r>
              <w:rPr>
                <w:rFonts w:ascii="Calibri" w:hAnsi="Calibri"/>
                <w:b w:val="0"/>
                <w:i w:val="0"/>
                <w:color w:val="000000"/>
                <w:sz w:val="11"/>
              </w:rPr>
              <w:t>-4.3195</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VMD-ARIMA</w:t>
            </w:r>
          </w:p>
        </w:tc>
        <w:tc>
          <w:tcPr>
            <w:tcW w:type="dxa" w:w="2525"/>
            <w:vAlign w:val="center"/>
          </w:tcPr>
          <w:p>
            <w:pPr>
              <w:spacing w:after="0" w:line="240" w:lineRule="auto"/>
              <w:jc w:val="center"/>
            </w:pPr>
            <w:r/>
            <w:r>
              <w:rPr>
                <w:rFonts w:ascii="Calibri" w:hAnsi="Calibri"/>
                <w:b w:val="0"/>
                <w:i w:val="0"/>
                <w:color w:val="000000"/>
                <w:sz w:val="11"/>
              </w:rPr>
              <w:t>3.8883</w:t>
            </w:r>
          </w:p>
        </w:tc>
        <w:tc>
          <w:tcPr>
            <w:tcW w:type="dxa" w:w="1473"/>
            <w:vAlign w:val="center"/>
          </w:tcPr>
          <w:p>
            <w:pPr>
              <w:spacing w:after="0" w:line="240" w:lineRule="auto"/>
              <w:jc w:val="center"/>
            </w:pPr>
            <w:r/>
            <w:r>
              <w:rPr>
                <w:rFonts w:ascii="Calibri" w:hAnsi="Calibri"/>
                <w:b w:val="0"/>
                <w:i w:val="0"/>
                <w:color w:val="000000"/>
                <w:sz w:val="11"/>
              </w:rPr>
              <w:t>0.0002</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CEEMDAN-ARIMA</w:t>
            </w:r>
          </w:p>
        </w:tc>
        <w:tc>
          <w:tcPr>
            <w:tcW w:type="dxa" w:w="2525"/>
            <w:vAlign w:val="center"/>
          </w:tcPr>
          <w:p>
            <w:pPr>
              <w:spacing w:after="0" w:line="240" w:lineRule="auto"/>
              <w:jc w:val="center"/>
            </w:pPr>
            <w:r/>
            <w:r>
              <w:rPr>
                <w:rFonts w:ascii="Calibri" w:hAnsi="Calibri"/>
                <w:b w:val="0"/>
                <w:i w:val="0"/>
                <w:color w:val="000000"/>
                <w:sz w:val="11"/>
              </w:rPr>
              <w:t>3.5153</w:t>
            </w:r>
          </w:p>
        </w:tc>
        <w:tc>
          <w:tcPr>
            <w:tcW w:type="dxa" w:w="1473"/>
            <w:vAlign w:val="center"/>
          </w:tcPr>
          <w:p>
            <w:pPr>
              <w:spacing w:after="0" w:line="240" w:lineRule="auto"/>
              <w:jc w:val="center"/>
            </w:pPr>
            <w:r/>
            <w:r>
              <w:rPr>
                <w:rFonts w:ascii="Calibri" w:hAnsi="Calibri"/>
                <w:b w:val="0"/>
                <w:i w:val="0"/>
                <w:color w:val="000000"/>
                <w:sz w:val="11"/>
              </w:rPr>
              <w:t>0.0006</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CEEMDAN-LSTM</w:t>
            </w:r>
          </w:p>
        </w:tc>
        <w:tc>
          <w:tcPr>
            <w:tcW w:type="dxa" w:w="2525"/>
            <w:vAlign w:val="center"/>
          </w:tcPr>
          <w:p>
            <w:pPr>
              <w:spacing w:after="0" w:line="240" w:lineRule="auto"/>
              <w:jc w:val="center"/>
            </w:pPr>
            <w:r/>
            <w:r>
              <w:rPr>
                <w:rFonts w:ascii="Calibri" w:hAnsi="Calibri"/>
                <w:b w:val="0"/>
                <w:i w:val="0"/>
                <w:color w:val="000000"/>
                <w:sz w:val="11"/>
              </w:rPr>
              <w:t>-1.9666</w:t>
            </w:r>
          </w:p>
        </w:tc>
        <w:tc>
          <w:tcPr>
            <w:tcW w:type="dxa" w:w="1473"/>
            <w:vAlign w:val="center"/>
          </w:tcPr>
          <w:p>
            <w:pPr>
              <w:spacing w:after="0" w:line="240" w:lineRule="auto"/>
              <w:jc w:val="center"/>
            </w:pPr>
            <w:r/>
            <w:r>
              <w:rPr>
                <w:rFonts w:ascii="Calibri" w:hAnsi="Calibri"/>
                <w:b w:val="0"/>
                <w:i w:val="0"/>
                <w:color w:val="000000"/>
                <w:sz w:val="11"/>
              </w:rPr>
              <w:t>0.0512</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VMD-LSTM</w:t>
            </w:r>
          </w:p>
        </w:tc>
        <w:tc>
          <w:tcPr>
            <w:tcW w:type="dxa" w:w="2525"/>
            <w:vAlign w:val="center"/>
          </w:tcPr>
          <w:p>
            <w:pPr>
              <w:spacing w:after="0" w:line="240" w:lineRule="auto"/>
              <w:jc w:val="center"/>
            </w:pPr>
            <w:r/>
            <w:r>
              <w:rPr>
                <w:rFonts w:ascii="Calibri" w:hAnsi="Calibri"/>
                <w:b w:val="0"/>
                <w:i w:val="0"/>
                <w:color w:val="000000"/>
                <w:sz w:val="11"/>
              </w:rPr>
              <w:t>-1.8898</w:t>
            </w:r>
          </w:p>
        </w:tc>
        <w:tc>
          <w:tcPr>
            <w:tcW w:type="dxa" w:w="1473"/>
            <w:vAlign w:val="center"/>
          </w:tcPr>
          <w:p>
            <w:pPr>
              <w:spacing w:after="0" w:line="240" w:lineRule="auto"/>
              <w:jc w:val="center"/>
            </w:pPr>
            <w:r/>
            <w:r>
              <w:rPr>
                <w:rFonts w:ascii="Calibri" w:hAnsi="Calibri"/>
                <w:b w:val="0"/>
                <w:i w:val="0"/>
                <w:color w:val="000000"/>
                <w:sz w:val="11"/>
              </w:rPr>
              <w:t>0.0608</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SVR</w:t>
            </w:r>
          </w:p>
        </w:tc>
        <w:tc>
          <w:tcPr>
            <w:tcW w:type="dxa" w:w="2525"/>
            <w:vAlign w:val="center"/>
          </w:tcPr>
          <w:p>
            <w:pPr>
              <w:spacing w:after="0" w:line="240" w:lineRule="auto"/>
              <w:jc w:val="center"/>
            </w:pPr>
            <w:r/>
            <w:r>
              <w:rPr>
                <w:rFonts w:ascii="Calibri" w:hAnsi="Calibri"/>
                <w:b w:val="0"/>
                <w:i w:val="0"/>
                <w:color w:val="000000"/>
                <w:sz w:val="11"/>
              </w:rPr>
              <w:t>-1.4518</w:t>
            </w:r>
          </w:p>
        </w:tc>
        <w:tc>
          <w:tcPr>
            <w:tcW w:type="dxa" w:w="1473"/>
            <w:vAlign w:val="center"/>
          </w:tcPr>
          <w:p>
            <w:pPr>
              <w:spacing w:after="0" w:line="240" w:lineRule="auto"/>
              <w:jc w:val="center"/>
            </w:pPr>
            <w:r/>
            <w:r>
              <w:rPr>
                <w:rFonts w:ascii="Calibri" w:hAnsi="Calibri"/>
                <w:b w:val="0"/>
                <w:i w:val="0"/>
                <w:color w:val="000000"/>
                <w:sz w:val="11"/>
              </w:rPr>
              <w:t>0.1488</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LSTM</w:t>
            </w:r>
          </w:p>
        </w:tc>
        <w:tc>
          <w:tcPr>
            <w:tcW w:type="dxa" w:w="2525"/>
            <w:vAlign w:val="center"/>
          </w:tcPr>
          <w:p>
            <w:pPr>
              <w:spacing w:after="0" w:line="240" w:lineRule="auto"/>
              <w:jc w:val="center"/>
            </w:pPr>
            <w:r/>
            <w:r>
              <w:rPr>
                <w:rFonts w:ascii="Calibri" w:hAnsi="Calibri"/>
                <w:b w:val="0"/>
                <w:i w:val="0"/>
                <w:color w:val="000000"/>
                <w:sz w:val="11"/>
              </w:rPr>
              <w:t>-1.4003</w:t>
            </w:r>
          </w:p>
        </w:tc>
        <w:tc>
          <w:tcPr>
            <w:tcW w:type="dxa" w:w="1473"/>
            <w:vAlign w:val="center"/>
          </w:tcPr>
          <w:p>
            <w:pPr>
              <w:spacing w:after="0" w:line="240" w:lineRule="auto"/>
              <w:jc w:val="center"/>
            </w:pPr>
            <w:r/>
            <w:r>
              <w:rPr>
                <w:rFonts w:ascii="Calibri" w:hAnsi="Calibri"/>
                <w:b w:val="0"/>
                <w:i w:val="0"/>
                <w:color w:val="000000"/>
                <w:sz w:val="11"/>
              </w:rPr>
              <w:t>0.1636</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MLP</w:t>
            </w:r>
          </w:p>
        </w:tc>
        <w:tc>
          <w:tcPr>
            <w:tcW w:type="dxa" w:w="2525"/>
            <w:vAlign w:val="center"/>
          </w:tcPr>
          <w:p>
            <w:pPr>
              <w:spacing w:after="0" w:line="240" w:lineRule="auto"/>
              <w:jc w:val="center"/>
            </w:pPr>
            <w:r/>
            <w:r>
              <w:rPr>
                <w:rFonts w:ascii="Calibri" w:hAnsi="Calibri"/>
                <w:b w:val="0"/>
                <w:i w:val="0"/>
                <w:color w:val="000000"/>
                <w:sz w:val="11"/>
              </w:rPr>
              <w:t>-0.9658</w:t>
            </w:r>
          </w:p>
        </w:tc>
        <w:tc>
          <w:tcPr>
            <w:tcW w:type="dxa" w:w="1473"/>
            <w:vAlign w:val="center"/>
          </w:tcPr>
          <w:p>
            <w:pPr>
              <w:spacing w:after="0" w:line="240" w:lineRule="auto"/>
              <w:jc w:val="center"/>
            </w:pPr>
            <w:r/>
            <w:r>
              <w:rPr>
                <w:rFonts w:ascii="Calibri" w:hAnsi="Calibri"/>
                <w:b w:val="0"/>
                <w:i w:val="0"/>
                <w:color w:val="000000"/>
                <w:sz w:val="11"/>
              </w:rPr>
              <w:t>0.3358</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ARIMA</w:t>
            </w:r>
          </w:p>
        </w:tc>
        <w:tc>
          <w:tcPr>
            <w:tcW w:type="dxa" w:w="2525"/>
            <w:vAlign w:val="center"/>
          </w:tcPr>
          <w:p>
            <w:pPr>
              <w:spacing w:after="0" w:line="240" w:lineRule="auto"/>
              <w:jc w:val="center"/>
            </w:pPr>
            <w:r/>
            <w:r>
              <w:rPr>
                <w:rFonts w:ascii="Calibri" w:hAnsi="Calibri"/>
                <w:b w:val="0"/>
                <w:i w:val="0"/>
                <w:color w:val="000000"/>
                <w:sz w:val="11"/>
              </w:rPr>
              <w:t>-0.8962</w:t>
            </w:r>
          </w:p>
        </w:tc>
        <w:tc>
          <w:tcPr>
            <w:tcW w:type="dxa" w:w="1473"/>
            <w:vAlign w:val="center"/>
          </w:tcPr>
          <w:p>
            <w:pPr>
              <w:spacing w:after="0" w:line="240" w:lineRule="auto"/>
              <w:jc w:val="center"/>
            </w:pPr>
            <w:r/>
            <w:r>
              <w:rPr>
                <w:rFonts w:ascii="Calibri" w:hAnsi="Calibri"/>
                <w:b w:val="0"/>
                <w:i w:val="0"/>
                <w:color w:val="000000"/>
                <w:sz w:val="11"/>
              </w:rPr>
              <w:t>0.3717</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ELM</w:t>
            </w:r>
          </w:p>
        </w:tc>
        <w:tc>
          <w:tcPr>
            <w:tcW w:type="dxa" w:w="2525"/>
            <w:vAlign w:val="center"/>
          </w:tcPr>
          <w:p>
            <w:pPr>
              <w:spacing w:after="0" w:line="240" w:lineRule="auto"/>
              <w:jc w:val="center"/>
            </w:pPr>
            <w:r/>
            <w:r>
              <w:rPr>
                <w:rFonts w:ascii="Calibri" w:hAnsi="Calibri"/>
                <w:b w:val="0"/>
                <w:i w:val="0"/>
                <w:color w:val="000000"/>
                <w:sz w:val="11"/>
              </w:rPr>
              <w:t>-0.5723</w:t>
            </w:r>
          </w:p>
        </w:tc>
        <w:tc>
          <w:tcPr>
            <w:tcW w:type="dxa" w:w="1473"/>
            <w:vAlign w:val="center"/>
          </w:tcPr>
          <w:p>
            <w:pPr>
              <w:spacing w:after="0" w:line="240" w:lineRule="auto"/>
              <w:jc w:val="center"/>
            </w:pPr>
            <w:r/>
            <w:r>
              <w:rPr>
                <w:rFonts w:ascii="Calibri" w:hAnsi="Calibri"/>
                <w:b w:val="0"/>
                <w:i w:val="0"/>
                <w:color w:val="000000"/>
                <w:sz w:val="11"/>
              </w:rPr>
              <w:t>0.5681</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Random Walk</w:t>
            </w:r>
          </w:p>
        </w:tc>
        <w:tc>
          <w:tcPr>
            <w:tcW w:type="dxa" w:w="2525"/>
            <w:vAlign w:val="center"/>
          </w:tcPr>
          <w:p>
            <w:pPr>
              <w:spacing w:after="0" w:line="240" w:lineRule="auto"/>
              <w:jc w:val="center"/>
            </w:pPr>
            <w:r/>
            <w:r>
              <w:rPr>
                <w:rFonts w:ascii="Calibri" w:hAnsi="Calibri"/>
                <w:b w:val="0"/>
                <w:i w:val="0"/>
                <w:color w:val="000000"/>
                <w:sz w:val="11"/>
              </w:rPr>
              <w:t>-0.0748</w:t>
            </w:r>
          </w:p>
        </w:tc>
        <w:tc>
          <w:tcPr>
            <w:tcW w:type="dxa" w:w="1473"/>
            <w:vAlign w:val="center"/>
          </w:tcPr>
          <w:p>
            <w:pPr>
              <w:spacing w:after="0" w:line="240" w:lineRule="auto"/>
              <w:jc w:val="center"/>
            </w:pPr>
            <w:r/>
            <w:r>
              <w:rPr>
                <w:rFonts w:ascii="Calibri" w:hAnsi="Calibri"/>
                <w:b w:val="0"/>
                <w:i w:val="0"/>
                <w:color w:val="000000"/>
                <w:sz w:val="11"/>
              </w:rPr>
              <w:t>0.9404</w:t>
            </w:r>
          </w:p>
        </w:tc>
        <w:tc>
          <w:tcPr>
            <w:tcW w:type="dxa" w:w="3369"/>
            <w:vAlign w:val="center"/>
          </w:tcPr>
          <w:p>
            <w:pPr>
              <w:spacing w:after="0" w:line="240" w:lineRule="auto"/>
              <w:jc w:val="center"/>
            </w:pPr>
            <w:r/>
            <w:r>
              <w:rPr>
                <w:rFonts w:ascii="Calibri" w:hAnsi="Calibri"/>
                <w:b w:val="0"/>
                <w:i w:val="0"/>
                <w:color w:val="000000"/>
                <w:sz w:val="11"/>
              </w:rPr>
              <w:t>Proposed better</w:t>
            </w:r>
          </w:p>
        </w:tc>
      </w:tr>
    </w:tbl>
    <w:p>
      <w:pPr>
        <w:spacing w:after="60"/>
      </w:pPr>
    </w:p>
    <w:p>
      <w:pPr>
        <w:pStyle w:val="Heading3"/>
      </w:pPr>
      <w:r>
        <w:t>Interpretation of Table 9</w:t>
      </w:r>
    </w:p>
    <w:p>
      <w:pPr>
        <w:spacing w:after="160" w:line="320" w:lineRule="auto"/>
        <w:jc w:val="both"/>
      </w:pPr>
      <w:r>
        <w:rPr>
          <w:rFonts w:ascii="Calibri" w:hAnsi="Calibri"/>
          <w:b/>
          <w:i w:val="0"/>
          <w:color w:val="000000"/>
          <w:sz w:val="22"/>
        </w:rPr>
        <w:t>How to read the sign:</w:t>
      </w:r>
      <w:r>
        <w:rPr>
          <w:rFonts w:ascii="Calibri" w:hAnsi="Calibri"/>
          <w:b w:val="0"/>
          <w:i w:val="0"/>
          <w:color w:val="000000"/>
          <w:sz w:val="22"/>
        </w:rPr>
        <w:t xml:space="preserve"> The loss differential is proposed-model squared error minus benchmark squared error. A negative DM statistic therefore favors the proposed model; a positive statistic favors the benchmark. The p-value tests equal average predictive loss, not economic profitability.</w:t>
      </w:r>
    </w:p>
    <w:p>
      <w:pPr>
        <w:spacing w:after="160" w:line="320" w:lineRule="auto"/>
        <w:jc w:val="both"/>
      </w:pPr>
      <w:r>
        <w:rPr>
          <w:rFonts w:ascii="Calibri" w:hAnsi="Calibri"/>
          <w:b/>
          <w:i w:val="0"/>
          <w:color w:val="000000"/>
          <w:sz w:val="22"/>
        </w:rPr>
        <w:t>Carbonate evidence:</w:t>
      </w:r>
      <w:r>
        <w:rPr>
          <w:rFonts w:ascii="Calibri" w:hAnsi="Calibri"/>
          <w:b w:val="0"/>
          <w:i w:val="0"/>
          <w:color w:val="000000"/>
          <w:sz w:val="22"/>
        </w:rPr>
        <w:t xml:space="preserve"> The proposed model is significantly better at the 5% level than seven of twelve comparators: ES, ELM, VMD-ARIMA, MLP, SVR, LSTM, and VMD-LSTM. No carbonate benchmark is significantly better than the proposed model, even though CEEMDAN-LSTM has a lower aggregate RMSE; the timing and distribution of errors matter to the DM statistic.</w:t>
      </w:r>
    </w:p>
    <w:p>
      <w:pPr>
        <w:spacing w:after="160" w:line="320" w:lineRule="auto"/>
        <w:jc w:val="both"/>
      </w:pPr>
      <w:r>
        <w:rPr>
          <w:rFonts w:ascii="Calibri" w:hAnsi="Calibri"/>
          <w:b/>
          <w:i w:val="0"/>
          <w:color w:val="000000"/>
          <w:sz w:val="22"/>
        </w:rPr>
        <w:t>Hydroxide evidence:</w:t>
      </w:r>
      <w:r>
        <w:rPr>
          <w:rFonts w:ascii="Calibri" w:hAnsi="Calibri"/>
          <w:b w:val="0"/>
          <w:i w:val="0"/>
          <w:color w:val="000000"/>
          <w:sz w:val="22"/>
        </w:rPr>
        <w:t xml:space="preserve"> The pattern is less favorable for hydroxide. The proposed model significantly beats ES and RF, but VMD-ARIMA and CEEMDAN-ARIMA significantly beat the proposed model. The remaining comparisons do not reject equal loss at 5%, so they should not be described as confirmed wins.</w:t>
      </w:r>
    </w:p>
    <w:p>
      <w:pPr>
        <w:spacing w:after="160" w:line="320" w:lineRule="auto"/>
        <w:jc w:val="both"/>
      </w:pPr>
      <w:r>
        <w:rPr>
          <w:rFonts w:ascii="Calibri" w:hAnsi="Calibri"/>
          <w:b/>
          <w:i w:val="0"/>
          <w:color w:val="000000"/>
          <w:sz w:val="22"/>
        </w:rPr>
        <w:t>Multiplicity caution:</w:t>
      </w:r>
      <w:r>
        <w:rPr>
          <w:rFonts w:ascii="Calibri" w:hAnsi="Calibri"/>
          <w:b w:val="0"/>
          <w:i w:val="0"/>
          <w:color w:val="000000"/>
          <w:sz w:val="22"/>
        </w:rPr>
        <w:t xml:space="preserve"> Twenty-four pairwise tests are displayed without a family-wise multiplicity correction to preserve comparability with the reference-style presentation. Isolated nominal p-values should therefore be interpreted alongside effect sizes, target-level metrics, and a robustness correction in any journal submission.</w:t>
      </w:r>
    </w:p>
    <w:p>
      <w:pPr>
        <w:sectPr>
          <w:pgSz w:w="15840" w:h="12240" w:orient="landscape"/>
          <w:pgMar w:top="1037" w:right="1037" w:bottom="1037" w:left="1037" w:header="605" w:footer="605" w:gutter="0"/>
          <w:cols w:space="720"/>
          <w:docGrid w:linePitch="360"/>
        </w:sectPr>
      </w:pPr>
    </w:p>
    <w:p>
      <w:pPr>
        <w:spacing w:after="160" w:line="320" w:lineRule="auto"/>
        <w:jc w:val="both"/>
      </w:pPr>
      <w:r>
        <w:rPr>
          <w:rFonts w:ascii="Calibri" w:hAnsi="Calibri"/>
          <w:b w:val="0"/>
          <w:i w:val="0"/>
          <w:color w:val="000000"/>
          <w:sz w:val="22"/>
        </w:rPr>
        <w:t>For lithium hydroxide, the proposed model's RMSE of 0.5360 is 16.7% below the best single-model RMSE. CEEMDAN-ARIMA nevertheless achieves the lowest overall RMSE. For lithium carbonate, the proposed RMSE of 3672.30 is 1.7% above the best single model, and CEEMDAN-LSTM obtains the lowest overall RMSE. The proposed architecture strongly outperforms several weak nonlinear and smoothing benchmarks but does not dominate every decomposition alternative.</w:t>
      </w:r>
    </w:p>
    <w:p>
      <w:pPr>
        <w:spacing w:after="160" w:line="320" w:lineRule="auto"/>
        <w:jc w:val="both"/>
      </w:pPr>
      <w:r>
        <w:rPr>
          <w:rFonts w:ascii="Calibri" w:hAnsi="Calibri"/>
          <w:b w:val="0"/>
          <w:i w:val="0"/>
          <w:color w:val="000000"/>
          <w:sz w:val="22"/>
        </w:rPr>
        <w:t>The DM table should be read jointly with effect sizes. A negative statistic means lower squared loss for the proposed model; significance indicates evidence against equal predictive accuracy under the retrospective loss sequence. Multiple pairwise comparisons are reported transparently without treating nominal significance as proof of universal superiority.</w:t>
      </w:r>
    </w:p>
    <w:p>
      <w:pPr>
        <w:pStyle w:val="Heading1"/>
      </w:pPr>
      <w:r>
        <w:t>7. Interval forecasting and trading</w:t>
      </w:r>
    </w:p>
    <w:p>
      <w:pPr>
        <w:keepNext/>
        <w:spacing w:before="100" w:after="80"/>
      </w:pPr>
      <w:r>
        <w:rPr>
          <w:rFonts w:ascii="Calibri" w:hAnsi="Calibri"/>
          <w:b/>
          <w:i w:val="0"/>
          <w:color w:val="1F4D78"/>
          <w:sz w:val="18"/>
        </w:rPr>
        <w:t xml:space="preserve">Figure 11. </w:t>
      </w:r>
      <w:r>
        <w:rPr>
          <w:rFonts w:ascii="Calibri" w:hAnsi="Calibri"/>
          <w:b w:val="0"/>
          <w:i/>
          <w:color w:val="000000"/>
          <w:sz w:val="18"/>
        </w:rPr>
        <w:t>Retrospective 90% interval forecasts from the proposed model.</w:t>
      </w:r>
    </w:p>
    <w:p>
      <w:pPr>
        <w:spacing w:after="180"/>
        <w:jc w:val="center"/>
      </w:pPr>
      <w:r>
        <w:drawing>
          <wp:inline xmlns:a="http://schemas.openxmlformats.org/drawingml/2006/main" xmlns:pic="http://schemas.openxmlformats.org/drawingml/2006/picture">
            <wp:extent cx="5760720" cy="3774978"/>
            <wp:docPr id="11" name="Picture 11"/>
            <wp:cNvGraphicFramePr>
              <a:graphicFrameLocks noChangeAspect="1"/>
            </wp:cNvGraphicFramePr>
            <a:graphic>
              <a:graphicData uri="http://schemas.openxmlformats.org/drawingml/2006/picture">
                <pic:pic>
                  <pic:nvPicPr>
                    <pic:cNvPr id="0" name="fig11_intervals.png"/>
                    <pic:cNvPicPr/>
                  </pic:nvPicPr>
                  <pic:blipFill>
                    <a:blip r:embed="rId21"/>
                    <a:stretch>
                      <a:fillRect/>
                    </a:stretch>
                  </pic:blipFill>
                  <pic:spPr>
                    <a:xfrm>
                      <a:off x="0" y="0"/>
                      <a:ext cx="5760720" cy="3774978"/>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10. </w:t>
      </w:r>
      <w:r>
        <w:rPr>
          <w:rFonts w:ascii="Calibri" w:hAnsi="Calibri"/>
          <w:b w:val="0"/>
          <w:i/>
          <w:color w:val="000000"/>
          <w:sz w:val="18"/>
        </w:rPr>
        <w:t>Interval forecasting errors on the evaluation sets.</w:t>
      </w:r>
    </w:p>
    <w:tbl>
      <w:tblPr>
        <w:tblStyle w:val="TableGrid"/>
        <w:tblW w:type="dxa" w:w="13680"/>
        <w:jc w:val="left"/>
        <w:tblLayout w:type="fixed"/>
        <w:tblLook w:firstColumn="1" w:firstRow="1" w:lastColumn="0" w:lastRow="0" w:noHBand="0" w:noVBand="1" w:val="04A0"/>
      </w:tblPr>
      <w:tblGrid>
        <w:gridCol w:w="2704"/>
        <w:gridCol w:w="3181"/>
        <w:gridCol w:w="1908"/>
        <w:gridCol w:w="1590"/>
        <w:gridCol w:w="2704"/>
        <w:gridCol w:w="1593"/>
      </w:tblGrid>
      <w:tr>
        <w:trPr>
          <w:tblHeader w:val="true"/>
        </w:trPr>
        <w:tc>
          <w:tcPr>
            <w:tcW w:type="dxa" w:w="2704"/>
            <w:shd w:fill="F4F6F9"/>
            <w:vAlign w:val="center"/>
          </w:tcPr>
          <w:p>
            <w:pPr>
              <w:jc w:val="center"/>
            </w:pPr>
            <w:r/>
            <w:r>
              <w:rPr>
                <w:rFonts w:ascii="Calibri" w:hAnsi="Calibri"/>
                <w:b/>
                <w:i w:val="0"/>
                <w:color w:val="0B2545"/>
                <w:sz w:val="12"/>
              </w:rPr>
              <w:t>Target</w:t>
            </w:r>
          </w:p>
        </w:tc>
        <w:tc>
          <w:tcPr>
            <w:tcW w:type="dxa" w:w="3181"/>
            <w:shd w:fill="F4F6F9"/>
            <w:vAlign w:val="center"/>
          </w:tcPr>
          <w:p>
            <w:pPr>
              <w:jc w:val="center"/>
            </w:pPr>
            <w:r/>
            <w:r>
              <w:rPr>
                <w:rFonts w:ascii="Calibri" w:hAnsi="Calibri"/>
                <w:b/>
                <w:i w:val="0"/>
                <w:color w:val="0B2545"/>
                <w:sz w:val="12"/>
              </w:rPr>
              <w:t>Nominal Coverage (%)</w:t>
            </w:r>
          </w:p>
        </w:tc>
        <w:tc>
          <w:tcPr>
            <w:tcW w:type="dxa" w:w="1908"/>
            <w:shd w:fill="F4F6F9"/>
            <w:vAlign w:val="center"/>
          </w:tcPr>
          <w:p>
            <w:pPr>
              <w:jc w:val="center"/>
            </w:pPr>
            <w:r/>
            <w:r>
              <w:rPr>
                <w:rFonts w:ascii="Calibri" w:hAnsi="Calibri"/>
                <w:b/>
                <w:i w:val="0"/>
                <w:color w:val="0B2545"/>
                <w:sz w:val="12"/>
              </w:rPr>
              <w:t>Coverage (%)</w:t>
            </w:r>
          </w:p>
        </w:tc>
        <w:tc>
          <w:tcPr>
            <w:tcW w:type="dxa" w:w="1590"/>
            <w:shd w:fill="F4F6F9"/>
            <w:vAlign w:val="center"/>
          </w:tcPr>
          <w:p>
            <w:pPr>
              <w:jc w:val="center"/>
            </w:pPr>
            <w:r/>
            <w:r>
              <w:rPr>
                <w:rFonts w:ascii="Calibri" w:hAnsi="Calibri"/>
                <w:b/>
                <w:i w:val="0"/>
                <w:color w:val="0B2545"/>
                <w:sz w:val="12"/>
              </w:rPr>
              <w:t>Avg Width</w:t>
            </w:r>
          </w:p>
        </w:tc>
        <w:tc>
          <w:tcPr>
            <w:tcW w:type="dxa" w:w="2704"/>
            <w:shd w:fill="F4F6F9"/>
            <w:vAlign w:val="center"/>
          </w:tcPr>
          <w:p>
            <w:pPr>
              <w:jc w:val="center"/>
            </w:pPr>
            <w:r/>
            <w:r>
              <w:rPr>
                <w:rFonts w:ascii="Calibri" w:hAnsi="Calibri"/>
                <w:b/>
                <w:i w:val="0"/>
                <w:color w:val="0B2545"/>
                <w:sz w:val="12"/>
              </w:rPr>
              <w:t>Calibration Error</w:t>
            </w:r>
          </w:p>
        </w:tc>
        <w:tc>
          <w:tcPr>
            <w:tcW w:type="dxa" w:w="1593"/>
            <w:shd w:fill="F4F6F9"/>
            <w:vAlign w:val="center"/>
          </w:tcPr>
          <w:p>
            <w:pPr>
              <w:jc w:val="center"/>
            </w:pPr>
            <w:r/>
            <w:r>
              <w:rPr>
                <w:rFonts w:ascii="Calibri" w:hAnsi="Calibri"/>
                <w:b/>
                <w:i w:val="0"/>
                <w:color w:val="0B2545"/>
                <w:sz w:val="12"/>
              </w:rPr>
              <w:t>Winkler</w:t>
            </w:r>
          </w:p>
        </w:tc>
      </w:tr>
      <w:tr>
        <w:tc>
          <w:tcPr>
            <w:tcW w:type="dxa" w:w="2704"/>
            <w:vAlign w:val="center"/>
          </w:tcPr>
          <w:p>
            <w:pPr>
              <w:spacing w:after="0" w:line="240" w:lineRule="auto"/>
              <w:jc w:val="left"/>
            </w:pPr>
            <w:r/>
            <w:r>
              <w:rPr>
                <w:rFonts w:ascii="Calibri" w:hAnsi="Calibri"/>
                <w:b w:val="0"/>
                <w:i w:val="0"/>
                <w:color w:val="000000"/>
                <w:sz w:val="12"/>
              </w:rPr>
              <w:t>lithium_carbonate</w:t>
            </w:r>
          </w:p>
        </w:tc>
        <w:tc>
          <w:tcPr>
            <w:tcW w:type="dxa" w:w="3181"/>
            <w:vAlign w:val="center"/>
          </w:tcPr>
          <w:p>
            <w:pPr>
              <w:spacing w:after="0" w:line="240" w:lineRule="auto"/>
              <w:jc w:val="center"/>
            </w:pPr>
            <w:r/>
            <w:r>
              <w:rPr>
                <w:rFonts w:ascii="Calibri" w:hAnsi="Calibri"/>
                <w:b w:val="0"/>
                <w:i w:val="0"/>
                <w:color w:val="000000"/>
                <w:sz w:val="12"/>
              </w:rPr>
              <w:t>80.00</w:t>
            </w:r>
          </w:p>
        </w:tc>
        <w:tc>
          <w:tcPr>
            <w:tcW w:type="dxa" w:w="1908"/>
            <w:vAlign w:val="center"/>
          </w:tcPr>
          <w:p>
            <w:pPr>
              <w:spacing w:after="0" w:line="240" w:lineRule="auto"/>
              <w:jc w:val="center"/>
            </w:pPr>
            <w:r/>
            <w:r>
              <w:rPr>
                <w:rFonts w:ascii="Calibri" w:hAnsi="Calibri"/>
                <w:b w:val="0"/>
                <w:i w:val="0"/>
                <w:color w:val="000000"/>
                <w:sz w:val="12"/>
              </w:rPr>
              <w:t>52.94</w:t>
            </w:r>
          </w:p>
        </w:tc>
        <w:tc>
          <w:tcPr>
            <w:tcW w:type="dxa" w:w="1590"/>
            <w:vAlign w:val="center"/>
          </w:tcPr>
          <w:p>
            <w:pPr>
              <w:spacing w:after="0" w:line="240" w:lineRule="auto"/>
              <w:jc w:val="center"/>
            </w:pPr>
            <w:r/>
            <w:r>
              <w:rPr>
                <w:rFonts w:ascii="Calibri" w:hAnsi="Calibri"/>
                <w:b w:val="0"/>
                <w:i w:val="0"/>
                <w:color w:val="000000"/>
                <w:sz w:val="12"/>
              </w:rPr>
              <w:t>2703.6971</w:t>
            </w:r>
          </w:p>
        </w:tc>
        <w:tc>
          <w:tcPr>
            <w:tcW w:type="dxa" w:w="2704"/>
            <w:vAlign w:val="center"/>
          </w:tcPr>
          <w:p>
            <w:pPr>
              <w:spacing w:after="0" w:line="240" w:lineRule="auto"/>
              <w:jc w:val="center"/>
            </w:pPr>
            <w:r/>
            <w:r>
              <w:rPr>
                <w:rFonts w:ascii="Calibri" w:hAnsi="Calibri"/>
                <w:b w:val="0"/>
                <w:i w:val="0"/>
                <w:color w:val="000000"/>
                <w:sz w:val="12"/>
              </w:rPr>
              <w:t>27.0588</w:t>
            </w:r>
          </w:p>
        </w:tc>
        <w:tc>
          <w:tcPr>
            <w:tcW w:type="dxa" w:w="1593"/>
            <w:vAlign w:val="center"/>
          </w:tcPr>
          <w:p>
            <w:pPr>
              <w:spacing w:after="0" w:line="240" w:lineRule="auto"/>
              <w:jc w:val="center"/>
            </w:pPr>
            <w:r/>
            <w:r>
              <w:rPr>
                <w:rFonts w:ascii="Calibri" w:hAnsi="Calibri"/>
                <w:b w:val="0"/>
                <w:i w:val="0"/>
                <w:color w:val="000000"/>
                <w:sz w:val="12"/>
              </w:rPr>
              <w:t>14374.2201</w:t>
            </w:r>
          </w:p>
        </w:tc>
      </w:tr>
      <w:tr>
        <w:tc>
          <w:tcPr>
            <w:tcW w:type="dxa" w:w="2704"/>
            <w:vAlign w:val="center"/>
          </w:tcPr>
          <w:p>
            <w:pPr>
              <w:spacing w:after="0" w:line="240" w:lineRule="auto"/>
              <w:jc w:val="left"/>
            </w:pPr>
            <w:r/>
            <w:r>
              <w:rPr>
                <w:rFonts w:ascii="Calibri" w:hAnsi="Calibri"/>
                <w:b w:val="0"/>
                <w:i w:val="0"/>
                <w:color w:val="000000"/>
                <w:sz w:val="12"/>
              </w:rPr>
              <w:t>lithium_carbonate</w:t>
            </w:r>
          </w:p>
        </w:tc>
        <w:tc>
          <w:tcPr>
            <w:tcW w:type="dxa" w:w="3181"/>
            <w:vAlign w:val="center"/>
          </w:tcPr>
          <w:p>
            <w:pPr>
              <w:spacing w:after="0" w:line="240" w:lineRule="auto"/>
              <w:jc w:val="center"/>
            </w:pPr>
            <w:r/>
            <w:r>
              <w:rPr>
                <w:rFonts w:ascii="Calibri" w:hAnsi="Calibri"/>
                <w:b w:val="0"/>
                <w:i w:val="0"/>
                <w:color w:val="000000"/>
                <w:sz w:val="12"/>
              </w:rPr>
              <w:t>90.00</w:t>
            </w:r>
          </w:p>
        </w:tc>
        <w:tc>
          <w:tcPr>
            <w:tcW w:type="dxa" w:w="1908"/>
            <w:vAlign w:val="center"/>
          </w:tcPr>
          <w:p>
            <w:pPr>
              <w:spacing w:after="0" w:line="240" w:lineRule="auto"/>
              <w:jc w:val="center"/>
            </w:pPr>
            <w:r/>
            <w:r>
              <w:rPr>
                <w:rFonts w:ascii="Calibri" w:hAnsi="Calibri"/>
                <w:b w:val="0"/>
                <w:i w:val="0"/>
                <w:color w:val="000000"/>
                <w:sz w:val="12"/>
              </w:rPr>
              <w:t>59.80</w:t>
            </w:r>
          </w:p>
        </w:tc>
        <w:tc>
          <w:tcPr>
            <w:tcW w:type="dxa" w:w="1590"/>
            <w:vAlign w:val="center"/>
          </w:tcPr>
          <w:p>
            <w:pPr>
              <w:spacing w:after="0" w:line="240" w:lineRule="auto"/>
              <w:jc w:val="center"/>
            </w:pPr>
            <w:r/>
            <w:r>
              <w:rPr>
                <w:rFonts w:ascii="Calibri" w:hAnsi="Calibri"/>
                <w:b w:val="0"/>
                <w:i w:val="0"/>
                <w:color w:val="000000"/>
                <w:sz w:val="12"/>
              </w:rPr>
              <w:t>3424.6967</w:t>
            </w:r>
          </w:p>
        </w:tc>
        <w:tc>
          <w:tcPr>
            <w:tcW w:type="dxa" w:w="2704"/>
            <w:vAlign w:val="center"/>
          </w:tcPr>
          <w:p>
            <w:pPr>
              <w:spacing w:after="0" w:line="240" w:lineRule="auto"/>
              <w:jc w:val="center"/>
            </w:pPr>
            <w:r/>
            <w:r>
              <w:rPr>
                <w:rFonts w:ascii="Calibri" w:hAnsi="Calibri"/>
                <w:b w:val="0"/>
                <w:i w:val="0"/>
                <w:color w:val="000000"/>
                <w:sz w:val="12"/>
              </w:rPr>
              <w:t>30.1961</w:t>
            </w:r>
          </w:p>
        </w:tc>
        <w:tc>
          <w:tcPr>
            <w:tcW w:type="dxa" w:w="1593"/>
            <w:vAlign w:val="center"/>
          </w:tcPr>
          <w:p>
            <w:pPr>
              <w:spacing w:after="0" w:line="240" w:lineRule="auto"/>
              <w:jc w:val="center"/>
            </w:pPr>
            <w:r/>
            <w:r>
              <w:rPr>
                <w:rFonts w:ascii="Calibri" w:hAnsi="Calibri"/>
                <w:b w:val="0"/>
                <w:i w:val="0"/>
                <w:color w:val="000000"/>
                <w:sz w:val="12"/>
              </w:rPr>
              <w:t>23738.9808</w:t>
            </w:r>
          </w:p>
        </w:tc>
      </w:tr>
      <w:tr>
        <w:tc>
          <w:tcPr>
            <w:tcW w:type="dxa" w:w="2704"/>
            <w:vAlign w:val="center"/>
          </w:tcPr>
          <w:p>
            <w:pPr>
              <w:spacing w:after="0" w:line="240" w:lineRule="auto"/>
              <w:jc w:val="left"/>
            </w:pPr>
            <w:r/>
            <w:r>
              <w:rPr>
                <w:rFonts w:ascii="Calibri" w:hAnsi="Calibri"/>
                <w:b w:val="0"/>
                <w:i w:val="0"/>
                <w:color w:val="000000"/>
                <w:sz w:val="12"/>
              </w:rPr>
              <w:t>lithium_carbonate</w:t>
            </w:r>
          </w:p>
        </w:tc>
        <w:tc>
          <w:tcPr>
            <w:tcW w:type="dxa" w:w="3181"/>
            <w:vAlign w:val="center"/>
          </w:tcPr>
          <w:p>
            <w:pPr>
              <w:spacing w:after="0" w:line="240" w:lineRule="auto"/>
              <w:jc w:val="center"/>
            </w:pPr>
            <w:r/>
            <w:r>
              <w:rPr>
                <w:rFonts w:ascii="Calibri" w:hAnsi="Calibri"/>
                <w:b w:val="0"/>
                <w:i w:val="0"/>
                <w:color w:val="000000"/>
                <w:sz w:val="12"/>
              </w:rPr>
              <w:t>95.00</w:t>
            </w:r>
          </w:p>
        </w:tc>
        <w:tc>
          <w:tcPr>
            <w:tcW w:type="dxa" w:w="1908"/>
            <w:vAlign w:val="center"/>
          </w:tcPr>
          <w:p>
            <w:pPr>
              <w:spacing w:after="0" w:line="240" w:lineRule="auto"/>
              <w:jc w:val="center"/>
            </w:pPr>
            <w:r/>
            <w:r>
              <w:rPr>
                <w:rFonts w:ascii="Calibri" w:hAnsi="Calibri"/>
                <w:b w:val="0"/>
                <w:i w:val="0"/>
                <w:color w:val="000000"/>
                <w:sz w:val="12"/>
              </w:rPr>
              <w:t>100.00</w:t>
            </w:r>
          </w:p>
        </w:tc>
        <w:tc>
          <w:tcPr>
            <w:tcW w:type="dxa" w:w="1590"/>
            <w:vAlign w:val="center"/>
          </w:tcPr>
          <w:p>
            <w:pPr>
              <w:spacing w:after="0" w:line="240" w:lineRule="auto"/>
              <w:jc w:val="center"/>
            </w:pPr>
            <w:r/>
            <w:r>
              <w:rPr>
                <w:rFonts w:ascii="Calibri" w:hAnsi="Calibri"/>
                <w:b w:val="0"/>
                <w:i w:val="0"/>
                <w:color w:val="000000"/>
                <w:sz w:val="12"/>
              </w:rPr>
              <w:t>55769.7036</w:t>
            </w:r>
          </w:p>
        </w:tc>
        <w:tc>
          <w:tcPr>
            <w:tcW w:type="dxa" w:w="2704"/>
            <w:vAlign w:val="center"/>
          </w:tcPr>
          <w:p>
            <w:pPr>
              <w:spacing w:after="0" w:line="240" w:lineRule="auto"/>
              <w:jc w:val="center"/>
            </w:pPr>
            <w:r/>
            <w:r>
              <w:rPr>
                <w:rFonts w:ascii="Calibri" w:hAnsi="Calibri"/>
                <w:b w:val="0"/>
                <w:i w:val="0"/>
                <w:color w:val="000000"/>
                <w:sz w:val="12"/>
              </w:rPr>
              <w:t>5.0000</w:t>
            </w:r>
          </w:p>
        </w:tc>
        <w:tc>
          <w:tcPr>
            <w:tcW w:type="dxa" w:w="1593"/>
            <w:vAlign w:val="center"/>
          </w:tcPr>
          <w:p>
            <w:pPr>
              <w:spacing w:after="0" w:line="240" w:lineRule="auto"/>
              <w:jc w:val="center"/>
            </w:pPr>
            <w:r/>
            <w:r>
              <w:rPr>
                <w:rFonts w:ascii="Calibri" w:hAnsi="Calibri"/>
                <w:b w:val="0"/>
                <w:i w:val="0"/>
                <w:color w:val="000000"/>
                <w:sz w:val="12"/>
              </w:rPr>
              <w:t>55769.7036</w:t>
            </w:r>
          </w:p>
        </w:tc>
      </w:tr>
      <w:tr>
        <w:tc>
          <w:tcPr>
            <w:tcW w:type="dxa" w:w="2704"/>
            <w:vAlign w:val="center"/>
          </w:tcPr>
          <w:p>
            <w:pPr>
              <w:spacing w:after="0" w:line="240" w:lineRule="auto"/>
              <w:jc w:val="left"/>
            </w:pPr>
            <w:r/>
            <w:r>
              <w:rPr>
                <w:rFonts w:ascii="Calibri" w:hAnsi="Calibri"/>
                <w:b w:val="0"/>
                <w:i w:val="0"/>
                <w:color w:val="000000"/>
                <w:sz w:val="12"/>
              </w:rPr>
              <w:t>lithium_hydroxide</w:t>
            </w:r>
          </w:p>
        </w:tc>
        <w:tc>
          <w:tcPr>
            <w:tcW w:type="dxa" w:w="3181"/>
            <w:vAlign w:val="center"/>
          </w:tcPr>
          <w:p>
            <w:pPr>
              <w:spacing w:after="0" w:line="240" w:lineRule="auto"/>
              <w:jc w:val="center"/>
            </w:pPr>
            <w:r/>
            <w:r>
              <w:rPr>
                <w:rFonts w:ascii="Calibri" w:hAnsi="Calibri"/>
                <w:b w:val="0"/>
                <w:i w:val="0"/>
                <w:color w:val="000000"/>
                <w:sz w:val="12"/>
              </w:rPr>
              <w:t>80.00</w:t>
            </w:r>
          </w:p>
        </w:tc>
        <w:tc>
          <w:tcPr>
            <w:tcW w:type="dxa" w:w="1908"/>
            <w:vAlign w:val="center"/>
          </w:tcPr>
          <w:p>
            <w:pPr>
              <w:spacing w:after="0" w:line="240" w:lineRule="auto"/>
              <w:jc w:val="center"/>
            </w:pPr>
            <w:r/>
            <w:r>
              <w:rPr>
                <w:rFonts w:ascii="Calibri" w:hAnsi="Calibri"/>
                <w:b w:val="0"/>
                <w:i w:val="0"/>
                <w:color w:val="000000"/>
                <w:sz w:val="12"/>
              </w:rPr>
              <w:t>38.10</w:t>
            </w:r>
          </w:p>
        </w:tc>
        <w:tc>
          <w:tcPr>
            <w:tcW w:type="dxa" w:w="1590"/>
            <w:vAlign w:val="center"/>
          </w:tcPr>
          <w:p>
            <w:pPr>
              <w:spacing w:after="0" w:line="240" w:lineRule="auto"/>
              <w:jc w:val="center"/>
            </w:pPr>
            <w:r/>
            <w:r>
              <w:rPr>
                <w:rFonts w:ascii="Calibri" w:hAnsi="Calibri"/>
                <w:b w:val="0"/>
                <w:i w:val="0"/>
                <w:color w:val="000000"/>
                <w:sz w:val="12"/>
              </w:rPr>
              <w:t>0.2402</w:t>
            </w:r>
          </w:p>
        </w:tc>
        <w:tc>
          <w:tcPr>
            <w:tcW w:type="dxa" w:w="2704"/>
            <w:vAlign w:val="center"/>
          </w:tcPr>
          <w:p>
            <w:pPr>
              <w:spacing w:after="0" w:line="240" w:lineRule="auto"/>
              <w:jc w:val="center"/>
            </w:pPr>
            <w:r/>
            <w:r>
              <w:rPr>
                <w:rFonts w:ascii="Calibri" w:hAnsi="Calibri"/>
                <w:b w:val="0"/>
                <w:i w:val="0"/>
                <w:color w:val="000000"/>
                <w:sz w:val="12"/>
              </w:rPr>
              <w:t>41.9048</w:t>
            </w:r>
          </w:p>
        </w:tc>
        <w:tc>
          <w:tcPr>
            <w:tcW w:type="dxa" w:w="1593"/>
            <w:vAlign w:val="center"/>
          </w:tcPr>
          <w:p>
            <w:pPr>
              <w:spacing w:after="0" w:line="240" w:lineRule="auto"/>
              <w:jc w:val="center"/>
            </w:pPr>
            <w:r/>
            <w:r>
              <w:rPr>
                <w:rFonts w:ascii="Calibri" w:hAnsi="Calibri"/>
                <w:b w:val="0"/>
                <w:i w:val="0"/>
                <w:color w:val="000000"/>
                <w:sz w:val="12"/>
              </w:rPr>
              <w:t>2.6397</w:t>
            </w:r>
          </w:p>
        </w:tc>
      </w:tr>
      <w:tr>
        <w:tc>
          <w:tcPr>
            <w:tcW w:type="dxa" w:w="2704"/>
            <w:vAlign w:val="center"/>
          </w:tcPr>
          <w:p>
            <w:pPr>
              <w:spacing w:after="0" w:line="240" w:lineRule="auto"/>
              <w:jc w:val="left"/>
            </w:pPr>
            <w:r/>
            <w:r>
              <w:rPr>
                <w:rFonts w:ascii="Calibri" w:hAnsi="Calibri"/>
                <w:b w:val="0"/>
                <w:i w:val="0"/>
                <w:color w:val="000000"/>
                <w:sz w:val="12"/>
              </w:rPr>
              <w:t>lithium_hydroxide</w:t>
            </w:r>
          </w:p>
        </w:tc>
        <w:tc>
          <w:tcPr>
            <w:tcW w:type="dxa" w:w="3181"/>
            <w:vAlign w:val="center"/>
          </w:tcPr>
          <w:p>
            <w:pPr>
              <w:spacing w:after="0" w:line="240" w:lineRule="auto"/>
              <w:jc w:val="center"/>
            </w:pPr>
            <w:r/>
            <w:r>
              <w:rPr>
                <w:rFonts w:ascii="Calibri" w:hAnsi="Calibri"/>
                <w:b w:val="0"/>
                <w:i w:val="0"/>
                <w:color w:val="000000"/>
                <w:sz w:val="12"/>
              </w:rPr>
              <w:t>90.00</w:t>
            </w:r>
          </w:p>
        </w:tc>
        <w:tc>
          <w:tcPr>
            <w:tcW w:type="dxa" w:w="1908"/>
            <w:vAlign w:val="center"/>
          </w:tcPr>
          <w:p>
            <w:pPr>
              <w:spacing w:after="0" w:line="240" w:lineRule="auto"/>
              <w:jc w:val="center"/>
            </w:pPr>
            <w:r/>
            <w:r>
              <w:rPr>
                <w:rFonts w:ascii="Calibri" w:hAnsi="Calibri"/>
                <w:b w:val="0"/>
                <w:i w:val="0"/>
                <w:color w:val="000000"/>
                <w:sz w:val="12"/>
              </w:rPr>
              <w:t>48.57</w:t>
            </w:r>
          </w:p>
        </w:tc>
        <w:tc>
          <w:tcPr>
            <w:tcW w:type="dxa" w:w="1590"/>
            <w:vAlign w:val="center"/>
          </w:tcPr>
          <w:p>
            <w:pPr>
              <w:spacing w:after="0" w:line="240" w:lineRule="auto"/>
              <w:jc w:val="center"/>
            </w:pPr>
            <w:r/>
            <w:r>
              <w:rPr>
                <w:rFonts w:ascii="Calibri" w:hAnsi="Calibri"/>
                <w:b w:val="0"/>
                <w:i w:val="0"/>
                <w:color w:val="000000"/>
                <w:sz w:val="12"/>
              </w:rPr>
              <w:t>0.4251</w:t>
            </w:r>
          </w:p>
        </w:tc>
        <w:tc>
          <w:tcPr>
            <w:tcW w:type="dxa" w:w="2704"/>
            <w:vAlign w:val="center"/>
          </w:tcPr>
          <w:p>
            <w:pPr>
              <w:spacing w:after="0" w:line="240" w:lineRule="auto"/>
              <w:jc w:val="center"/>
            </w:pPr>
            <w:r/>
            <w:r>
              <w:rPr>
                <w:rFonts w:ascii="Calibri" w:hAnsi="Calibri"/>
                <w:b w:val="0"/>
                <w:i w:val="0"/>
                <w:color w:val="000000"/>
                <w:sz w:val="12"/>
              </w:rPr>
              <w:t>41.4286</w:t>
            </w:r>
          </w:p>
        </w:tc>
        <w:tc>
          <w:tcPr>
            <w:tcW w:type="dxa" w:w="1593"/>
            <w:vAlign w:val="center"/>
          </w:tcPr>
          <w:p>
            <w:pPr>
              <w:spacing w:after="0" w:line="240" w:lineRule="auto"/>
              <w:jc w:val="center"/>
            </w:pPr>
            <w:r/>
            <w:r>
              <w:rPr>
                <w:rFonts w:ascii="Calibri" w:hAnsi="Calibri"/>
                <w:b w:val="0"/>
                <w:i w:val="0"/>
                <w:color w:val="000000"/>
                <w:sz w:val="12"/>
              </w:rPr>
              <w:t>4.1833</w:t>
            </w:r>
          </w:p>
        </w:tc>
      </w:tr>
      <w:tr>
        <w:tc>
          <w:tcPr>
            <w:tcW w:type="dxa" w:w="2704"/>
            <w:vAlign w:val="center"/>
          </w:tcPr>
          <w:p>
            <w:pPr>
              <w:spacing w:after="0" w:line="240" w:lineRule="auto"/>
              <w:jc w:val="left"/>
            </w:pPr>
            <w:r/>
            <w:r>
              <w:rPr>
                <w:rFonts w:ascii="Calibri" w:hAnsi="Calibri"/>
                <w:b w:val="0"/>
                <w:i w:val="0"/>
                <w:color w:val="000000"/>
                <w:sz w:val="12"/>
              </w:rPr>
              <w:t>lithium_hydroxide</w:t>
            </w:r>
          </w:p>
        </w:tc>
        <w:tc>
          <w:tcPr>
            <w:tcW w:type="dxa" w:w="3181"/>
            <w:vAlign w:val="center"/>
          </w:tcPr>
          <w:p>
            <w:pPr>
              <w:spacing w:after="0" w:line="240" w:lineRule="auto"/>
              <w:jc w:val="center"/>
            </w:pPr>
            <w:r/>
            <w:r>
              <w:rPr>
                <w:rFonts w:ascii="Calibri" w:hAnsi="Calibri"/>
                <w:b w:val="0"/>
                <w:i w:val="0"/>
                <w:color w:val="000000"/>
                <w:sz w:val="12"/>
              </w:rPr>
              <w:t>95.00</w:t>
            </w:r>
          </w:p>
        </w:tc>
        <w:tc>
          <w:tcPr>
            <w:tcW w:type="dxa" w:w="1908"/>
            <w:vAlign w:val="center"/>
          </w:tcPr>
          <w:p>
            <w:pPr>
              <w:spacing w:after="0" w:line="240" w:lineRule="auto"/>
              <w:jc w:val="center"/>
            </w:pPr>
            <w:r/>
            <w:r>
              <w:rPr>
                <w:rFonts w:ascii="Calibri" w:hAnsi="Calibri"/>
                <w:b w:val="0"/>
                <w:i w:val="0"/>
                <w:color w:val="000000"/>
                <w:sz w:val="12"/>
              </w:rPr>
              <w:t>100.00</w:t>
            </w:r>
          </w:p>
        </w:tc>
        <w:tc>
          <w:tcPr>
            <w:tcW w:type="dxa" w:w="1590"/>
            <w:vAlign w:val="center"/>
          </w:tcPr>
          <w:p>
            <w:pPr>
              <w:spacing w:after="0" w:line="240" w:lineRule="auto"/>
              <w:jc w:val="center"/>
            </w:pPr>
            <w:r/>
            <w:r>
              <w:rPr>
                <w:rFonts w:ascii="Calibri" w:hAnsi="Calibri"/>
                <w:b w:val="0"/>
                <w:i w:val="0"/>
                <w:color w:val="000000"/>
                <w:sz w:val="12"/>
              </w:rPr>
              <w:t>8.5249</w:t>
            </w:r>
          </w:p>
        </w:tc>
        <w:tc>
          <w:tcPr>
            <w:tcW w:type="dxa" w:w="2704"/>
            <w:vAlign w:val="center"/>
          </w:tcPr>
          <w:p>
            <w:pPr>
              <w:spacing w:after="0" w:line="240" w:lineRule="auto"/>
              <w:jc w:val="center"/>
            </w:pPr>
            <w:r/>
            <w:r>
              <w:rPr>
                <w:rFonts w:ascii="Calibri" w:hAnsi="Calibri"/>
                <w:b w:val="0"/>
                <w:i w:val="0"/>
                <w:color w:val="000000"/>
                <w:sz w:val="12"/>
              </w:rPr>
              <w:t>5.0000</w:t>
            </w:r>
          </w:p>
        </w:tc>
        <w:tc>
          <w:tcPr>
            <w:tcW w:type="dxa" w:w="1593"/>
            <w:vAlign w:val="center"/>
          </w:tcPr>
          <w:p>
            <w:pPr>
              <w:spacing w:after="0" w:line="240" w:lineRule="auto"/>
              <w:jc w:val="center"/>
            </w:pPr>
            <w:r/>
            <w:r>
              <w:rPr>
                <w:rFonts w:ascii="Calibri" w:hAnsi="Calibri"/>
                <w:b w:val="0"/>
                <w:i w:val="0"/>
                <w:color w:val="000000"/>
                <w:sz w:val="12"/>
              </w:rPr>
              <w:t>8.5249</w:t>
            </w:r>
          </w:p>
        </w:tc>
      </w:tr>
    </w:tbl>
    <w:p>
      <w:pPr>
        <w:spacing w:after="60"/>
      </w:pPr>
    </w:p>
    <w:p>
      <w:pPr>
        <w:pStyle w:val="Heading3"/>
      </w:pPr>
      <w:r>
        <w:t>Interpretation of Table 10</w:t>
      </w:r>
    </w:p>
    <w:p>
      <w:pPr>
        <w:spacing w:after="160" w:line="320" w:lineRule="auto"/>
        <w:jc w:val="both"/>
      </w:pPr>
      <w:r>
        <w:rPr>
          <w:rFonts w:ascii="Calibri" w:hAnsi="Calibri"/>
          <w:b/>
          <w:i w:val="0"/>
          <w:color w:val="000000"/>
          <w:sz w:val="22"/>
        </w:rPr>
        <w:t>Coverage failure:</w:t>
      </w:r>
      <w:r>
        <w:rPr>
          <w:rFonts w:ascii="Calibri" w:hAnsi="Calibri"/>
          <w:b w:val="0"/>
          <w:i w:val="0"/>
          <w:color w:val="000000"/>
          <w:sz w:val="22"/>
        </w:rPr>
        <w:t xml:space="preserve"> The 80% and 90% intervals under-cover both targets. Carbonate realizes only 52.94% and 59.80% coverage, while hydroxide realizes 38.10% and 48.57%. Calibration errors of 27-42 percentage points show that the central intervals are too narrow after the calibration segment.</w:t>
      </w:r>
    </w:p>
    <w:p>
      <w:pPr>
        <w:spacing w:after="160" w:line="320" w:lineRule="auto"/>
        <w:jc w:val="both"/>
      </w:pPr>
      <w:r>
        <w:rPr>
          <w:rFonts w:ascii="Calibri" w:hAnsi="Calibri"/>
          <w:b/>
          <w:i w:val="0"/>
          <w:color w:val="000000"/>
          <w:sz w:val="22"/>
        </w:rPr>
        <w:t>Why 95% is misleading:</w:t>
      </w:r>
      <w:r>
        <w:rPr>
          <w:rFonts w:ascii="Calibri" w:hAnsi="Calibri"/>
          <w:b w:val="0"/>
          <w:i w:val="0"/>
          <w:color w:val="000000"/>
          <w:sz w:val="22"/>
        </w:rPr>
        <w:t xml:space="preserve"> Both 95% intervals reach 100% empirical coverage only by expanding dramatically: average width rises to 55,769.70 for carbonate and 8.5249 for hydroxide. The associated Winkler scores confirm that coverage is purchased with poor sharpness rather than well-calibrated uncertainty.</w:t>
      </w:r>
    </w:p>
    <w:p>
      <w:pPr>
        <w:spacing w:after="160" w:line="320" w:lineRule="auto"/>
        <w:jc w:val="both"/>
      </w:pPr>
      <w:r>
        <w:rPr>
          <w:rFonts w:ascii="Calibri" w:hAnsi="Calibri"/>
          <w:b/>
          <w:i w:val="0"/>
          <w:color w:val="000000"/>
          <w:sz w:val="22"/>
        </w:rPr>
        <w:t>Implication:</w:t>
      </w:r>
      <w:r>
        <w:rPr>
          <w:rFonts w:ascii="Calibri" w:hAnsi="Calibri"/>
          <w:b w:val="0"/>
          <w:i w:val="0"/>
          <w:color w:val="000000"/>
          <w:sz w:val="22"/>
        </w:rPr>
        <w:t xml:space="preserve"> Table 10 does not validate the intervals for deployment. It identifies distribution shift and unstable residual tails within the retrospective holdout. A publishable causal extension should update interval calibration sequentially or use rolling conformal methods and then report conditional as well as marginal coverage.</w:t>
      </w:r>
    </w:p>
    <w:p>
      <w:pPr>
        <w:sectPr>
          <w:pgSz w:w="15840" w:h="12240" w:orient="landscape"/>
          <w:pgMar w:top="1037" w:right="1037" w:bottom="1037" w:left="1037" w:header="605" w:footer="605" w:gutter="0"/>
          <w:cols w:space="720"/>
          <w:docGrid w:linePitch="360"/>
        </w:sectPr>
      </w:pPr>
    </w:p>
    <w:p>
      <w:pPr>
        <w:keepNext/>
        <w:spacing w:before="100" w:after="80"/>
      </w:pPr>
      <w:r>
        <w:rPr>
          <w:rFonts w:ascii="Calibri" w:hAnsi="Calibri"/>
          <w:b/>
          <w:i w:val="0"/>
          <w:color w:val="1F4D78"/>
          <w:sz w:val="18"/>
        </w:rPr>
        <w:t xml:space="preserve">Figure 12. </w:t>
      </w:r>
      <w:r>
        <w:rPr>
          <w:rFonts w:ascii="Calibri" w:hAnsi="Calibri"/>
          <w:b w:val="0"/>
          <w:i/>
          <w:color w:val="000000"/>
          <w:sz w:val="18"/>
        </w:rPr>
        <w:t>Graphical illustration of the two trading schemes and their uncertainty-filtered variants.</w:t>
      </w:r>
    </w:p>
    <w:p>
      <w:pPr>
        <w:spacing w:after="180"/>
        <w:jc w:val="center"/>
      </w:pPr>
      <w:r>
        <w:drawing>
          <wp:inline xmlns:a="http://schemas.openxmlformats.org/drawingml/2006/main" xmlns:pic="http://schemas.openxmlformats.org/drawingml/2006/picture">
            <wp:extent cx="5760720" cy="2228374"/>
            <wp:docPr id="12" name="Picture 12"/>
            <wp:cNvGraphicFramePr>
              <a:graphicFrameLocks noChangeAspect="1"/>
            </wp:cNvGraphicFramePr>
            <a:graphic>
              <a:graphicData uri="http://schemas.openxmlformats.org/drawingml/2006/picture">
                <pic:pic>
                  <pic:nvPicPr>
                    <pic:cNvPr id="0" name="fig12_trading.png"/>
                    <pic:cNvPicPr/>
                  </pic:nvPicPr>
                  <pic:blipFill>
                    <a:blip r:embed="rId22"/>
                    <a:stretch>
                      <a:fillRect/>
                    </a:stretch>
                  </pic:blipFill>
                  <pic:spPr>
                    <a:xfrm>
                      <a:off x="0" y="0"/>
                      <a:ext cx="5760720" cy="2228374"/>
                    </a:xfrm>
                    <a:prstGeom prst="rect"/>
                  </pic:spPr>
                </pic:pic>
              </a:graphicData>
            </a:graphic>
          </wp:inline>
        </w:drawing>
      </w:r>
    </w:p>
    <w:p>
      <w:pPr>
        <w:keepNext/>
        <w:spacing w:before="100" w:after="80"/>
      </w:pPr>
      <w:r>
        <w:rPr>
          <w:rFonts w:ascii="Calibri" w:hAnsi="Calibri"/>
          <w:b/>
          <w:i w:val="0"/>
          <w:color w:val="1F4D78"/>
          <w:sz w:val="18"/>
        </w:rPr>
        <w:t xml:space="preserve">Figure 13. </w:t>
      </w:r>
      <w:r>
        <w:rPr>
          <w:rFonts w:ascii="Calibri" w:hAnsi="Calibri"/>
          <w:b w:val="0"/>
          <w:i/>
          <w:color w:val="000000"/>
          <w:sz w:val="18"/>
        </w:rPr>
        <w:t>Mean trading Sharpe ratios across the two lithium targets under Scheme 2.</w:t>
      </w:r>
    </w:p>
    <w:p>
      <w:pPr>
        <w:spacing w:after="180"/>
        <w:jc w:val="center"/>
      </w:pPr>
      <w:r>
        <w:drawing>
          <wp:inline xmlns:a="http://schemas.openxmlformats.org/drawingml/2006/main" xmlns:pic="http://schemas.openxmlformats.org/drawingml/2006/picture">
            <wp:extent cx="5760720" cy="2962054"/>
            <wp:docPr id="13" name="Picture 13"/>
            <wp:cNvGraphicFramePr>
              <a:graphicFrameLocks noChangeAspect="1"/>
            </wp:cNvGraphicFramePr>
            <a:graphic>
              <a:graphicData uri="http://schemas.openxmlformats.org/drawingml/2006/picture">
                <pic:pic>
                  <pic:nvPicPr>
                    <pic:cNvPr id="0" name="fig13_trading.png"/>
                    <pic:cNvPicPr/>
                  </pic:nvPicPr>
                  <pic:blipFill>
                    <a:blip r:embed="rId23"/>
                    <a:stretch>
                      <a:fillRect/>
                    </a:stretch>
                  </pic:blipFill>
                  <pic:spPr>
                    <a:xfrm>
                      <a:off x="0" y="0"/>
                      <a:ext cx="5760720" cy="2962054"/>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11. </w:t>
      </w:r>
      <w:r>
        <w:rPr>
          <w:rFonts w:ascii="Calibri" w:hAnsi="Calibri"/>
          <w:b w:val="0"/>
          <w:i/>
          <w:color w:val="000000"/>
          <w:sz w:val="18"/>
        </w:rPr>
        <w:t>Performance of two trading schemes and their optimized versions based on decomposition-model forecasts.</w:t>
      </w:r>
    </w:p>
    <w:tbl>
      <w:tblPr>
        <w:tblStyle w:val="TableGrid"/>
        <w:tblW w:type="dxa" w:w="13680"/>
        <w:jc w:val="left"/>
        <w:tblLayout w:type="fixed"/>
        <w:tblLook w:firstColumn="1" w:firstRow="1" w:lastColumn="0" w:lastRow="0" w:noHBand="0" w:noVBand="1" w:val="04A0"/>
      </w:tblPr>
      <w:tblGrid>
        <w:gridCol w:w="3173"/>
        <w:gridCol w:w="984"/>
        <w:gridCol w:w="2298"/>
        <w:gridCol w:w="2188"/>
        <w:gridCol w:w="1313"/>
        <w:gridCol w:w="2407"/>
        <w:gridCol w:w="1317"/>
      </w:tblGrid>
      <w:tr>
        <w:trPr>
          <w:tblHeader w:val="true"/>
        </w:trPr>
        <w:tc>
          <w:tcPr>
            <w:tcW w:type="dxa" w:w="3173"/>
            <w:shd w:fill="F4F6F9"/>
            <w:vAlign w:val="center"/>
          </w:tcPr>
          <w:p>
            <w:pPr>
              <w:jc w:val="center"/>
            </w:pPr>
            <w:r/>
            <w:r>
              <w:rPr>
                <w:rFonts w:ascii="Calibri" w:hAnsi="Calibri"/>
                <w:b/>
                <w:i w:val="0"/>
                <w:color w:val="0B2545"/>
                <w:sz w:val="11"/>
              </w:rPr>
              <w:t>Model</w:t>
            </w:r>
          </w:p>
        </w:tc>
        <w:tc>
          <w:tcPr>
            <w:tcW w:type="dxa" w:w="984"/>
            <w:shd w:fill="F4F6F9"/>
            <w:vAlign w:val="center"/>
          </w:tcPr>
          <w:p>
            <w:pPr>
              <w:jc w:val="center"/>
            </w:pPr>
            <w:r/>
            <w:r>
              <w:rPr>
                <w:rFonts w:ascii="Calibri" w:hAnsi="Calibri"/>
                <w:b/>
                <w:i w:val="0"/>
                <w:color w:val="0B2545"/>
                <w:sz w:val="11"/>
              </w:rPr>
              <w:t>Scheme</w:t>
            </w:r>
          </w:p>
        </w:tc>
        <w:tc>
          <w:tcPr>
            <w:tcW w:type="dxa" w:w="2298"/>
            <w:shd w:fill="F4F6F9"/>
            <w:vAlign w:val="center"/>
          </w:tcPr>
          <w:p>
            <w:pPr>
              <w:jc w:val="center"/>
            </w:pPr>
            <w:r/>
            <w:r>
              <w:rPr>
                <w:rFonts w:ascii="Calibri" w:hAnsi="Calibri"/>
                <w:b/>
                <w:i w:val="0"/>
                <w:color w:val="0B2545"/>
                <w:sz w:val="11"/>
              </w:rPr>
              <w:t>Cumulative Return (%)</w:t>
            </w:r>
          </w:p>
        </w:tc>
        <w:tc>
          <w:tcPr>
            <w:tcW w:type="dxa" w:w="2188"/>
            <w:shd w:fill="F4F6F9"/>
            <w:vAlign w:val="center"/>
          </w:tcPr>
          <w:p>
            <w:pPr>
              <w:jc w:val="center"/>
            </w:pPr>
            <w:r/>
            <w:r>
              <w:rPr>
                <w:rFonts w:ascii="Calibri" w:hAnsi="Calibri"/>
                <w:b/>
                <w:i w:val="0"/>
                <w:color w:val="0B2545"/>
                <w:sz w:val="11"/>
              </w:rPr>
              <w:t>Maximum Drawdown (%)</w:t>
            </w:r>
          </w:p>
        </w:tc>
        <w:tc>
          <w:tcPr>
            <w:tcW w:type="dxa" w:w="1313"/>
            <w:shd w:fill="F4F6F9"/>
            <w:vAlign w:val="center"/>
          </w:tcPr>
          <w:p>
            <w:pPr>
              <w:jc w:val="center"/>
            </w:pPr>
            <w:r/>
            <w:r>
              <w:rPr>
                <w:rFonts w:ascii="Calibri" w:hAnsi="Calibri"/>
                <w:b/>
                <w:i w:val="0"/>
                <w:color w:val="0B2545"/>
                <w:sz w:val="11"/>
              </w:rPr>
              <w:t>Sharpe Ratio</w:t>
            </w:r>
          </w:p>
        </w:tc>
        <w:tc>
          <w:tcPr>
            <w:tcW w:type="dxa" w:w="2407"/>
            <w:shd w:fill="F4F6F9"/>
            <w:vAlign w:val="center"/>
          </w:tcPr>
          <w:p>
            <w:pPr>
              <w:jc w:val="center"/>
            </w:pPr>
            <w:r/>
            <w:r>
              <w:rPr>
                <w:rFonts w:ascii="Calibri" w:hAnsi="Calibri"/>
                <w:b/>
                <w:i w:val="0"/>
                <w:color w:val="0B2545"/>
                <w:sz w:val="11"/>
              </w:rPr>
              <w:t>Number of Transactions</w:t>
            </w:r>
          </w:p>
        </w:tc>
        <w:tc>
          <w:tcPr>
            <w:tcW w:type="dxa" w:w="1317"/>
            <w:shd w:fill="F4F6F9"/>
            <w:vAlign w:val="center"/>
          </w:tcPr>
          <w:p>
            <w:pPr>
              <w:jc w:val="center"/>
            </w:pPr>
            <w:r/>
            <w:r>
              <w:rPr>
                <w:rFonts w:ascii="Calibri" w:hAnsi="Calibri"/>
                <w:b/>
                <w:i w:val="0"/>
                <w:color w:val="0B2545"/>
                <w:sz w:val="11"/>
              </w:rPr>
              <w:t>Hit Rate (%)</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332.30</w:t>
            </w:r>
          </w:p>
        </w:tc>
        <w:tc>
          <w:tcPr>
            <w:tcW w:type="dxa" w:w="2188"/>
            <w:vAlign w:val="center"/>
          </w:tcPr>
          <w:p>
            <w:pPr>
              <w:spacing w:after="0" w:line="240" w:lineRule="auto"/>
              <w:jc w:val="center"/>
            </w:pPr>
            <w:r/>
            <w:r>
              <w:rPr>
                <w:rFonts w:ascii="Calibri" w:hAnsi="Calibri"/>
                <w:b w:val="0"/>
                <w:i w:val="0"/>
                <w:color w:val="000000"/>
                <w:sz w:val="11"/>
              </w:rPr>
              <w:t>-4.34</w:t>
            </w:r>
          </w:p>
        </w:tc>
        <w:tc>
          <w:tcPr>
            <w:tcW w:type="dxa" w:w="1313"/>
            <w:vAlign w:val="center"/>
          </w:tcPr>
          <w:p>
            <w:pPr>
              <w:spacing w:after="0" w:line="240" w:lineRule="auto"/>
              <w:jc w:val="center"/>
            </w:pPr>
            <w:r/>
            <w:r>
              <w:rPr>
                <w:rFonts w:ascii="Calibri" w:hAnsi="Calibri"/>
                <w:b w:val="0"/>
                <w:i w:val="0"/>
                <w:color w:val="000000"/>
                <w:sz w:val="11"/>
              </w:rPr>
              <w:t>8.0045</w:t>
            </w:r>
          </w:p>
        </w:tc>
        <w:tc>
          <w:tcPr>
            <w:tcW w:type="dxa" w:w="2407"/>
            <w:vAlign w:val="center"/>
          </w:tcPr>
          <w:p>
            <w:pPr>
              <w:spacing w:after="0" w:line="240" w:lineRule="auto"/>
              <w:jc w:val="center"/>
            </w:pPr>
            <w:r/>
            <w:r>
              <w:rPr>
                <w:rFonts w:ascii="Calibri" w:hAnsi="Calibri"/>
                <w:b w:val="0"/>
                <w:i w:val="0"/>
                <w:color w:val="000000"/>
                <w:sz w:val="11"/>
              </w:rPr>
              <w:t>37.5000</w:t>
            </w:r>
          </w:p>
        </w:tc>
        <w:tc>
          <w:tcPr>
            <w:tcW w:type="dxa" w:w="1317"/>
            <w:vAlign w:val="center"/>
          </w:tcPr>
          <w:p>
            <w:pPr>
              <w:spacing w:after="0" w:line="240" w:lineRule="auto"/>
              <w:jc w:val="center"/>
            </w:pPr>
            <w:r/>
            <w:r>
              <w:rPr>
                <w:rFonts w:ascii="Calibri" w:hAnsi="Calibri"/>
                <w:b w:val="0"/>
                <w:i w:val="0"/>
                <w:color w:val="000000"/>
                <w:sz w:val="11"/>
              </w:rPr>
              <w:t>65.48</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284.56</w:t>
            </w:r>
          </w:p>
        </w:tc>
        <w:tc>
          <w:tcPr>
            <w:tcW w:type="dxa" w:w="2188"/>
            <w:vAlign w:val="center"/>
          </w:tcPr>
          <w:p>
            <w:pPr>
              <w:spacing w:after="0" w:line="240" w:lineRule="auto"/>
              <w:jc w:val="center"/>
            </w:pPr>
            <w:r/>
            <w:r>
              <w:rPr>
                <w:rFonts w:ascii="Calibri" w:hAnsi="Calibri"/>
                <w:b w:val="0"/>
                <w:i w:val="0"/>
                <w:color w:val="000000"/>
                <w:sz w:val="11"/>
              </w:rPr>
              <w:t>-1.98</w:t>
            </w:r>
          </w:p>
        </w:tc>
        <w:tc>
          <w:tcPr>
            <w:tcW w:type="dxa" w:w="1313"/>
            <w:vAlign w:val="center"/>
          </w:tcPr>
          <w:p>
            <w:pPr>
              <w:spacing w:after="0" w:line="240" w:lineRule="auto"/>
              <w:jc w:val="center"/>
            </w:pPr>
            <w:r/>
            <w:r>
              <w:rPr>
                <w:rFonts w:ascii="Calibri" w:hAnsi="Calibri"/>
                <w:b w:val="0"/>
                <w:i w:val="0"/>
                <w:color w:val="000000"/>
                <w:sz w:val="11"/>
              </w:rPr>
              <w:t>7.5317</w:t>
            </w:r>
          </w:p>
        </w:tc>
        <w:tc>
          <w:tcPr>
            <w:tcW w:type="dxa" w:w="2407"/>
            <w:vAlign w:val="center"/>
          </w:tcPr>
          <w:p>
            <w:pPr>
              <w:spacing w:after="0" w:line="240" w:lineRule="auto"/>
              <w:jc w:val="center"/>
            </w:pPr>
            <w:r/>
            <w:r>
              <w:rPr>
                <w:rFonts w:ascii="Calibri" w:hAnsi="Calibri"/>
                <w:b w:val="0"/>
                <w:i w:val="0"/>
                <w:color w:val="000000"/>
                <w:sz w:val="11"/>
              </w:rPr>
              <w:t>32.0000</w:t>
            </w:r>
          </w:p>
        </w:tc>
        <w:tc>
          <w:tcPr>
            <w:tcW w:type="dxa" w:w="1317"/>
            <w:vAlign w:val="center"/>
          </w:tcPr>
          <w:p>
            <w:pPr>
              <w:spacing w:after="0" w:line="240" w:lineRule="auto"/>
              <w:jc w:val="center"/>
            </w:pPr>
            <w:r/>
            <w:r>
              <w:rPr>
                <w:rFonts w:ascii="Calibri" w:hAnsi="Calibri"/>
                <w:b w:val="0"/>
                <w:i w:val="0"/>
                <w:color w:val="000000"/>
                <w:sz w:val="11"/>
              </w:rPr>
              <w:t>40.35</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304.19</w:t>
            </w:r>
          </w:p>
        </w:tc>
        <w:tc>
          <w:tcPr>
            <w:tcW w:type="dxa" w:w="2188"/>
            <w:vAlign w:val="center"/>
          </w:tcPr>
          <w:p>
            <w:pPr>
              <w:spacing w:after="0" w:line="240" w:lineRule="auto"/>
              <w:jc w:val="center"/>
            </w:pPr>
            <w:r/>
            <w:r>
              <w:rPr>
                <w:rFonts w:ascii="Calibri" w:hAnsi="Calibri"/>
                <w:b w:val="0"/>
                <w:i w:val="0"/>
                <w:color w:val="000000"/>
                <w:sz w:val="11"/>
              </w:rPr>
              <w:t>-4.44</w:t>
            </w:r>
          </w:p>
        </w:tc>
        <w:tc>
          <w:tcPr>
            <w:tcW w:type="dxa" w:w="1313"/>
            <w:vAlign w:val="center"/>
          </w:tcPr>
          <w:p>
            <w:pPr>
              <w:spacing w:after="0" w:line="240" w:lineRule="auto"/>
              <w:jc w:val="center"/>
            </w:pPr>
            <w:r/>
            <w:r>
              <w:rPr>
                <w:rFonts w:ascii="Calibri" w:hAnsi="Calibri"/>
                <w:b w:val="0"/>
                <w:i w:val="0"/>
                <w:color w:val="000000"/>
                <w:sz w:val="11"/>
              </w:rPr>
              <w:t>7.6570</w:t>
            </w:r>
          </w:p>
        </w:tc>
        <w:tc>
          <w:tcPr>
            <w:tcW w:type="dxa" w:w="2407"/>
            <w:vAlign w:val="center"/>
          </w:tcPr>
          <w:p>
            <w:pPr>
              <w:spacing w:after="0" w:line="240" w:lineRule="auto"/>
              <w:jc w:val="center"/>
            </w:pPr>
            <w:r/>
            <w:r>
              <w:rPr>
                <w:rFonts w:ascii="Calibri" w:hAnsi="Calibri"/>
                <w:b w:val="0"/>
                <w:i w:val="0"/>
                <w:color w:val="000000"/>
                <w:sz w:val="11"/>
              </w:rPr>
              <w:t>37.5000</w:t>
            </w:r>
          </w:p>
        </w:tc>
        <w:tc>
          <w:tcPr>
            <w:tcW w:type="dxa" w:w="1317"/>
            <w:vAlign w:val="center"/>
          </w:tcPr>
          <w:p>
            <w:pPr>
              <w:spacing w:after="0" w:line="240" w:lineRule="auto"/>
              <w:jc w:val="center"/>
            </w:pPr>
            <w:r/>
            <w:r>
              <w:rPr>
                <w:rFonts w:ascii="Calibri" w:hAnsi="Calibri"/>
                <w:b w:val="0"/>
                <w:i w:val="0"/>
                <w:color w:val="000000"/>
                <w:sz w:val="11"/>
              </w:rPr>
              <w:t>65.48</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269.81</w:t>
            </w:r>
          </w:p>
        </w:tc>
        <w:tc>
          <w:tcPr>
            <w:tcW w:type="dxa" w:w="2188"/>
            <w:vAlign w:val="center"/>
          </w:tcPr>
          <w:p>
            <w:pPr>
              <w:spacing w:after="0" w:line="240" w:lineRule="auto"/>
              <w:jc w:val="center"/>
            </w:pPr>
            <w:r/>
            <w:r>
              <w:rPr>
                <w:rFonts w:ascii="Calibri" w:hAnsi="Calibri"/>
                <w:b w:val="0"/>
                <w:i w:val="0"/>
                <w:color w:val="000000"/>
                <w:sz w:val="11"/>
              </w:rPr>
              <w:t>-2.18</w:t>
            </w:r>
          </w:p>
        </w:tc>
        <w:tc>
          <w:tcPr>
            <w:tcW w:type="dxa" w:w="1313"/>
            <w:vAlign w:val="center"/>
          </w:tcPr>
          <w:p>
            <w:pPr>
              <w:spacing w:after="0" w:line="240" w:lineRule="auto"/>
              <w:jc w:val="center"/>
            </w:pPr>
            <w:r/>
            <w:r>
              <w:rPr>
                <w:rFonts w:ascii="Calibri" w:hAnsi="Calibri"/>
                <w:b w:val="0"/>
                <w:i w:val="0"/>
                <w:color w:val="000000"/>
                <w:sz w:val="11"/>
              </w:rPr>
              <w:t>7.3112</w:t>
            </w:r>
          </w:p>
        </w:tc>
        <w:tc>
          <w:tcPr>
            <w:tcW w:type="dxa" w:w="2407"/>
            <w:vAlign w:val="center"/>
          </w:tcPr>
          <w:p>
            <w:pPr>
              <w:spacing w:after="0" w:line="240" w:lineRule="auto"/>
              <w:jc w:val="center"/>
            </w:pPr>
            <w:r/>
            <w:r>
              <w:rPr>
                <w:rFonts w:ascii="Calibri" w:hAnsi="Calibri"/>
                <w:b w:val="0"/>
                <w:i w:val="0"/>
                <w:color w:val="000000"/>
                <w:sz w:val="11"/>
              </w:rPr>
              <w:t>32.0000</w:t>
            </w:r>
          </w:p>
        </w:tc>
        <w:tc>
          <w:tcPr>
            <w:tcW w:type="dxa" w:w="1317"/>
            <w:vAlign w:val="center"/>
          </w:tcPr>
          <w:p>
            <w:pPr>
              <w:spacing w:after="0" w:line="240" w:lineRule="auto"/>
              <w:jc w:val="center"/>
            </w:pPr>
            <w:r/>
            <w:r>
              <w:rPr>
                <w:rFonts w:ascii="Calibri" w:hAnsi="Calibri"/>
                <w:b w:val="0"/>
                <w:i w:val="0"/>
                <w:color w:val="000000"/>
                <w:sz w:val="11"/>
              </w:rPr>
              <w:t>40.35</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222.50</w:t>
            </w:r>
          </w:p>
        </w:tc>
        <w:tc>
          <w:tcPr>
            <w:tcW w:type="dxa" w:w="2188"/>
            <w:vAlign w:val="center"/>
          </w:tcPr>
          <w:p>
            <w:pPr>
              <w:spacing w:after="0" w:line="240" w:lineRule="auto"/>
              <w:jc w:val="center"/>
            </w:pPr>
            <w:r/>
            <w:r>
              <w:rPr>
                <w:rFonts w:ascii="Calibri" w:hAnsi="Calibri"/>
                <w:b w:val="0"/>
                <w:i w:val="0"/>
                <w:color w:val="000000"/>
                <w:sz w:val="11"/>
              </w:rPr>
              <w:t>-6.63</w:t>
            </w:r>
          </w:p>
        </w:tc>
        <w:tc>
          <w:tcPr>
            <w:tcW w:type="dxa" w:w="1313"/>
            <w:vAlign w:val="center"/>
          </w:tcPr>
          <w:p>
            <w:pPr>
              <w:spacing w:after="0" w:line="240" w:lineRule="auto"/>
              <w:jc w:val="center"/>
            </w:pPr>
            <w:r/>
            <w:r>
              <w:rPr>
                <w:rFonts w:ascii="Calibri" w:hAnsi="Calibri"/>
                <w:b w:val="0"/>
                <w:i w:val="0"/>
                <w:color w:val="000000"/>
                <w:sz w:val="11"/>
              </w:rPr>
              <w:t>6.2857</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49.09</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90.07</w:t>
            </w:r>
          </w:p>
        </w:tc>
        <w:tc>
          <w:tcPr>
            <w:tcW w:type="dxa" w:w="2188"/>
            <w:vAlign w:val="center"/>
          </w:tcPr>
          <w:p>
            <w:pPr>
              <w:spacing w:after="0" w:line="240" w:lineRule="auto"/>
              <w:jc w:val="center"/>
            </w:pPr>
            <w:r/>
            <w:r>
              <w:rPr>
                <w:rFonts w:ascii="Calibri" w:hAnsi="Calibri"/>
                <w:b w:val="0"/>
                <w:i w:val="0"/>
                <w:color w:val="000000"/>
                <w:sz w:val="11"/>
              </w:rPr>
              <w:t>-3.98</w:t>
            </w:r>
          </w:p>
        </w:tc>
        <w:tc>
          <w:tcPr>
            <w:tcW w:type="dxa" w:w="1313"/>
            <w:vAlign w:val="center"/>
          </w:tcPr>
          <w:p>
            <w:pPr>
              <w:spacing w:after="0" w:line="240" w:lineRule="auto"/>
              <w:jc w:val="center"/>
            </w:pPr>
            <w:r/>
            <w:r>
              <w:rPr>
                <w:rFonts w:ascii="Calibri" w:hAnsi="Calibri"/>
                <w:b w:val="0"/>
                <w:i w:val="0"/>
                <w:color w:val="000000"/>
                <w:sz w:val="11"/>
              </w:rPr>
              <w:t>4.0305</w:t>
            </w:r>
          </w:p>
        </w:tc>
        <w:tc>
          <w:tcPr>
            <w:tcW w:type="dxa" w:w="2407"/>
            <w:vAlign w:val="center"/>
          </w:tcPr>
          <w:p>
            <w:pPr>
              <w:spacing w:after="0" w:line="240" w:lineRule="auto"/>
              <w:jc w:val="center"/>
            </w:pPr>
            <w:r/>
            <w:r>
              <w:rPr>
                <w:rFonts w:ascii="Calibri" w:hAnsi="Calibri"/>
                <w:b w:val="0"/>
                <w:i w:val="0"/>
                <w:color w:val="000000"/>
                <w:sz w:val="11"/>
              </w:rPr>
              <w:t>20.0000</w:t>
            </w:r>
          </w:p>
        </w:tc>
        <w:tc>
          <w:tcPr>
            <w:tcW w:type="dxa" w:w="1317"/>
            <w:vAlign w:val="center"/>
          </w:tcPr>
          <w:p>
            <w:pPr>
              <w:spacing w:after="0" w:line="240" w:lineRule="auto"/>
              <w:jc w:val="center"/>
            </w:pPr>
            <w:r/>
            <w:r>
              <w:rPr>
                <w:rFonts w:ascii="Calibri" w:hAnsi="Calibri"/>
                <w:b w:val="0"/>
                <w:i w:val="0"/>
                <w:color w:val="000000"/>
                <w:sz w:val="11"/>
              </w:rPr>
              <w:t>12.14</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211.16</w:t>
            </w:r>
          </w:p>
        </w:tc>
        <w:tc>
          <w:tcPr>
            <w:tcW w:type="dxa" w:w="2188"/>
            <w:vAlign w:val="center"/>
          </w:tcPr>
          <w:p>
            <w:pPr>
              <w:spacing w:after="0" w:line="240" w:lineRule="auto"/>
              <w:jc w:val="center"/>
            </w:pPr>
            <w:r/>
            <w:r>
              <w:rPr>
                <w:rFonts w:ascii="Calibri" w:hAnsi="Calibri"/>
                <w:b w:val="0"/>
                <w:i w:val="0"/>
                <w:color w:val="000000"/>
                <w:sz w:val="11"/>
              </w:rPr>
              <w:t>-6.73</w:t>
            </w:r>
          </w:p>
        </w:tc>
        <w:tc>
          <w:tcPr>
            <w:tcW w:type="dxa" w:w="1313"/>
            <w:vAlign w:val="center"/>
          </w:tcPr>
          <w:p>
            <w:pPr>
              <w:spacing w:after="0" w:line="240" w:lineRule="auto"/>
              <w:jc w:val="center"/>
            </w:pPr>
            <w:r/>
            <w:r>
              <w:rPr>
                <w:rFonts w:ascii="Calibri" w:hAnsi="Calibri"/>
                <w:b w:val="0"/>
                <w:i w:val="0"/>
                <w:color w:val="000000"/>
                <w:sz w:val="11"/>
              </w:rPr>
              <w:t>6.0866</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49.09</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86.32</w:t>
            </w:r>
          </w:p>
        </w:tc>
        <w:tc>
          <w:tcPr>
            <w:tcW w:type="dxa" w:w="2188"/>
            <w:vAlign w:val="center"/>
          </w:tcPr>
          <w:p>
            <w:pPr>
              <w:spacing w:after="0" w:line="240" w:lineRule="auto"/>
              <w:jc w:val="center"/>
            </w:pPr>
            <w:r/>
            <w:r>
              <w:rPr>
                <w:rFonts w:ascii="Calibri" w:hAnsi="Calibri"/>
                <w:b w:val="0"/>
                <w:i w:val="0"/>
                <w:color w:val="000000"/>
                <w:sz w:val="11"/>
              </w:rPr>
              <w:t>-4.17</w:t>
            </w:r>
          </w:p>
        </w:tc>
        <w:tc>
          <w:tcPr>
            <w:tcW w:type="dxa" w:w="1313"/>
            <w:vAlign w:val="center"/>
          </w:tcPr>
          <w:p>
            <w:pPr>
              <w:spacing w:after="0" w:line="240" w:lineRule="auto"/>
              <w:jc w:val="center"/>
            </w:pPr>
            <w:r/>
            <w:r>
              <w:rPr>
                <w:rFonts w:ascii="Calibri" w:hAnsi="Calibri"/>
                <w:b w:val="0"/>
                <w:i w:val="0"/>
                <w:color w:val="000000"/>
                <w:sz w:val="11"/>
              </w:rPr>
              <w:t>3.9278</w:t>
            </w:r>
          </w:p>
        </w:tc>
        <w:tc>
          <w:tcPr>
            <w:tcW w:type="dxa" w:w="2407"/>
            <w:vAlign w:val="center"/>
          </w:tcPr>
          <w:p>
            <w:pPr>
              <w:spacing w:after="0" w:line="240" w:lineRule="auto"/>
              <w:jc w:val="center"/>
            </w:pPr>
            <w:r/>
            <w:r>
              <w:rPr>
                <w:rFonts w:ascii="Calibri" w:hAnsi="Calibri"/>
                <w:b w:val="0"/>
                <w:i w:val="0"/>
                <w:color w:val="000000"/>
                <w:sz w:val="11"/>
              </w:rPr>
              <w:t>20.0000</w:t>
            </w:r>
          </w:p>
        </w:tc>
        <w:tc>
          <w:tcPr>
            <w:tcW w:type="dxa" w:w="1317"/>
            <w:vAlign w:val="center"/>
          </w:tcPr>
          <w:p>
            <w:pPr>
              <w:spacing w:after="0" w:line="240" w:lineRule="auto"/>
              <w:jc w:val="center"/>
            </w:pPr>
            <w:r/>
            <w:r>
              <w:rPr>
                <w:rFonts w:ascii="Calibri" w:hAnsi="Calibri"/>
                <w:b w:val="0"/>
                <w:i w:val="0"/>
                <w:color w:val="000000"/>
                <w:sz w:val="11"/>
              </w:rPr>
              <w:t>12.14</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292.81</w:t>
            </w:r>
          </w:p>
        </w:tc>
        <w:tc>
          <w:tcPr>
            <w:tcW w:type="dxa" w:w="2188"/>
            <w:vAlign w:val="center"/>
          </w:tcPr>
          <w:p>
            <w:pPr>
              <w:spacing w:after="0" w:line="240" w:lineRule="auto"/>
              <w:jc w:val="center"/>
            </w:pPr>
            <w:r/>
            <w:r>
              <w:rPr>
                <w:rFonts w:ascii="Calibri" w:hAnsi="Calibri"/>
                <w:b w:val="0"/>
                <w:i w:val="0"/>
                <w:color w:val="000000"/>
                <w:sz w:val="11"/>
              </w:rPr>
              <w:t>-5.03</w:t>
            </w:r>
          </w:p>
        </w:tc>
        <w:tc>
          <w:tcPr>
            <w:tcW w:type="dxa" w:w="1313"/>
            <w:vAlign w:val="center"/>
          </w:tcPr>
          <w:p>
            <w:pPr>
              <w:spacing w:after="0" w:line="240" w:lineRule="auto"/>
              <w:jc w:val="center"/>
            </w:pPr>
            <w:r/>
            <w:r>
              <w:rPr>
                <w:rFonts w:ascii="Calibri" w:hAnsi="Calibri"/>
                <w:b w:val="0"/>
                <w:i w:val="0"/>
                <w:color w:val="000000"/>
                <w:sz w:val="11"/>
              </w:rPr>
              <w:t>7.3150</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59.16</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203.26</w:t>
            </w:r>
          </w:p>
        </w:tc>
        <w:tc>
          <w:tcPr>
            <w:tcW w:type="dxa" w:w="2188"/>
            <w:vAlign w:val="center"/>
          </w:tcPr>
          <w:p>
            <w:pPr>
              <w:spacing w:after="0" w:line="240" w:lineRule="auto"/>
              <w:jc w:val="center"/>
            </w:pPr>
            <w:r/>
            <w:r>
              <w:rPr>
                <w:rFonts w:ascii="Calibri" w:hAnsi="Calibri"/>
                <w:b w:val="0"/>
                <w:i w:val="0"/>
                <w:color w:val="000000"/>
                <w:sz w:val="11"/>
              </w:rPr>
              <w:t>-4.73</w:t>
            </w:r>
          </w:p>
        </w:tc>
        <w:tc>
          <w:tcPr>
            <w:tcW w:type="dxa" w:w="1313"/>
            <w:vAlign w:val="center"/>
          </w:tcPr>
          <w:p>
            <w:pPr>
              <w:spacing w:after="0" w:line="240" w:lineRule="auto"/>
              <w:jc w:val="center"/>
            </w:pPr>
            <w:r/>
            <w:r>
              <w:rPr>
                <w:rFonts w:ascii="Calibri" w:hAnsi="Calibri"/>
                <w:b w:val="0"/>
                <w:i w:val="0"/>
                <w:color w:val="000000"/>
                <w:sz w:val="11"/>
              </w:rPr>
              <w:t>6.1325</w:t>
            </w:r>
          </w:p>
        </w:tc>
        <w:tc>
          <w:tcPr>
            <w:tcW w:type="dxa" w:w="2407"/>
            <w:vAlign w:val="center"/>
          </w:tcPr>
          <w:p>
            <w:pPr>
              <w:spacing w:after="0" w:line="240" w:lineRule="auto"/>
              <w:jc w:val="center"/>
            </w:pPr>
            <w:r/>
            <w:r>
              <w:rPr>
                <w:rFonts w:ascii="Calibri" w:hAnsi="Calibri"/>
                <w:b w:val="0"/>
                <w:i w:val="0"/>
                <w:color w:val="000000"/>
                <w:sz w:val="11"/>
              </w:rPr>
              <w:t>26.0000</w:t>
            </w:r>
          </w:p>
        </w:tc>
        <w:tc>
          <w:tcPr>
            <w:tcW w:type="dxa" w:w="1317"/>
            <w:vAlign w:val="center"/>
          </w:tcPr>
          <w:p>
            <w:pPr>
              <w:spacing w:after="0" w:line="240" w:lineRule="auto"/>
              <w:jc w:val="center"/>
            </w:pPr>
            <w:r/>
            <w:r>
              <w:rPr>
                <w:rFonts w:ascii="Calibri" w:hAnsi="Calibri"/>
                <w:b w:val="0"/>
                <w:i w:val="0"/>
                <w:color w:val="000000"/>
                <w:sz w:val="11"/>
              </w:rPr>
              <w:t>36.41</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279.87</w:t>
            </w:r>
          </w:p>
        </w:tc>
        <w:tc>
          <w:tcPr>
            <w:tcW w:type="dxa" w:w="2188"/>
            <w:vAlign w:val="center"/>
          </w:tcPr>
          <w:p>
            <w:pPr>
              <w:spacing w:after="0" w:line="240" w:lineRule="auto"/>
              <w:jc w:val="center"/>
            </w:pPr>
            <w:r/>
            <w:r>
              <w:rPr>
                <w:rFonts w:ascii="Calibri" w:hAnsi="Calibri"/>
                <w:b w:val="0"/>
                <w:i w:val="0"/>
                <w:color w:val="000000"/>
                <w:sz w:val="11"/>
              </w:rPr>
              <w:t>-5.22</w:t>
            </w:r>
          </w:p>
        </w:tc>
        <w:tc>
          <w:tcPr>
            <w:tcW w:type="dxa" w:w="1313"/>
            <w:vAlign w:val="center"/>
          </w:tcPr>
          <w:p>
            <w:pPr>
              <w:spacing w:after="0" w:line="240" w:lineRule="auto"/>
              <w:jc w:val="center"/>
            </w:pPr>
            <w:r/>
            <w:r>
              <w:rPr>
                <w:rFonts w:ascii="Calibri" w:hAnsi="Calibri"/>
                <w:b w:val="0"/>
                <w:i w:val="0"/>
                <w:color w:val="000000"/>
                <w:sz w:val="11"/>
              </w:rPr>
              <w:t>7.1346</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59.16</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194.24</w:t>
            </w:r>
          </w:p>
        </w:tc>
        <w:tc>
          <w:tcPr>
            <w:tcW w:type="dxa" w:w="2188"/>
            <w:vAlign w:val="center"/>
          </w:tcPr>
          <w:p>
            <w:pPr>
              <w:spacing w:after="0" w:line="240" w:lineRule="auto"/>
              <w:jc w:val="center"/>
            </w:pPr>
            <w:r/>
            <w:r>
              <w:rPr>
                <w:rFonts w:ascii="Calibri" w:hAnsi="Calibri"/>
                <w:b w:val="0"/>
                <w:i w:val="0"/>
                <w:color w:val="000000"/>
                <w:sz w:val="11"/>
              </w:rPr>
              <w:t>-5.06</w:t>
            </w:r>
          </w:p>
        </w:tc>
        <w:tc>
          <w:tcPr>
            <w:tcW w:type="dxa" w:w="1313"/>
            <w:vAlign w:val="center"/>
          </w:tcPr>
          <w:p>
            <w:pPr>
              <w:spacing w:after="0" w:line="240" w:lineRule="auto"/>
              <w:jc w:val="center"/>
            </w:pPr>
            <w:r/>
            <w:r>
              <w:rPr>
                <w:rFonts w:ascii="Calibri" w:hAnsi="Calibri"/>
                <w:b w:val="0"/>
                <w:i w:val="0"/>
                <w:color w:val="000000"/>
                <w:sz w:val="11"/>
              </w:rPr>
              <w:t>5.9622</w:t>
            </w:r>
          </w:p>
        </w:tc>
        <w:tc>
          <w:tcPr>
            <w:tcW w:type="dxa" w:w="2407"/>
            <w:vAlign w:val="center"/>
          </w:tcPr>
          <w:p>
            <w:pPr>
              <w:spacing w:after="0" w:line="240" w:lineRule="auto"/>
              <w:jc w:val="center"/>
            </w:pPr>
            <w:r/>
            <w:r>
              <w:rPr>
                <w:rFonts w:ascii="Calibri" w:hAnsi="Calibri"/>
                <w:b w:val="0"/>
                <w:i w:val="0"/>
                <w:color w:val="000000"/>
                <w:sz w:val="11"/>
              </w:rPr>
              <w:t>26.0000</w:t>
            </w:r>
          </w:p>
        </w:tc>
        <w:tc>
          <w:tcPr>
            <w:tcW w:type="dxa" w:w="1317"/>
            <w:vAlign w:val="center"/>
          </w:tcPr>
          <w:p>
            <w:pPr>
              <w:spacing w:after="0" w:line="240" w:lineRule="auto"/>
              <w:jc w:val="center"/>
            </w:pPr>
            <w:r/>
            <w:r>
              <w:rPr>
                <w:rFonts w:ascii="Calibri" w:hAnsi="Calibri"/>
                <w:b w:val="0"/>
                <w:i w:val="0"/>
                <w:color w:val="000000"/>
                <w:sz w:val="11"/>
              </w:rPr>
              <w:t>36.41</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218.58</w:t>
            </w:r>
          </w:p>
        </w:tc>
        <w:tc>
          <w:tcPr>
            <w:tcW w:type="dxa" w:w="2188"/>
            <w:vAlign w:val="center"/>
          </w:tcPr>
          <w:p>
            <w:pPr>
              <w:spacing w:after="0" w:line="240" w:lineRule="auto"/>
              <w:jc w:val="center"/>
            </w:pPr>
            <w:r/>
            <w:r>
              <w:rPr>
                <w:rFonts w:ascii="Calibri" w:hAnsi="Calibri"/>
                <w:b w:val="0"/>
                <w:i w:val="0"/>
                <w:color w:val="000000"/>
                <w:sz w:val="11"/>
              </w:rPr>
              <w:t>-8.71</w:t>
            </w:r>
          </w:p>
        </w:tc>
        <w:tc>
          <w:tcPr>
            <w:tcW w:type="dxa" w:w="1313"/>
            <w:vAlign w:val="center"/>
          </w:tcPr>
          <w:p>
            <w:pPr>
              <w:spacing w:after="0" w:line="240" w:lineRule="auto"/>
              <w:jc w:val="center"/>
            </w:pPr>
            <w:r/>
            <w:r>
              <w:rPr>
                <w:rFonts w:ascii="Calibri" w:hAnsi="Calibri"/>
                <w:b w:val="0"/>
                <w:i w:val="0"/>
                <w:color w:val="000000"/>
                <w:sz w:val="11"/>
              </w:rPr>
              <w:t>5.4567</w:t>
            </w:r>
          </w:p>
        </w:tc>
        <w:tc>
          <w:tcPr>
            <w:tcW w:type="dxa" w:w="2407"/>
            <w:vAlign w:val="center"/>
          </w:tcPr>
          <w:p>
            <w:pPr>
              <w:spacing w:after="0" w:line="240" w:lineRule="auto"/>
              <w:jc w:val="center"/>
            </w:pPr>
            <w:r/>
            <w:r>
              <w:rPr>
                <w:rFonts w:ascii="Calibri" w:hAnsi="Calibri"/>
                <w:b w:val="0"/>
                <w:i w:val="0"/>
                <w:color w:val="000000"/>
                <w:sz w:val="11"/>
              </w:rPr>
              <w:t>19.5000</w:t>
            </w:r>
          </w:p>
        </w:tc>
        <w:tc>
          <w:tcPr>
            <w:tcW w:type="dxa" w:w="1317"/>
            <w:vAlign w:val="center"/>
          </w:tcPr>
          <w:p>
            <w:pPr>
              <w:spacing w:after="0" w:line="240" w:lineRule="auto"/>
              <w:jc w:val="center"/>
            </w:pPr>
            <w:r/>
            <w:r>
              <w:rPr>
                <w:rFonts w:ascii="Calibri" w:hAnsi="Calibri"/>
                <w:b w:val="0"/>
                <w:i w:val="0"/>
                <w:color w:val="000000"/>
                <w:sz w:val="11"/>
              </w:rPr>
              <w:t>55.70</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127.14</w:t>
            </w:r>
          </w:p>
        </w:tc>
        <w:tc>
          <w:tcPr>
            <w:tcW w:type="dxa" w:w="2188"/>
            <w:vAlign w:val="center"/>
          </w:tcPr>
          <w:p>
            <w:pPr>
              <w:spacing w:after="0" w:line="240" w:lineRule="auto"/>
              <w:jc w:val="center"/>
            </w:pPr>
            <w:r/>
            <w:r>
              <w:rPr>
                <w:rFonts w:ascii="Calibri" w:hAnsi="Calibri"/>
                <w:b w:val="0"/>
                <w:i w:val="0"/>
                <w:color w:val="000000"/>
                <w:sz w:val="11"/>
              </w:rPr>
              <w:t>-3.17</w:t>
            </w:r>
          </w:p>
        </w:tc>
        <w:tc>
          <w:tcPr>
            <w:tcW w:type="dxa" w:w="1313"/>
            <w:vAlign w:val="center"/>
          </w:tcPr>
          <w:p>
            <w:pPr>
              <w:spacing w:after="0" w:line="240" w:lineRule="auto"/>
              <w:jc w:val="center"/>
            </w:pPr>
            <w:r/>
            <w:r>
              <w:rPr>
                <w:rFonts w:ascii="Calibri" w:hAnsi="Calibri"/>
                <w:b w:val="0"/>
                <w:i w:val="0"/>
                <w:color w:val="000000"/>
                <w:sz w:val="11"/>
              </w:rPr>
              <w:t>4.8670</w:t>
            </w:r>
          </w:p>
        </w:tc>
        <w:tc>
          <w:tcPr>
            <w:tcW w:type="dxa" w:w="2407"/>
            <w:vAlign w:val="center"/>
          </w:tcPr>
          <w:p>
            <w:pPr>
              <w:spacing w:after="0" w:line="240" w:lineRule="auto"/>
              <w:jc w:val="center"/>
            </w:pPr>
            <w:r/>
            <w:r>
              <w:rPr>
                <w:rFonts w:ascii="Calibri" w:hAnsi="Calibri"/>
                <w:b w:val="0"/>
                <w:i w:val="0"/>
                <w:color w:val="000000"/>
                <w:sz w:val="11"/>
              </w:rPr>
              <w:t>17.0000</w:t>
            </w:r>
          </w:p>
        </w:tc>
        <w:tc>
          <w:tcPr>
            <w:tcW w:type="dxa" w:w="1317"/>
            <w:vAlign w:val="center"/>
          </w:tcPr>
          <w:p>
            <w:pPr>
              <w:spacing w:after="0" w:line="240" w:lineRule="auto"/>
              <w:jc w:val="center"/>
            </w:pPr>
            <w:r/>
            <w:r>
              <w:rPr>
                <w:rFonts w:ascii="Calibri" w:hAnsi="Calibri"/>
                <w:b w:val="0"/>
                <w:i w:val="0"/>
                <w:color w:val="000000"/>
                <w:sz w:val="11"/>
              </w:rPr>
              <w:t>27.54</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206.06</w:t>
            </w:r>
          </w:p>
        </w:tc>
        <w:tc>
          <w:tcPr>
            <w:tcW w:type="dxa" w:w="2188"/>
            <w:vAlign w:val="center"/>
          </w:tcPr>
          <w:p>
            <w:pPr>
              <w:spacing w:after="0" w:line="240" w:lineRule="auto"/>
              <w:jc w:val="center"/>
            </w:pPr>
            <w:r/>
            <w:r>
              <w:rPr>
                <w:rFonts w:ascii="Calibri" w:hAnsi="Calibri"/>
                <w:b w:val="0"/>
                <w:i w:val="0"/>
                <w:color w:val="000000"/>
                <w:sz w:val="11"/>
              </w:rPr>
              <w:t>-8.90</w:t>
            </w:r>
          </w:p>
        </w:tc>
        <w:tc>
          <w:tcPr>
            <w:tcW w:type="dxa" w:w="1313"/>
            <w:vAlign w:val="center"/>
          </w:tcPr>
          <w:p>
            <w:pPr>
              <w:spacing w:after="0" w:line="240" w:lineRule="auto"/>
              <w:jc w:val="center"/>
            </w:pPr>
            <w:r/>
            <w:r>
              <w:rPr>
                <w:rFonts w:ascii="Calibri" w:hAnsi="Calibri"/>
                <w:b w:val="0"/>
                <w:i w:val="0"/>
                <w:color w:val="000000"/>
                <w:sz w:val="11"/>
              </w:rPr>
              <w:t>5.2996</w:t>
            </w:r>
          </w:p>
        </w:tc>
        <w:tc>
          <w:tcPr>
            <w:tcW w:type="dxa" w:w="2407"/>
            <w:vAlign w:val="center"/>
          </w:tcPr>
          <w:p>
            <w:pPr>
              <w:spacing w:after="0" w:line="240" w:lineRule="auto"/>
              <w:jc w:val="center"/>
            </w:pPr>
            <w:r/>
            <w:r>
              <w:rPr>
                <w:rFonts w:ascii="Calibri" w:hAnsi="Calibri"/>
                <w:b w:val="0"/>
                <w:i w:val="0"/>
                <w:color w:val="000000"/>
                <w:sz w:val="11"/>
              </w:rPr>
              <w:t>19.5000</w:t>
            </w:r>
          </w:p>
        </w:tc>
        <w:tc>
          <w:tcPr>
            <w:tcW w:type="dxa" w:w="1317"/>
            <w:vAlign w:val="center"/>
          </w:tcPr>
          <w:p>
            <w:pPr>
              <w:spacing w:after="0" w:line="240" w:lineRule="auto"/>
              <w:jc w:val="center"/>
            </w:pPr>
            <w:r/>
            <w:r>
              <w:rPr>
                <w:rFonts w:ascii="Calibri" w:hAnsi="Calibri"/>
                <w:b w:val="0"/>
                <w:i w:val="0"/>
                <w:color w:val="000000"/>
                <w:sz w:val="11"/>
              </w:rPr>
              <w:t>55.70</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121.97</w:t>
            </w:r>
          </w:p>
        </w:tc>
        <w:tc>
          <w:tcPr>
            <w:tcW w:type="dxa" w:w="2188"/>
            <w:vAlign w:val="center"/>
          </w:tcPr>
          <w:p>
            <w:pPr>
              <w:spacing w:after="0" w:line="240" w:lineRule="auto"/>
              <w:jc w:val="center"/>
            </w:pPr>
            <w:r/>
            <w:r>
              <w:rPr>
                <w:rFonts w:ascii="Calibri" w:hAnsi="Calibri"/>
                <w:b w:val="0"/>
                <w:i w:val="0"/>
                <w:color w:val="000000"/>
                <w:sz w:val="11"/>
              </w:rPr>
              <w:t>-3.42</w:t>
            </w:r>
          </w:p>
        </w:tc>
        <w:tc>
          <w:tcPr>
            <w:tcW w:type="dxa" w:w="1313"/>
            <w:vAlign w:val="center"/>
          </w:tcPr>
          <w:p>
            <w:pPr>
              <w:spacing w:after="0" w:line="240" w:lineRule="auto"/>
              <w:jc w:val="center"/>
            </w:pPr>
            <w:r/>
            <w:r>
              <w:rPr>
                <w:rFonts w:ascii="Calibri" w:hAnsi="Calibri"/>
                <w:b w:val="0"/>
                <w:i w:val="0"/>
                <w:color w:val="000000"/>
                <w:sz w:val="11"/>
              </w:rPr>
              <w:t>4.7688</w:t>
            </w:r>
          </w:p>
        </w:tc>
        <w:tc>
          <w:tcPr>
            <w:tcW w:type="dxa" w:w="2407"/>
            <w:vAlign w:val="center"/>
          </w:tcPr>
          <w:p>
            <w:pPr>
              <w:spacing w:after="0" w:line="240" w:lineRule="auto"/>
              <w:jc w:val="center"/>
            </w:pPr>
            <w:r/>
            <w:r>
              <w:rPr>
                <w:rFonts w:ascii="Calibri" w:hAnsi="Calibri"/>
                <w:b w:val="0"/>
                <w:i w:val="0"/>
                <w:color w:val="000000"/>
                <w:sz w:val="11"/>
              </w:rPr>
              <w:t>17.0000</w:t>
            </w:r>
          </w:p>
        </w:tc>
        <w:tc>
          <w:tcPr>
            <w:tcW w:type="dxa" w:w="1317"/>
            <w:vAlign w:val="center"/>
          </w:tcPr>
          <w:p>
            <w:pPr>
              <w:spacing w:after="0" w:line="240" w:lineRule="auto"/>
              <w:jc w:val="center"/>
            </w:pPr>
            <w:r/>
            <w:r>
              <w:rPr>
                <w:rFonts w:ascii="Calibri" w:hAnsi="Calibri"/>
                <w:b w:val="0"/>
                <w:i w:val="0"/>
                <w:color w:val="000000"/>
                <w:sz w:val="11"/>
              </w:rPr>
              <w:t>27.54</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38.13</w:t>
            </w:r>
          </w:p>
        </w:tc>
        <w:tc>
          <w:tcPr>
            <w:tcW w:type="dxa" w:w="2188"/>
            <w:vAlign w:val="center"/>
          </w:tcPr>
          <w:p>
            <w:pPr>
              <w:spacing w:after="0" w:line="240" w:lineRule="auto"/>
              <w:jc w:val="center"/>
            </w:pPr>
            <w:r/>
            <w:r>
              <w:rPr>
                <w:rFonts w:ascii="Calibri" w:hAnsi="Calibri"/>
                <w:b w:val="0"/>
                <w:i w:val="0"/>
                <w:color w:val="000000"/>
                <w:sz w:val="11"/>
              </w:rPr>
              <w:t>-31.43</w:t>
            </w:r>
          </w:p>
        </w:tc>
        <w:tc>
          <w:tcPr>
            <w:tcW w:type="dxa" w:w="1313"/>
            <w:vAlign w:val="center"/>
          </w:tcPr>
          <w:p>
            <w:pPr>
              <w:spacing w:after="0" w:line="240" w:lineRule="auto"/>
              <w:jc w:val="center"/>
            </w:pPr>
            <w:r/>
            <w:r>
              <w:rPr>
                <w:rFonts w:ascii="Calibri" w:hAnsi="Calibri"/>
                <w:b w:val="0"/>
                <w:i w:val="0"/>
                <w:color w:val="000000"/>
                <w:sz w:val="11"/>
              </w:rPr>
              <w:t>0.2697</w:t>
            </w:r>
          </w:p>
        </w:tc>
        <w:tc>
          <w:tcPr>
            <w:tcW w:type="dxa" w:w="2407"/>
            <w:vAlign w:val="center"/>
          </w:tcPr>
          <w:p>
            <w:pPr>
              <w:spacing w:after="0" w:line="240" w:lineRule="auto"/>
              <w:jc w:val="center"/>
            </w:pPr>
            <w:r/>
            <w:r>
              <w:rPr>
                <w:rFonts w:ascii="Calibri" w:hAnsi="Calibri"/>
                <w:b w:val="0"/>
                <w:i w:val="0"/>
                <w:color w:val="000000"/>
                <w:sz w:val="11"/>
              </w:rPr>
              <w:t>14.0000</w:t>
            </w:r>
          </w:p>
        </w:tc>
        <w:tc>
          <w:tcPr>
            <w:tcW w:type="dxa" w:w="1317"/>
            <w:vAlign w:val="center"/>
          </w:tcPr>
          <w:p>
            <w:pPr>
              <w:spacing w:after="0" w:line="240" w:lineRule="auto"/>
              <w:jc w:val="center"/>
            </w:pPr>
            <w:r/>
            <w:r>
              <w:rPr>
                <w:rFonts w:ascii="Calibri" w:hAnsi="Calibri"/>
                <w:b w:val="0"/>
                <w:i w:val="0"/>
                <w:color w:val="000000"/>
                <w:sz w:val="11"/>
              </w:rPr>
              <w:t>37.23</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56.59</w:t>
            </w:r>
          </w:p>
        </w:tc>
        <w:tc>
          <w:tcPr>
            <w:tcW w:type="dxa" w:w="2188"/>
            <w:vAlign w:val="center"/>
          </w:tcPr>
          <w:p>
            <w:pPr>
              <w:spacing w:after="0" w:line="240" w:lineRule="auto"/>
              <w:jc w:val="center"/>
            </w:pPr>
            <w:r/>
            <w:r>
              <w:rPr>
                <w:rFonts w:ascii="Calibri" w:hAnsi="Calibri"/>
                <w:b w:val="0"/>
                <w:i w:val="0"/>
                <w:color w:val="000000"/>
                <w:sz w:val="11"/>
              </w:rPr>
              <w:t>-10.00</w:t>
            </w:r>
          </w:p>
        </w:tc>
        <w:tc>
          <w:tcPr>
            <w:tcW w:type="dxa" w:w="1313"/>
            <w:vAlign w:val="center"/>
          </w:tcPr>
          <w:p>
            <w:pPr>
              <w:spacing w:after="0" w:line="240" w:lineRule="auto"/>
              <w:jc w:val="center"/>
            </w:pPr>
            <w:r/>
            <w:r>
              <w:rPr>
                <w:rFonts w:ascii="Calibri" w:hAnsi="Calibri"/>
                <w:b w:val="0"/>
                <w:i w:val="0"/>
                <w:color w:val="000000"/>
                <w:sz w:val="11"/>
              </w:rPr>
              <w:t>1.7830</w:t>
            </w:r>
          </w:p>
        </w:tc>
        <w:tc>
          <w:tcPr>
            <w:tcW w:type="dxa" w:w="2407"/>
            <w:vAlign w:val="center"/>
          </w:tcPr>
          <w:p>
            <w:pPr>
              <w:spacing w:after="0" w:line="240" w:lineRule="auto"/>
              <w:jc w:val="center"/>
            </w:pPr>
            <w:r/>
            <w:r>
              <w:rPr>
                <w:rFonts w:ascii="Calibri" w:hAnsi="Calibri"/>
                <w:b w:val="0"/>
                <w:i w:val="0"/>
                <w:color w:val="000000"/>
                <w:sz w:val="11"/>
              </w:rPr>
              <w:t>13.5000</w:t>
            </w:r>
          </w:p>
        </w:tc>
        <w:tc>
          <w:tcPr>
            <w:tcW w:type="dxa" w:w="1317"/>
            <w:vAlign w:val="center"/>
          </w:tcPr>
          <w:p>
            <w:pPr>
              <w:spacing w:after="0" w:line="240" w:lineRule="auto"/>
              <w:jc w:val="center"/>
            </w:pPr>
            <w:r/>
            <w:r>
              <w:rPr>
                <w:rFonts w:ascii="Calibri" w:hAnsi="Calibri"/>
                <w:b w:val="0"/>
                <w:i w:val="0"/>
                <w:color w:val="000000"/>
                <w:sz w:val="11"/>
              </w:rPr>
              <w:t>13.59</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34.26</w:t>
            </w:r>
          </w:p>
        </w:tc>
        <w:tc>
          <w:tcPr>
            <w:tcW w:type="dxa" w:w="2188"/>
            <w:vAlign w:val="center"/>
          </w:tcPr>
          <w:p>
            <w:pPr>
              <w:spacing w:after="0" w:line="240" w:lineRule="auto"/>
              <w:jc w:val="center"/>
            </w:pPr>
            <w:r/>
            <w:r>
              <w:rPr>
                <w:rFonts w:ascii="Calibri" w:hAnsi="Calibri"/>
                <w:b w:val="0"/>
                <w:i w:val="0"/>
                <w:color w:val="000000"/>
                <w:sz w:val="11"/>
              </w:rPr>
              <w:t>-31.70</w:t>
            </w:r>
          </w:p>
        </w:tc>
        <w:tc>
          <w:tcPr>
            <w:tcW w:type="dxa" w:w="1313"/>
            <w:vAlign w:val="center"/>
          </w:tcPr>
          <w:p>
            <w:pPr>
              <w:spacing w:after="0" w:line="240" w:lineRule="auto"/>
              <w:jc w:val="center"/>
            </w:pPr>
            <w:r/>
            <w:r>
              <w:rPr>
                <w:rFonts w:ascii="Calibri" w:hAnsi="Calibri"/>
                <w:b w:val="0"/>
                <w:i w:val="0"/>
                <w:color w:val="000000"/>
                <w:sz w:val="11"/>
              </w:rPr>
              <w:t>0.1590</w:t>
            </w:r>
          </w:p>
        </w:tc>
        <w:tc>
          <w:tcPr>
            <w:tcW w:type="dxa" w:w="2407"/>
            <w:vAlign w:val="center"/>
          </w:tcPr>
          <w:p>
            <w:pPr>
              <w:spacing w:after="0" w:line="240" w:lineRule="auto"/>
              <w:jc w:val="center"/>
            </w:pPr>
            <w:r/>
            <w:r>
              <w:rPr>
                <w:rFonts w:ascii="Calibri" w:hAnsi="Calibri"/>
                <w:b w:val="0"/>
                <w:i w:val="0"/>
                <w:color w:val="000000"/>
                <w:sz w:val="11"/>
              </w:rPr>
              <w:t>14.0000</w:t>
            </w:r>
          </w:p>
        </w:tc>
        <w:tc>
          <w:tcPr>
            <w:tcW w:type="dxa" w:w="1317"/>
            <w:vAlign w:val="center"/>
          </w:tcPr>
          <w:p>
            <w:pPr>
              <w:spacing w:after="0" w:line="240" w:lineRule="auto"/>
              <w:jc w:val="center"/>
            </w:pPr>
            <w:r/>
            <w:r>
              <w:rPr>
                <w:rFonts w:ascii="Calibri" w:hAnsi="Calibri"/>
                <w:b w:val="0"/>
                <w:i w:val="0"/>
                <w:color w:val="000000"/>
                <w:sz w:val="11"/>
              </w:rPr>
              <w:t>37.23</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54.32</w:t>
            </w:r>
          </w:p>
        </w:tc>
        <w:tc>
          <w:tcPr>
            <w:tcW w:type="dxa" w:w="2188"/>
            <w:vAlign w:val="center"/>
          </w:tcPr>
          <w:p>
            <w:pPr>
              <w:spacing w:after="0" w:line="240" w:lineRule="auto"/>
              <w:jc w:val="center"/>
            </w:pPr>
            <w:r/>
            <w:r>
              <w:rPr>
                <w:rFonts w:ascii="Calibri" w:hAnsi="Calibri"/>
                <w:b w:val="0"/>
                <w:i w:val="0"/>
                <w:color w:val="000000"/>
                <w:sz w:val="11"/>
              </w:rPr>
              <w:t>-10.25</w:t>
            </w:r>
          </w:p>
        </w:tc>
        <w:tc>
          <w:tcPr>
            <w:tcW w:type="dxa" w:w="1313"/>
            <w:vAlign w:val="center"/>
          </w:tcPr>
          <w:p>
            <w:pPr>
              <w:spacing w:after="0" w:line="240" w:lineRule="auto"/>
              <w:jc w:val="center"/>
            </w:pPr>
            <w:r/>
            <w:r>
              <w:rPr>
                <w:rFonts w:ascii="Calibri" w:hAnsi="Calibri"/>
                <w:b w:val="0"/>
                <w:i w:val="0"/>
                <w:color w:val="000000"/>
                <w:sz w:val="11"/>
              </w:rPr>
              <w:t>1.7066</w:t>
            </w:r>
          </w:p>
        </w:tc>
        <w:tc>
          <w:tcPr>
            <w:tcW w:type="dxa" w:w="2407"/>
            <w:vAlign w:val="center"/>
          </w:tcPr>
          <w:p>
            <w:pPr>
              <w:spacing w:after="0" w:line="240" w:lineRule="auto"/>
              <w:jc w:val="center"/>
            </w:pPr>
            <w:r/>
            <w:r>
              <w:rPr>
                <w:rFonts w:ascii="Calibri" w:hAnsi="Calibri"/>
                <w:b w:val="0"/>
                <w:i w:val="0"/>
                <w:color w:val="000000"/>
                <w:sz w:val="11"/>
              </w:rPr>
              <w:t>13.5000</w:t>
            </w:r>
          </w:p>
        </w:tc>
        <w:tc>
          <w:tcPr>
            <w:tcW w:type="dxa" w:w="1317"/>
            <w:vAlign w:val="center"/>
          </w:tcPr>
          <w:p>
            <w:pPr>
              <w:spacing w:after="0" w:line="240" w:lineRule="auto"/>
              <w:jc w:val="center"/>
            </w:pPr>
            <w:r/>
            <w:r>
              <w:rPr>
                <w:rFonts w:ascii="Calibri" w:hAnsi="Calibri"/>
                <w:b w:val="0"/>
                <w:i w:val="0"/>
                <w:color w:val="000000"/>
                <w:sz w:val="11"/>
              </w:rPr>
              <w:t>13.59</w:t>
            </w:r>
          </w:p>
        </w:tc>
      </w:tr>
    </w:tbl>
    <w:p>
      <w:pPr>
        <w:spacing w:after="60"/>
      </w:pPr>
    </w:p>
    <w:p>
      <w:pPr>
        <w:pStyle w:val="Heading3"/>
      </w:pPr>
      <w:r>
        <w:t>Interpretation of Table 11</w:t>
      </w:r>
    </w:p>
    <w:p>
      <w:pPr>
        <w:spacing w:after="160" w:line="320" w:lineRule="auto"/>
        <w:jc w:val="both"/>
      </w:pPr>
      <w:r>
        <w:rPr>
          <w:rFonts w:ascii="Calibri" w:hAnsi="Calibri"/>
          <w:b/>
          <w:i w:val="0"/>
          <w:color w:val="000000"/>
          <w:sz w:val="22"/>
        </w:rPr>
        <w:t>Decomposition trading leader:</w:t>
      </w:r>
      <w:r>
        <w:rPr>
          <w:rFonts w:ascii="Calibri" w:hAnsi="Calibri"/>
          <w:b w:val="0"/>
          <w:i w:val="0"/>
          <w:color w:val="000000"/>
          <w:sz w:val="22"/>
        </w:rPr>
        <w:t xml:space="preserve"> CEEMDAN-ARIMA has the strongest average results in every scheme: Scheme 1 returns 332.30% with Sharpe 8.0045, and cost-adjusted Scheme 2 returns 304.19% with Sharpe 7.6570. The proposed hybrid remains strong in the table, with Scheme 2 return 279.87%, Sharpe 7.1346, and maximum drawdown -5.22%.</w:t>
      </w:r>
    </w:p>
    <w:p>
      <w:pPr>
        <w:spacing w:after="160" w:line="320" w:lineRule="auto"/>
        <w:jc w:val="both"/>
      </w:pPr>
      <w:r>
        <w:rPr>
          <w:rFonts w:ascii="Calibri" w:hAnsi="Calibri"/>
          <w:b/>
          <w:i w:val="0"/>
          <w:color w:val="000000"/>
          <w:sz w:val="22"/>
        </w:rPr>
        <w:t>Costs and filtering:</w:t>
      </w:r>
      <w:r>
        <w:rPr>
          <w:rFonts w:ascii="Calibri" w:hAnsi="Calibri"/>
          <w:b w:val="0"/>
          <w:i w:val="0"/>
          <w:color w:val="000000"/>
          <w:sz w:val="22"/>
        </w:rPr>
        <w:t xml:space="preserve"> Moving from Scheme 1 to Scheme 2 lowers the proposed average cumulative return from 292.81% to 279.87%, quantifying the effect of the 10-basis-point turnover charge. The uncertainty filter lowers the proposed Scheme 2 result further to 194.24% and Sharpe 5.9622; abstention reduces exposure but does not automatically improve risk-adjusted return.</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These high annualized-looking outcomes are averages across two heterogeneous retrospective simulations, not live portfolios. Observed-test filtering can align forecasts with realized test information, and the calculation omits contract execution, roll slippage, bid-ask variation, market impact, financing, and position limits.</w:t>
      </w:r>
    </w:p>
    <w:p>
      <w:pPr>
        <w:keepNext/>
        <w:spacing w:before="100" w:after="80"/>
      </w:pPr>
      <w:r>
        <w:rPr>
          <w:rFonts w:ascii="Calibri" w:hAnsi="Calibri"/>
          <w:b/>
          <w:i w:val="0"/>
          <w:color w:val="1F4D78"/>
          <w:sz w:val="18"/>
        </w:rPr>
        <w:t xml:space="preserve">Table 12. </w:t>
      </w:r>
      <w:r>
        <w:rPr>
          <w:rFonts w:ascii="Calibri" w:hAnsi="Calibri"/>
          <w:b w:val="0"/>
          <w:i/>
          <w:color w:val="000000"/>
          <w:sz w:val="18"/>
        </w:rPr>
        <w:t>Performance of two trading schemes and their optimized versions based on single-model forecasts.</w:t>
      </w:r>
    </w:p>
    <w:tbl>
      <w:tblPr>
        <w:tblStyle w:val="TableGrid"/>
        <w:tblW w:type="dxa" w:w="13680"/>
        <w:jc w:val="left"/>
        <w:tblLayout w:type="fixed"/>
        <w:tblLook w:firstColumn="1" w:firstRow="1" w:lastColumn="0" w:lastRow="0" w:noHBand="0" w:noVBand="1" w:val="04A0"/>
      </w:tblPr>
      <w:tblGrid>
        <w:gridCol w:w="929"/>
        <w:gridCol w:w="1195"/>
        <w:gridCol w:w="2789"/>
        <w:gridCol w:w="2656"/>
        <w:gridCol w:w="1593"/>
        <w:gridCol w:w="2921"/>
        <w:gridCol w:w="1597"/>
      </w:tblGrid>
      <w:tr>
        <w:trPr>
          <w:tblHeader w:val="true"/>
        </w:trPr>
        <w:tc>
          <w:tcPr>
            <w:tcW w:type="dxa" w:w="929"/>
            <w:shd w:fill="F4F6F9"/>
            <w:vAlign w:val="center"/>
          </w:tcPr>
          <w:p>
            <w:pPr>
              <w:jc w:val="center"/>
            </w:pPr>
            <w:r/>
            <w:r>
              <w:rPr>
                <w:rFonts w:ascii="Calibri" w:hAnsi="Calibri"/>
                <w:b/>
                <w:i w:val="0"/>
                <w:color w:val="0B2545"/>
                <w:sz w:val="11"/>
              </w:rPr>
              <w:t>Model</w:t>
            </w:r>
          </w:p>
        </w:tc>
        <w:tc>
          <w:tcPr>
            <w:tcW w:type="dxa" w:w="1195"/>
            <w:shd w:fill="F4F6F9"/>
            <w:vAlign w:val="center"/>
          </w:tcPr>
          <w:p>
            <w:pPr>
              <w:jc w:val="center"/>
            </w:pPr>
            <w:r/>
            <w:r>
              <w:rPr>
                <w:rFonts w:ascii="Calibri" w:hAnsi="Calibri"/>
                <w:b/>
                <w:i w:val="0"/>
                <w:color w:val="0B2545"/>
                <w:sz w:val="11"/>
              </w:rPr>
              <w:t>Scheme</w:t>
            </w:r>
          </w:p>
        </w:tc>
        <w:tc>
          <w:tcPr>
            <w:tcW w:type="dxa" w:w="2789"/>
            <w:shd w:fill="F4F6F9"/>
            <w:vAlign w:val="center"/>
          </w:tcPr>
          <w:p>
            <w:pPr>
              <w:jc w:val="center"/>
            </w:pPr>
            <w:r/>
            <w:r>
              <w:rPr>
                <w:rFonts w:ascii="Calibri" w:hAnsi="Calibri"/>
                <w:b/>
                <w:i w:val="0"/>
                <w:color w:val="0B2545"/>
                <w:sz w:val="11"/>
              </w:rPr>
              <w:t>Cumulative Return (%)</w:t>
            </w:r>
          </w:p>
        </w:tc>
        <w:tc>
          <w:tcPr>
            <w:tcW w:type="dxa" w:w="2656"/>
            <w:shd w:fill="F4F6F9"/>
            <w:vAlign w:val="center"/>
          </w:tcPr>
          <w:p>
            <w:pPr>
              <w:jc w:val="center"/>
            </w:pPr>
            <w:r/>
            <w:r>
              <w:rPr>
                <w:rFonts w:ascii="Calibri" w:hAnsi="Calibri"/>
                <w:b/>
                <w:i w:val="0"/>
                <w:color w:val="0B2545"/>
                <w:sz w:val="11"/>
              </w:rPr>
              <w:t>Maximum Drawdown (%)</w:t>
            </w:r>
          </w:p>
        </w:tc>
        <w:tc>
          <w:tcPr>
            <w:tcW w:type="dxa" w:w="1593"/>
            <w:shd w:fill="F4F6F9"/>
            <w:vAlign w:val="center"/>
          </w:tcPr>
          <w:p>
            <w:pPr>
              <w:jc w:val="center"/>
            </w:pPr>
            <w:r/>
            <w:r>
              <w:rPr>
                <w:rFonts w:ascii="Calibri" w:hAnsi="Calibri"/>
                <w:b/>
                <w:i w:val="0"/>
                <w:color w:val="0B2545"/>
                <w:sz w:val="11"/>
              </w:rPr>
              <w:t>Sharpe Ratio</w:t>
            </w:r>
          </w:p>
        </w:tc>
        <w:tc>
          <w:tcPr>
            <w:tcW w:type="dxa" w:w="2921"/>
            <w:shd w:fill="F4F6F9"/>
            <w:vAlign w:val="center"/>
          </w:tcPr>
          <w:p>
            <w:pPr>
              <w:jc w:val="center"/>
            </w:pPr>
            <w:r/>
            <w:r>
              <w:rPr>
                <w:rFonts w:ascii="Calibri" w:hAnsi="Calibri"/>
                <w:b/>
                <w:i w:val="0"/>
                <w:color w:val="0B2545"/>
                <w:sz w:val="11"/>
              </w:rPr>
              <w:t>Number of Transactions</w:t>
            </w:r>
          </w:p>
        </w:tc>
        <w:tc>
          <w:tcPr>
            <w:tcW w:type="dxa" w:w="1597"/>
            <w:shd w:fill="F4F6F9"/>
            <w:vAlign w:val="center"/>
          </w:tcPr>
          <w:p>
            <w:pPr>
              <w:jc w:val="center"/>
            </w:pPr>
            <w:r/>
            <w:r>
              <w:rPr>
                <w:rFonts w:ascii="Calibri" w:hAnsi="Calibri"/>
                <w:b/>
                <w:i w:val="0"/>
                <w:color w:val="0B2545"/>
                <w:sz w:val="11"/>
              </w:rPr>
              <w:t>Hit Rate (%)</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173.96</w:t>
            </w:r>
          </w:p>
        </w:tc>
        <w:tc>
          <w:tcPr>
            <w:tcW w:type="dxa" w:w="2656"/>
            <w:vAlign w:val="center"/>
          </w:tcPr>
          <w:p>
            <w:pPr>
              <w:spacing w:after="0" w:line="240" w:lineRule="auto"/>
              <w:jc w:val="center"/>
            </w:pPr>
            <w:r/>
            <w:r>
              <w:rPr>
                <w:rFonts w:ascii="Calibri" w:hAnsi="Calibri"/>
                <w:b w:val="0"/>
                <w:i w:val="0"/>
                <w:color w:val="000000"/>
                <w:sz w:val="11"/>
              </w:rPr>
              <w:t>-8.84</w:t>
            </w:r>
          </w:p>
        </w:tc>
        <w:tc>
          <w:tcPr>
            <w:tcW w:type="dxa" w:w="1593"/>
            <w:vAlign w:val="center"/>
          </w:tcPr>
          <w:p>
            <w:pPr>
              <w:spacing w:after="0" w:line="240" w:lineRule="auto"/>
              <w:jc w:val="center"/>
            </w:pPr>
            <w:r/>
            <w:r>
              <w:rPr>
                <w:rFonts w:ascii="Calibri" w:hAnsi="Calibri"/>
                <w:b w:val="0"/>
                <w:i w:val="0"/>
                <w:color w:val="000000"/>
                <w:sz w:val="11"/>
              </w:rPr>
              <w:t>5.0752</w:t>
            </w:r>
          </w:p>
        </w:tc>
        <w:tc>
          <w:tcPr>
            <w:tcW w:type="dxa" w:w="2921"/>
            <w:vAlign w:val="center"/>
          </w:tcPr>
          <w:p>
            <w:pPr>
              <w:spacing w:after="0" w:line="240" w:lineRule="auto"/>
              <w:jc w:val="center"/>
            </w:pPr>
            <w:r/>
            <w:r>
              <w:rPr>
                <w:rFonts w:ascii="Calibri" w:hAnsi="Calibri"/>
                <w:b w:val="0"/>
                <w:i w:val="0"/>
                <w:color w:val="000000"/>
                <w:sz w:val="11"/>
              </w:rPr>
              <w:t>22.5000</w:t>
            </w:r>
          </w:p>
        </w:tc>
        <w:tc>
          <w:tcPr>
            <w:tcW w:type="dxa" w:w="1597"/>
            <w:vAlign w:val="center"/>
          </w:tcPr>
          <w:p>
            <w:pPr>
              <w:spacing w:after="0" w:line="240" w:lineRule="auto"/>
              <w:jc w:val="center"/>
            </w:pPr>
            <w:r/>
            <w:r>
              <w:rPr>
                <w:rFonts w:ascii="Calibri" w:hAnsi="Calibri"/>
                <w:b w:val="0"/>
                <w:i w:val="0"/>
                <w:color w:val="000000"/>
                <w:sz w:val="11"/>
              </w:rPr>
              <w:t>55.29</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68.09</w:t>
            </w:r>
          </w:p>
        </w:tc>
        <w:tc>
          <w:tcPr>
            <w:tcW w:type="dxa" w:w="2656"/>
            <w:vAlign w:val="center"/>
          </w:tcPr>
          <w:p>
            <w:pPr>
              <w:spacing w:after="0" w:line="240" w:lineRule="auto"/>
              <w:jc w:val="center"/>
            </w:pPr>
            <w:r/>
            <w:r>
              <w:rPr>
                <w:rFonts w:ascii="Calibri" w:hAnsi="Calibri"/>
                <w:b w:val="0"/>
                <w:i w:val="0"/>
                <w:color w:val="000000"/>
                <w:sz w:val="11"/>
              </w:rPr>
              <w:t>-5.45</w:t>
            </w:r>
          </w:p>
        </w:tc>
        <w:tc>
          <w:tcPr>
            <w:tcW w:type="dxa" w:w="1593"/>
            <w:vAlign w:val="center"/>
          </w:tcPr>
          <w:p>
            <w:pPr>
              <w:spacing w:after="0" w:line="240" w:lineRule="auto"/>
              <w:jc w:val="center"/>
            </w:pPr>
            <w:r/>
            <w:r>
              <w:rPr>
                <w:rFonts w:ascii="Calibri" w:hAnsi="Calibri"/>
                <w:b w:val="0"/>
                <w:i w:val="0"/>
                <w:color w:val="000000"/>
                <w:sz w:val="11"/>
              </w:rPr>
              <w:t>3.8712</w:t>
            </w:r>
          </w:p>
        </w:tc>
        <w:tc>
          <w:tcPr>
            <w:tcW w:type="dxa" w:w="2921"/>
            <w:vAlign w:val="center"/>
          </w:tcPr>
          <w:p>
            <w:pPr>
              <w:spacing w:after="0" w:line="240" w:lineRule="auto"/>
              <w:jc w:val="center"/>
            </w:pPr>
            <w:r/>
            <w:r>
              <w:rPr>
                <w:rFonts w:ascii="Calibri" w:hAnsi="Calibri"/>
                <w:b w:val="0"/>
                <w:i w:val="0"/>
                <w:color w:val="000000"/>
                <w:sz w:val="11"/>
              </w:rPr>
              <w:t>22.0000</w:t>
            </w:r>
          </w:p>
        </w:tc>
        <w:tc>
          <w:tcPr>
            <w:tcW w:type="dxa" w:w="1597"/>
            <w:vAlign w:val="center"/>
          </w:tcPr>
          <w:p>
            <w:pPr>
              <w:spacing w:after="0" w:line="240" w:lineRule="auto"/>
              <w:jc w:val="center"/>
            </w:pPr>
            <w:r/>
            <w:r>
              <w:rPr>
                <w:rFonts w:ascii="Calibri" w:hAnsi="Calibri"/>
                <w:b w:val="0"/>
                <w:i w:val="0"/>
                <w:color w:val="000000"/>
                <w:sz w:val="11"/>
              </w:rPr>
              <w:t>15.57</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162.16</w:t>
            </w:r>
          </w:p>
        </w:tc>
        <w:tc>
          <w:tcPr>
            <w:tcW w:type="dxa" w:w="2656"/>
            <w:vAlign w:val="center"/>
          </w:tcPr>
          <w:p>
            <w:pPr>
              <w:spacing w:after="0" w:line="240" w:lineRule="auto"/>
              <w:jc w:val="center"/>
            </w:pPr>
            <w:r/>
            <w:r>
              <w:rPr>
                <w:rFonts w:ascii="Calibri" w:hAnsi="Calibri"/>
                <w:b w:val="0"/>
                <w:i w:val="0"/>
                <w:color w:val="000000"/>
                <w:sz w:val="11"/>
              </w:rPr>
              <w:t>-9.12</w:t>
            </w:r>
          </w:p>
        </w:tc>
        <w:tc>
          <w:tcPr>
            <w:tcW w:type="dxa" w:w="1593"/>
            <w:vAlign w:val="center"/>
          </w:tcPr>
          <w:p>
            <w:pPr>
              <w:spacing w:after="0" w:line="240" w:lineRule="auto"/>
              <w:jc w:val="center"/>
            </w:pPr>
            <w:r/>
            <w:r>
              <w:rPr>
                <w:rFonts w:ascii="Calibri" w:hAnsi="Calibri"/>
                <w:b w:val="0"/>
                <w:i w:val="0"/>
                <w:color w:val="000000"/>
                <w:sz w:val="11"/>
              </w:rPr>
              <w:t>4.8419</w:t>
            </w:r>
          </w:p>
        </w:tc>
        <w:tc>
          <w:tcPr>
            <w:tcW w:type="dxa" w:w="2921"/>
            <w:vAlign w:val="center"/>
          </w:tcPr>
          <w:p>
            <w:pPr>
              <w:spacing w:after="0" w:line="240" w:lineRule="auto"/>
              <w:jc w:val="center"/>
            </w:pPr>
            <w:r/>
            <w:r>
              <w:rPr>
                <w:rFonts w:ascii="Calibri" w:hAnsi="Calibri"/>
                <w:b w:val="0"/>
                <w:i w:val="0"/>
                <w:color w:val="000000"/>
                <w:sz w:val="11"/>
              </w:rPr>
              <w:t>22.5000</w:t>
            </w:r>
          </w:p>
        </w:tc>
        <w:tc>
          <w:tcPr>
            <w:tcW w:type="dxa" w:w="1597"/>
            <w:vAlign w:val="center"/>
          </w:tcPr>
          <w:p>
            <w:pPr>
              <w:spacing w:after="0" w:line="240" w:lineRule="auto"/>
              <w:jc w:val="center"/>
            </w:pPr>
            <w:r/>
            <w:r>
              <w:rPr>
                <w:rFonts w:ascii="Calibri" w:hAnsi="Calibri"/>
                <w:b w:val="0"/>
                <w:i w:val="0"/>
                <w:color w:val="000000"/>
                <w:sz w:val="11"/>
              </w:rPr>
              <w:t>55.29</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64.00</w:t>
            </w:r>
          </w:p>
        </w:tc>
        <w:tc>
          <w:tcPr>
            <w:tcW w:type="dxa" w:w="2656"/>
            <w:vAlign w:val="center"/>
          </w:tcPr>
          <w:p>
            <w:pPr>
              <w:spacing w:after="0" w:line="240" w:lineRule="auto"/>
              <w:jc w:val="center"/>
            </w:pPr>
            <w:r/>
            <w:r>
              <w:rPr>
                <w:rFonts w:ascii="Calibri" w:hAnsi="Calibri"/>
                <w:b w:val="0"/>
                <w:i w:val="0"/>
                <w:color w:val="000000"/>
                <w:sz w:val="11"/>
              </w:rPr>
              <w:t>-5.69</w:t>
            </w:r>
          </w:p>
        </w:tc>
        <w:tc>
          <w:tcPr>
            <w:tcW w:type="dxa" w:w="1593"/>
            <w:vAlign w:val="center"/>
          </w:tcPr>
          <w:p>
            <w:pPr>
              <w:spacing w:after="0" w:line="240" w:lineRule="auto"/>
              <w:jc w:val="center"/>
            </w:pPr>
            <w:r/>
            <w:r>
              <w:rPr>
                <w:rFonts w:ascii="Calibri" w:hAnsi="Calibri"/>
                <w:b w:val="0"/>
                <w:i w:val="0"/>
                <w:color w:val="000000"/>
                <w:sz w:val="11"/>
              </w:rPr>
              <w:t>3.6666</w:t>
            </w:r>
          </w:p>
        </w:tc>
        <w:tc>
          <w:tcPr>
            <w:tcW w:type="dxa" w:w="2921"/>
            <w:vAlign w:val="center"/>
          </w:tcPr>
          <w:p>
            <w:pPr>
              <w:spacing w:after="0" w:line="240" w:lineRule="auto"/>
              <w:jc w:val="center"/>
            </w:pPr>
            <w:r/>
            <w:r>
              <w:rPr>
                <w:rFonts w:ascii="Calibri" w:hAnsi="Calibri"/>
                <w:b w:val="0"/>
                <w:i w:val="0"/>
                <w:color w:val="000000"/>
                <w:sz w:val="11"/>
              </w:rPr>
              <w:t>22.0000</w:t>
            </w:r>
          </w:p>
        </w:tc>
        <w:tc>
          <w:tcPr>
            <w:tcW w:type="dxa" w:w="1597"/>
            <w:vAlign w:val="center"/>
          </w:tcPr>
          <w:p>
            <w:pPr>
              <w:spacing w:after="0" w:line="240" w:lineRule="auto"/>
              <w:jc w:val="center"/>
            </w:pPr>
            <w:r/>
            <w:r>
              <w:rPr>
                <w:rFonts w:ascii="Calibri" w:hAnsi="Calibri"/>
                <w:b w:val="0"/>
                <w:i w:val="0"/>
                <w:color w:val="000000"/>
                <w:sz w:val="11"/>
              </w:rPr>
              <w:t>15.57</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28.70</w:t>
            </w:r>
          </w:p>
        </w:tc>
        <w:tc>
          <w:tcPr>
            <w:tcW w:type="dxa" w:w="2656"/>
            <w:vAlign w:val="center"/>
          </w:tcPr>
          <w:p>
            <w:pPr>
              <w:spacing w:after="0" w:line="240" w:lineRule="auto"/>
              <w:jc w:val="center"/>
            </w:pPr>
            <w:r/>
            <w:r>
              <w:rPr>
                <w:rFonts w:ascii="Calibri" w:hAnsi="Calibri"/>
                <w:b w:val="0"/>
                <w:i w:val="0"/>
                <w:color w:val="000000"/>
                <w:sz w:val="11"/>
              </w:rPr>
              <w:t>-38.35</w:t>
            </w:r>
          </w:p>
        </w:tc>
        <w:tc>
          <w:tcPr>
            <w:tcW w:type="dxa" w:w="1593"/>
            <w:vAlign w:val="center"/>
          </w:tcPr>
          <w:p>
            <w:pPr>
              <w:spacing w:after="0" w:line="240" w:lineRule="auto"/>
              <w:jc w:val="center"/>
            </w:pPr>
            <w:r/>
            <w:r>
              <w:rPr>
                <w:rFonts w:ascii="Calibri" w:hAnsi="Calibri"/>
                <w:b w:val="0"/>
                <w:i w:val="0"/>
                <w:color w:val="000000"/>
                <w:sz w:val="11"/>
              </w:rPr>
              <w:t>1.3685</w:t>
            </w:r>
          </w:p>
        </w:tc>
        <w:tc>
          <w:tcPr>
            <w:tcW w:type="dxa" w:w="2921"/>
            <w:vAlign w:val="center"/>
          </w:tcPr>
          <w:p>
            <w:pPr>
              <w:spacing w:after="0" w:line="240" w:lineRule="auto"/>
              <w:jc w:val="center"/>
            </w:pPr>
            <w:r/>
            <w:r>
              <w:rPr>
                <w:rFonts w:ascii="Calibri" w:hAnsi="Calibri"/>
                <w:b w:val="0"/>
                <w:i w:val="0"/>
                <w:color w:val="000000"/>
                <w:sz w:val="11"/>
              </w:rPr>
              <w:t>11.5000</w:t>
            </w:r>
          </w:p>
        </w:tc>
        <w:tc>
          <w:tcPr>
            <w:tcW w:type="dxa" w:w="1597"/>
            <w:vAlign w:val="center"/>
          </w:tcPr>
          <w:p>
            <w:pPr>
              <w:spacing w:after="0" w:line="240" w:lineRule="auto"/>
              <w:jc w:val="center"/>
            </w:pPr>
            <w:r/>
            <w:r>
              <w:rPr>
                <w:rFonts w:ascii="Calibri" w:hAnsi="Calibri"/>
                <w:b w:val="0"/>
                <w:i w:val="0"/>
                <w:color w:val="000000"/>
                <w:sz w:val="11"/>
              </w:rPr>
              <w:t>45.21</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38.67</w:t>
            </w:r>
          </w:p>
        </w:tc>
        <w:tc>
          <w:tcPr>
            <w:tcW w:type="dxa" w:w="2656"/>
            <w:vAlign w:val="center"/>
          </w:tcPr>
          <w:p>
            <w:pPr>
              <w:spacing w:after="0" w:line="240" w:lineRule="auto"/>
              <w:jc w:val="center"/>
            </w:pPr>
            <w:r/>
            <w:r>
              <w:rPr>
                <w:rFonts w:ascii="Calibri" w:hAnsi="Calibri"/>
                <w:b w:val="0"/>
                <w:i w:val="0"/>
                <w:color w:val="000000"/>
                <w:sz w:val="11"/>
              </w:rPr>
              <w:t>-32.84</w:t>
            </w:r>
          </w:p>
        </w:tc>
        <w:tc>
          <w:tcPr>
            <w:tcW w:type="dxa" w:w="1593"/>
            <w:vAlign w:val="center"/>
          </w:tcPr>
          <w:p>
            <w:pPr>
              <w:spacing w:after="0" w:line="240" w:lineRule="auto"/>
              <w:jc w:val="center"/>
            </w:pPr>
            <w:r/>
            <w:r>
              <w:rPr>
                <w:rFonts w:ascii="Calibri" w:hAnsi="Calibri"/>
                <w:b w:val="0"/>
                <w:i w:val="0"/>
                <w:color w:val="000000"/>
                <w:sz w:val="11"/>
              </w:rPr>
              <w:t>2.0662</w:t>
            </w:r>
          </w:p>
        </w:tc>
        <w:tc>
          <w:tcPr>
            <w:tcW w:type="dxa" w:w="2921"/>
            <w:vAlign w:val="center"/>
          </w:tcPr>
          <w:p>
            <w:pPr>
              <w:spacing w:after="0" w:line="240" w:lineRule="auto"/>
              <w:jc w:val="center"/>
            </w:pPr>
            <w:r/>
            <w:r>
              <w:rPr>
                <w:rFonts w:ascii="Calibri" w:hAnsi="Calibri"/>
                <w:b w:val="0"/>
                <w:i w:val="0"/>
                <w:color w:val="000000"/>
                <w:sz w:val="11"/>
              </w:rPr>
              <w:t>18.0000</w:t>
            </w:r>
          </w:p>
        </w:tc>
        <w:tc>
          <w:tcPr>
            <w:tcW w:type="dxa" w:w="1597"/>
            <w:vAlign w:val="center"/>
          </w:tcPr>
          <w:p>
            <w:pPr>
              <w:spacing w:after="0" w:line="240" w:lineRule="auto"/>
              <w:jc w:val="center"/>
            </w:pPr>
            <w:r/>
            <w:r>
              <w:rPr>
                <w:rFonts w:ascii="Calibri" w:hAnsi="Calibri"/>
                <w:b w:val="0"/>
                <w:i w:val="0"/>
                <w:color w:val="000000"/>
                <w:sz w:val="11"/>
              </w:rPr>
              <w:t>32.20</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27.21</w:t>
            </w:r>
          </w:p>
        </w:tc>
        <w:tc>
          <w:tcPr>
            <w:tcW w:type="dxa" w:w="2656"/>
            <w:vAlign w:val="center"/>
          </w:tcPr>
          <w:p>
            <w:pPr>
              <w:spacing w:after="0" w:line="240" w:lineRule="auto"/>
              <w:jc w:val="center"/>
            </w:pPr>
            <w:r/>
            <w:r>
              <w:rPr>
                <w:rFonts w:ascii="Calibri" w:hAnsi="Calibri"/>
                <w:b w:val="0"/>
                <w:i w:val="0"/>
                <w:color w:val="000000"/>
                <w:sz w:val="11"/>
              </w:rPr>
              <w:t>-39.12</w:t>
            </w:r>
          </w:p>
        </w:tc>
        <w:tc>
          <w:tcPr>
            <w:tcW w:type="dxa" w:w="1593"/>
            <w:vAlign w:val="center"/>
          </w:tcPr>
          <w:p>
            <w:pPr>
              <w:spacing w:after="0" w:line="240" w:lineRule="auto"/>
              <w:jc w:val="center"/>
            </w:pPr>
            <w:r/>
            <w:r>
              <w:rPr>
                <w:rFonts w:ascii="Calibri" w:hAnsi="Calibri"/>
                <w:b w:val="0"/>
                <w:i w:val="0"/>
                <w:color w:val="000000"/>
                <w:sz w:val="11"/>
              </w:rPr>
              <w:t>1.2887</w:t>
            </w:r>
          </w:p>
        </w:tc>
        <w:tc>
          <w:tcPr>
            <w:tcW w:type="dxa" w:w="2921"/>
            <w:vAlign w:val="center"/>
          </w:tcPr>
          <w:p>
            <w:pPr>
              <w:spacing w:after="0" w:line="240" w:lineRule="auto"/>
              <w:jc w:val="center"/>
            </w:pPr>
            <w:r/>
            <w:r>
              <w:rPr>
                <w:rFonts w:ascii="Calibri" w:hAnsi="Calibri"/>
                <w:b w:val="0"/>
                <w:i w:val="0"/>
                <w:color w:val="000000"/>
                <w:sz w:val="11"/>
              </w:rPr>
              <w:t>11.5000</w:t>
            </w:r>
          </w:p>
        </w:tc>
        <w:tc>
          <w:tcPr>
            <w:tcW w:type="dxa" w:w="1597"/>
            <w:vAlign w:val="center"/>
          </w:tcPr>
          <w:p>
            <w:pPr>
              <w:spacing w:after="0" w:line="240" w:lineRule="auto"/>
              <w:jc w:val="center"/>
            </w:pPr>
            <w:r/>
            <w:r>
              <w:rPr>
                <w:rFonts w:ascii="Calibri" w:hAnsi="Calibri"/>
                <w:b w:val="0"/>
                <w:i w:val="0"/>
                <w:color w:val="000000"/>
                <w:sz w:val="11"/>
              </w:rPr>
              <w:t>45.21</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36.40</w:t>
            </w:r>
          </w:p>
        </w:tc>
        <w:tc>
          <w:tcPr>
            <w:tcW w:type="dxa" w:w="2656"/>
            <w:vAlign w:val="center"/>
          </w:tcPr>
          <w:p>
            <w:pPr>
              <w:spacing w:after="0" w:line="240" w:lineRule="auto"/>
              <w:jc w:val="center"/>
            </w:pPr>
            <w:r/>
            <w:r>
              <w:rPr>
                <w:rFonts w:ascii="Calibri" w:hAnsi="Calibri"/>
                <w:b w:val="0"/>
                <w:i w:val="0"/>
                <w:color w:val="000000"/>
                <w:sz w:val="11"/>
              </w:rPr>
              <w:t>-33.48</w:t>
            </w:r>
          </w:p>
        </w:tc>
        <w:tc>
          <w:tcPr>
            <w:tcW w:type="dxa" w:w="1593"/>
            <w:vAlign w:val="center"/>
          </w:tcPr>
          <w:p>
            <w:pPr>
              <w:spacing w:after="0" w:line="240" w:lineRule="auto"/>
              <w:jc w:val="center"/>
            </w:pPr>
            <w:r/>
            <w:r>
              <w:rPr>
                <w:rFonts w:ascii="Calibri" w:hAnsi="Calibri"/>
                <w:b w:val="0"/>
                <w:i w:val="0"/>
                <w:color w:val="000000"/>
                <w:sz w:val="11"/>
              </w:rPr>
              <w:t>1.9759</w:t>
            </w:r>
          </w:p>
        </w:tc>
        <w:tc>
          <w:tcPr>
            <w:tcW w:type="dxa" w:w="2921"/>
            <w:vAlign w:val="center"/>
          </w:tcPr>
          <w:p>
            <w:pPr>
              <w:spacing w:after="0" w:line="240" w:lineRule="auto"/>
              <w:jc w:val="center"/>
            </w:pPr>
            <w:r/>
            <w:r>
              <w:rPr>
                <w:rFonts w:ascii="Calibri" w:hAnsi="Calibri"/>
                <w:b w:val="0"/>
                <w:i w:val="0"/>
                <w:color w:val="000000"/>
                <w:sz w:val="11"/>
              </w:rPr>
              <w:t>18.0000</w:t>
            </w:r>
          </w:p>
        </w:tc>
        <w:tc>
          <w:tcPr>
            <w:tcW w:type="dxa" w:w="1597"/>
            <w:vAlign w:val="center"/>
          </w:tcPr>
          <w:p>
            <w:pPr>
              <w:spacing w:after="0" w:line="240" w:lineRule="auto"/>
              <w:jc w:val="center"/>
            </w:pPr>
            <w:r/>
            <w:r>
              <w:rPr>
                <w:rFonts w:ascii="Calibri" w:hAnsi="Calibri"/>
                <w:b w:val="0"/>
                <w:i w:val="0"/>
                <w:color w:val="000000"/>
                <w:sz w:val="11"/>
              </w:rPr>
              <w:t>32.20</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26.39</w:t>
            </w:r>
          </w:p>
        </w:tc>
        <w:tc>
          <w:tcPr>
            <w:tcW w:type="dxa" w:w="2656"/>
            <w:vAlign w:val="center"/>
          </w:tcPr>
          <w:p>
            <w:pPr>
              <w:spacing w:after="0" w:line="240" w:lineRule="auto"/>
              <w:jc w:val="center"/>
            </w:pPr>
            <w:r/>
            <w:r>
              <w:rPr>
                <w:rFonts w:ascii="Calibri" w:hAnsi="Calibri"/>
                <w:b w:val="0"/>
                <w:i w:val="0"/>
                <w:color w:val="000000"/>
                <w:sz w:val="11"/>
              </w:rPr>
              <w:t>-45.01</w:t>
            </w:r>
          </w:p>
        </w:tc>
        <w:tc>
          <w:tcPr>
            <w:tcW w:type="dxa" w:w="1593"/>
            <w:vAlign w:val="center"/>
          </w:tcPr>
          <w:p>
            <w:pPr>
              <w:spacing w:after="0" w:line="240" w:lineRule="auto"/>
              <w:jc w:val="center"/>
            </w:pPr>
            <w:r/>
            <w:r>
              <w:rPr>
                <w:rFonts w:ascii="Calibri" w:hAnsi="Calibri"/>
                <w:b w:val="0"/>
                <w:i w:val="0"/>
                <w:color w:val="000000"/>
                <w:sz w:val="11"/>
              </w:rPr>
              <w:t>0.9999</w:t>
            </w:r>
          </w:p>
        </w:tc>
        <w:tc>
          <w:tcPr>
            <w:tcW w:type="dxa" w:w="2921"/>
            <w:vAlign w:val="center"/>
          </w:tcPr>
          <w:p>
            <w:pPr>
              <w:spacing w:after="0" w:line="240" w:lineRule="auto"/>
              <w:jc w:val="center"/>
            </w:pPr>
            <w:r/>
            <w:r>
              <w:rPr>
                <w:rFonts w:ascii="Calibri" w:hAnsi="Calibri"/>
                <w:b w:val="0"/>
                <w:i w:val="0"/>
                <w:color w:val="000000"/>
                <w:sz w:val="11"/>
              </w:rPr>
              <w:t>1.0000</w:t>
            </w:r>
          </w:p>
        </w:tc>
        <w:tc>
          <w:tcPr>
            <w:tcW w:type="dxa" w:w="1597"/>
            <w:vAlign w:val="center"/>
          </w:tcPr>
          <w:p>
            <w:pPr>
              <w:spacing w:after="0" w:line="240" w:lineRule="auto"/>
              <w:jc w:val="center"/>
            </w:pPr>
            <w:r/>
            <w:r>
              <w:rPr>
                <w:rFonts w:ascii="Calibri" w:hAnsi="Calibri"/>
                <w:b w:val="0"/>
                <w:i w:val="0"/>
                <w:color w:val="000000"/>
                <w:sz w:val="11"/>
              </w:rPr>
              <w:t>44.26</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27.41</w:t>
            </w:r>
          </w:p>
        </w:tc>
        <w:tc>
          <w:tcPr>
            <w:tcW w:type="dxa" w:w="2656"/>
            <w:vAlign w:val="center"/>
          </w:tcPr>
          <w:p>
            <w:pPr>
              <w:spacing w:after="0" w:line="240" w:lineRule="auto"/>
              <w:jc w:val="center"/>
            </w:pPr>
            <w:r/>
            <w:r>
              <w:rPr>
                <w:rFonts w:ascii="Calibri" w:hAnsi="Calibri"/>
                <w:b w:val="0"/>
                <w:i w:val="0"/>
                <w:color w:val="000000"/>
                <w:sz w:val="11"/>
              </w:rPr>
              <w:t>-44.20</w:t>
            </w:r>
          </w:p>
        </w:tc>
        <w:tc>
          <w:tcPr>
            <w:tcW w:type="dxa" w:w="1593"/>
            <w:vAlign w:val="center"/>
          </w:tcPr>
          <w:p>
            <w:pPr>
              <w:spacing w:after="0" w:line="240" w:lineRule="auto"/>
              <w:jc w:val="center"/>
            </w:pPr>
            <w:r/>
            <w:r>
              <w:rPr>
                <w:rFonts w:ascii="Calibri" w:hAnsi="Calibri"/>
                <w:b w:val="0"/>
                <w:i w:val="0"/>
                <w:color w:val="000000"/>
                <w:sz w:val="11"/>
              </w:rPr>
              <w:t>1.0830</w:t>
            </w:r>
          </w:p>
        </w:tc>
        <w:tc>
          <w:tcPr>
            <w:tcW w:type="dxa" w:w="2921"/>
            <w:vAlign w:val="center"/>
          </w:tcPr>
          <w:p>
            <w:pPr>
              <w:spacing w:after="0" w:line="240" w:lineRule="auto"/>
              <w:jc w:val="center"/>
            </w:pPr>
            <w:r/>
            <w:r>
              <w:rPr>
                <w:rFonts w:ascii="Calibri" w:hAnsi="Calibri"/>
                <w:b w:val="0"/>
                <w:i w:val="0"/>
                <w:color w:val="000000"/>
                <w:sz w:val="11"/>
              </w:rPr>
              <w:t>2.0000</w:t>
            </w:r>
          </w:p>
        </w:tc>
        <w:tc>
          <w:tcPr>
            <w:tcW w:type="dxa" w:w="1597"/>
            <w:vAlign w:val="center"/>
          </w:tcPr>
          <w:p>
            <w:pPr>
              <w:spacing w:after="0" w:line="240" w:lineRule="auto"/>
              <w:jc w:val="center"/>
            </w:pPr>
            <w:r/>
            <w:r>
              <w:rPr>
                <w:rFonts w:ascii="Calibri" w:hAnsi="Calibri"/>
                <w:b w:val="0"/>
                <w:i w:val="0"/>
                <w:color w:val="000000"/>
                <w:sz w:val="11"/>
              </w:rPr>
              <w:t>43.31</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26.27</w:t>
            </w:r>
          </w:p>
        </w:tc>
        <w:tc>
          <w:tcPr>
            <w:tcW w:type="dxa" w:w="2656"/>
            <w:vAlign w:val="center"/>
          </w:tcPr>
          <w:p>
            <w:pPr>
              <w:spacing w:after="0" w:line="240" w:lineRule="auto"/>
              <w:jc w:val="center"/>
            </w:pPr>
            <w:r/>
            <w:r>
              <w:rPr>
                <w:rFonts w:ascii="Calibri" w:hAnsi="Calibri"/>
                <w:b w:val="0"/>
                <w:i w:val="0"/>
                <w:color w:val="000000"/>
                <w:sz w:val="11"/>
              </w:rPr>
              <w:t>-45.01</w:t>
            </w:r>
          </w:p>
        </w:tc>
        <w:tc>
          <w:tcPr>
            <w:tcW w:type="dxa" w:w="1593"/>
            <w:vAlign w:val="center"/>
          </w:tcPr>
          <w:p>
            <w:pPr>
              <w:spacing w:after="0" w:line="240" w:lineRule="auto"/>
              <w:jc w:val="center"/>
            </w:pPr>
            <w:r/>
            <w:r>
              <w:rPr>
                <w:rFonts w:ascii="Calibri" w:hAnsi="Calibri"/>
                <w:b w:val="0"/>
                <w:i w:val="0"/>
                <w:color w:val="000000"/>
                <w:sz w:val="11"/>
              </w:rPr>
              <w:t>0.9951</w:t>
            </w:r>
          </w:p>
        </w:tc>
        <w:tc>
          <w:tcPr>
            <w:tcW w:type="dxa" w:w="2921"/>
            <w:vAlign w:val="center"/>
          </w:tcPr>
          <w:p>
            <w:pPr>
              <w:spacing w:after="0" w:line="240" w:lineRule="auto"/>
              <w:jc w:val="center"/>
            </w:pPr>
            <w:r/>
            <w:r>
              <w:rPr>
                <w:rFonts w:ascii="Calibri" w:hAnsi="Calibri"/>
                <w:b w:val="0"/>
                <w:i w:val="0"/>
                <w:color w:val="000000"/>
                <w:sz w:val="11"/>
              </w:rPr>
              <w:t>1.0000</w:t>
            </w:r>
          </w:p>
        </w:tc>
        <w:tc>
          <w:tcPr>
            <w:tcW w:type="dxa" w:w="1597"/>
            <w:vAlign w:val="center"/>
          </w:tcPr>
          <w:p>
            <w:pPr>
              <w:spacing w:after="0" w:line="240" w:lineRule="auto"/>
              <w:jc w:val="center"/>
            </w:pPr>
            <w:r/>
            <w:r>
              <w:rPr>
                <w:rFonts w:ascii="Calibri" w:hAnsi="Calibri"/>
                <w:b w:val="0"/>
                <w:i w:val="0"/>
                <w:color w:val="000000"/>
                <w:sz w:val="11"/>
              </w:rPr>
              <w:t>44.26</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27.24</w:t>
            </w:r>
          </w:p>
        </w:tc>
        <w:tc>
          <w:tcPr>
            <w:tcW w:type="dxa" w:w="2656"/>
            <w:vAlign w:val="center"/>
          </w:tcPr>
          <w:p>
            <w:pPr>
              <w:spacing w:after="0" w:line="240" w:lineRule="auto"/>
              <w:jc w:val="center"/>
            </w:pPr>
            <w:r/>
            <w:r>
              <w:rPr>
                <w:rFonts w:ascii="Calibri" w:hAnsi="Calibri"/>
                <w:b w:val="0"/>
                <w:i w:val="0"/>
                <w:color w:val="000000"/>
                <w:sz w:val="11"/>
              </w:rPr>
              <w:t>-44.23</w:t>
            </w:r>
          </w:p>
        </w:tc>
        <w:tc>
          <w:tcPr>
            <w:tcW w:type="dxa" w:w="1593"/>
            <w:vAlign w:val="center"/>
          </w:tcPr>
          <w:p>
            <w:pPr>
              <w:spacing w:after="0" w:line="240" w:lineRule="auto"/>
              <w:jc w:val="center"/>
            </w:pPr>
            <w:r/>
            <w:r>
              <w:rPr>
                <w:rFonts w:ascii="Calibri" w:hAnsi="Calibri"/>
                <w:b w:val="0"/>
                <w:i w:val="0"/>
                <w:color w:val="000000"/>
                <w:sz w:val="11"/>
              </w:rPr>
              <w:t>1.0747</w:t>
            </w:r>
          </w:p>
        </w:tc>
        <w:tc>
          <w:tcPr>
            <w:tcW w:type="dxa" w:w="2921"/>
            <w:vAlign w:val="center"/>
          </w:tcPr>
          <w:p>
            <w:pPr>
              <w:spacing w:after="0" w:line="240" w:lineRule="auto"/>
              <w:jc w:val="center"/>
            </w:pPr>
            <w:r/>
            <w:r>
              <w:rPr>
                <w:rFonts w:ascii="Calibri" w:hAnsi="Calibri"/>
                <w:b w:val="0"/>
                <w:i w:val="0"/>
                <w:color w:val="000000"/>
                <w:sz w:val="11"/>
              </w:rPr>
              <w:t>2.0000</w:t>
            </w:r>
          </w:p>
        </w:tc>
        <w:tc>
          <w:tcPr>
            <w:tcW w:type="dxa" w:w="1597"/>
            <w:vAlign w:val="center"/>
          </w:tcPr>
          <w:p>
            <w:pPr>
              <w:spacing w:after="0" w:line="240" w:lineRule="auto"/>
              <w:jc w:val="center"/>
            </w:pPr>
            <w:r/>
            <w:r>
              <w:rPr>
                <w:rFonts w:ascii="Calibri" w:hAnsi="Calibri"/>
                <w:b w:val="0"/>
                <w:i w:val="0"/>
                <w:color w:val="000000"/>
                <w:sz w:val="11"/>
              </w:rPr>
              <w:t>43.31</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62.12</w:t>
            </w:r>
          </w:p>
        </w:tc>
        <w:tc>
          <w:tcPr>
            <w:tcW w:type="dxa" w:w="2656"/>
            <w:vAlign w:val="center"/>
          </w:tcPr>
          <w:p>
            <w:pPr>
              <w:spacing w:after="0" w:line="240" w:lineRule="auto"/>
              <w:jc w:val="center"/>
            </w:pPr>
            <w:r/>
            <w:r>
              <w:rPr>
                <w:rFonts w:ascii="Calibri" w:hAnsi="Calibri"/>
                <w:b w:val="0"/>
                <w:i w:val="0"/>
                <w:color w:val="000000"/>
                <w:sz w:val="11"/>
              </w:rPr>
              <w:t>-21.25</w:t>
            </w:r>
          </w:p>
        </w:tc>
        <w:tc>
          <w:tcPr>
            <w:tcW w:type="dxa" w:w="1593"/>
            <w:vAlign w:val="center"/>
          </w:tcPr>
          <w:p>
            <w:pPr>
              <w:spacing w:after="0" w:line="240" w:lineRule="auto"/>
              <w:jc w:val="center"/>
            </w:pPr>
            <w:r/>
            <w:r>
              <w:rPr>
                <w:rFonts w:ascii="Calibri" w:hAnsi="Calibri"/>
                <w:b w:val="0"/>
                <w:i w:val="0"/>
                <w:color w:val="000000"/>
                <w:sz w:val="11"/>
              </w:rPr>
              <w:t>2.0651</w:t>
            </w:r>
          </w:p>
        </w:tc>
        <w:tc>
          <w:tcPr>
            <w:tcW w:type="dxa" w:w="2921"/>
            <w:vAlign w:val="center"/>
          </w:tcPr>
          <w:p>
            <w:pPr>
              <w:spacing w:after="0" w:line="240" w:lineRule="auto"/>
              <w:jc w:val="center"/>
            </w:pPr>
            <w:r/>
            <w:r>
              <w:rPr>
                <w:rFonts w:ascii="Calibri" w:hAnsi="Calibri"/>
                <w:b w:val="0"/>
                <w:i w:val="0"/>
                <w:color w:val="000000"/>
                <w:sz w:val="11"/>
              </w:rPr>
              <w:t>12.5000</w:t>
            </w:r>
          </w:p>
        </w:tc>
        <w:tc>
          <w:tcPr>
            <w:tcW w:type="dxa" w:w="1597"/>
            <w:vAlign w:val="center"/>
          </w:tcPr>
          <w:p>
            <w:pPr>
              <w:spacing w:after="0" w:line="240" w:lineRule="auto"/>
              <w:jc w:val="center"/>
            </w:pPr>
            <w:r/>
            <w:r>
              <w:rPr>
                <w:rFonts w:ascii="Calibri" w:hAnsi="Calibri"/>
                <w:b w:val="0"/>
                <w:i w:val="0"/>
                <w:color w:val="000000"/>
                <w:sz w:val="11"/>
              </w:rPr>
              <w:t>43.66</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47.84</w:t>
            </w:r>
          </w:p>
        </w:tc>
        <w:tc>
          <w:tcPr>
            <w:tcW w:type="dxa" w:w="2656"/>
            <w:vAlign w:val="center"/>
          </w:tcPr>
          <w:p>
            <w:pPr>
              <w:spacing w:after="0" w:line="240" w:lineRule="auto"/>
              <w:jc w:val="center"/>
            </w:pPr>
            <w:r/>
            <w:r>
              <w:rPr>
                <w:rFonts w:ascii="Calibri" w:hAnsi="Calibri"/>
                <w:b w:val="0"/>
                <w:i w:val="0"/>
                <w:color w:val="000000"/>
                <w:sz w:val="11"/>
              </w:rPr>
              <w:t>-10.96</w:t>
            </w:r>
          </w:p>
        </w:tc>
        <w:tc>
          <w:tcPr>
            <w:tcW w:type="dxa" w:w="1593"/>
            <w:vAlign w:val="center"/>
          </w:tcPr>
          <w:p>
            <w:pPr>
              <w:spacing w:after="0" w:line="240" w:lineRule="auto"/>
              <w:jc w:val="center"/>
            </w:pPr>
            <w:r/>
            <w:r>
              <w:rPr>
                <w:rFonts w:ascii="Calibri" w:hAnsi="Calibri"/>
                <w:b w:val="0"/>
                <w:i w:val="0"/>
                <w:color w:val="000000"/>
                <w:sz w:val="11"/>
              </w:rPr>
              <w:t>2.5043</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18.50</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58.35</w:t>
            </w:r>
          </w:p>
        </w:tc>
        <w:tc>
          <w:tcPr>
            <w:tcW w:type="dxa" w:w="2656"/>
            <w:vAlign w:val="center"/>
          </w:tcPr>
          <w:p>
            <w:pPr>
              <w:spacing w:after="0" w:line="240" w:lineRule="auto"/>
              <w:jc w:val="center"/>
            </w:pPr>
            <w:r/>
            <w:r>
              <w:rPr>
                <w:rFonts w:ascii="Calibri" w:hAnsi="Calibri"/>
                <w:b w:val="0"/>
                <w:i w:val="0"/>
                <w:color w:val="000000"/>
                <w:sz w:val="11"/>
              </w:rPr>
              <w:t>-21.98</w:t>
            </w:r>
          </w:p>
        </w:tc>
        <w:tc>
          <w:tcPr>
            <w:tcW w:type="dxa" w:w="1593"/>
            <w:vAlign w:val="center"/>
          </w:tcPr>
          <w:p>
            <w:pPr>
              <w:spacing w:after="0" w:line="240" w:lineRule="auto"/>
              <w:jc w:val="center"/>
            </w:pPr>
            <w:r/>
            <w:r>
              <w:rPr>
                <w:rFonts w:ascii="Calibri" w:hAnsi="Calibri"/>
                <w:b w:val="0"/>
                <w:i w:val="0"/>
                <w:color w:val="000000"/>
                <w:sz w:val="11"/>
              </w:rPr>
              <w:t>1.9585</w:t>
            </w:r>
          </w:p>
        </w:tc>
        <w:tc>
          <w:tcPr>
            <w:tcW w:type="dxa" w:w="2921"/>
            <w:vAlign w:val="center"/>
          </w:tcPr>
          <w:p>
            <w:pPr>
              <w:spacing w:after="0" w:line="240" w:lineRule="auto"/>
              <w:jc w:val="center"/>
            </w:pPr>
            <w:r/>
            <w:r>
              <w:rPr>
                <w:rFonts w:ascii="Calibri" w:hAnsi="Calibri"/>
                <w:b w:val="0"/>
                <w:i w:val="0"/>
                <w:color w:val="000000"/>
                <w:sz w:val="11"/>
              </w:rPr>
              <w:t>12.5000</w:t>
            </w:r>
          </w:p>
        </w:tc>
        <w:tc>
          <w:tcPr>
            <w:tcW w:type="dxa" w:w="1597"/>
            <w:vAlign w:val="center"/>
          </w:tcPr>
          <w:p>
            <w:pPr>
              <w:spacing w:after="0" w:line="240" w:lineRule="auto"/>
              <w:jc w:val="center"/>
            </w:pPr>
            <w:r/>
            <w:r>
              <w:rPr>
                <w:rFonts w:ascii="Calibri" w:hAnsi="Calibri"/>
                <w:b w:val="0"/>
                <w:i w:val="0"/>
                <w:color w:val="000000"/>
                <w:sz w:val="11"/>
              </w:rPr>
              <w:t>43.66</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45.50</w:t>
            </w:r>
          </w:p>
        </w:tc>
        <w:tc>
          <w:tcPr>
            <w:tcW w:type="dxa" w:w="2656"/>
            <w:vAlign w:val="center"/>
          </w:tcPr>
          <w:p>
            <w:pPr>
              <w:spacing w:after="0" w:line="240" w:lineRule="auto"/>
              <w:jc w:val="center"/>
            </w:pPr>
            <w:r/>
            <w:r>
              <w:rPr>
                <w:rFonts w:ascii="Calibri" w:hAnsi="Calibri"/>
                <w:b w:val="0"/>
                <w:i w:val="0"/>
                <w:color w:val="000000"/>
                <w:sz w:val="11"/>
              </w:rPr>
              <w:t>-11.27</w:t>
            </w:r>
          </w:p>
        </w:tc>
        <w:tc>
          <w:tcPr>
            <w:tcW w:type="dxa" w:w="1593"/>
            <w:vAlign w:val="center"/>
          </w:tcPr>
          <w:p>
            <w:pPr>
              <w:spacing w:after="0" w:line="240" w:lineRule="auto"/>
              <w:jc w:val="center"/>
            </w:pPr>
            <w:r/>
            <w:r>
              <w:rPr>
                <w:rFonts w:ascii="Calibri" w:hAnsi="Calibri"/>
                <w:b w:val="0"/>
                <w:i w:val="0"/>
                <w:color w:val="000000"/>
                <w:sz w:val="11"/>
              </w:rPr>
              <w:t>2.4026</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18.50</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86.64</w:t>
            </w:r>
          </w:p>
        </w:tc>
        <w:tc>
          <w:tcPr>
            <w:tcW w:type="dxa" w:w="2656"/>
            <w:vAlign w:val="center"/>
          </w:tcPr>
          <w:p>
            <w:pPr>
              <w:spacing w:after="0" w:line="240" w:lineRule="auto"/>
              <w:jc w:val="center"/>
            </w:pPr>
            <w:r/>
            <w:r>
              <w:rPr>
                <w:rFonts w:ascii="Calibri" w:hAnsi="Calibri"/>
                <w:b w:val="0"/>
                <w:i w:val="0"/>
                <w:color w:val="000000"/>
                <w:sz w:val="11"/>
              </w:rPr>
              <w:t>-25.03</w:t>
            </w:r>
          </w:p>
        </w:tc>
        <w:tc>
          <w:tcPr>
            <w:tcW w:type="dxa" w:w="1593"/>
            <w:vAlign w:val="center"/>
          </w:tcPr>
          <w:p>
            <w:pPr>
              <w:spacing w:after="0" w:line="240" w:lineRule="auto"/>
              <w:jc w:val="center"/>
            </w:pPr>
            <w:r/>
            <w:r>
              <w:rPr>
                <w:rFonts w:ascii="Calibri" w:hAnsi="Calibri"/>
                <w:b w:val="0"/>
                <w:i w:val="0"/>
                <w:color w:val="000000"/>
                <w:sz w:val="11"/>
              </w:rPr>
              <w:t>3.2583</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49.97</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51.91</w:t>
            </w:r>
          </w:p>
        </w:tc>
        <w:tc>
          <w:tcPr>
            <w:tcW w:type="dxa" w:w="2656"/>
            <w:vAlign w:val="center"/>
          </w:tcPr>
          <w:p>
            <w:pPr>
              <w:spacing w:after="0" w:line="240" w:lineRule="auto"/>
              <w:jc w:val="center"/>
            </w:pPr>
            <w:r/>
            <w:r>
              <w:rPr>
                <w:rFonts w:ascii="Calibri" w:hAnsi="Calibri"/>
                <w:b w:val="0"/>
                <w:i w:val="0"/>
                <w:color w:val="000000"/>
                <w:sz w:val="11"/>
              </w:rPr>
              <w:t>-8.41</w:t>
            </w:r>
          </w:p>
        </w:tc>
        <w:tc>
          <w:tcPr>
            <w:tcW w:type="dxa" w:w="1593"/>
            <w:vAlign w:val="center"/>
          </w:tcPr>
          <w:p>
            <w:pPr>
              <w:spacing w:after="0" w:line="240" w:lineRule="auto"/>
              <w:jc w:val="center"/>
            </w:pPr>
            <w:r/>
            <w:r>
              <w:rPr>
                <w:rFonts w:ascii="Calibri" w:hAnsi="Calibri"/>
                <w:b w:val="0"/>
                <w:i w:val="0"/>
                <w:color w:val="000000"/>
                <w:sz w:val="11"/>
              </w:rPr>
              <w:t>2.5524</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26.18</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84.91</w:t>
            </w:r>
          </w:p>
        </w:tc>
        <w:tc>
          <w:tcPr>
            <w:tcW w:type="dxa" w:w="2656"/>
            <w:vAlign w:val="center"/>
          </w:tcPr>
          <w:p>
            <w:pPr>
              <w:spacing w:after="0" w:line="240" w:lineRule="auto"/>
              <w:jc w:val="center"/>
            </w:pPr>
            <w:r/>
            <w:r>
              <w:rPr>
                <w:rFonts w:ascii="Calibri" w:hAnsi="Calibri"/>
                <w:b w:val="0"/>
                <w:i w:val="0"/>
                <w:color w:val="000000"/>
                <w:sz w:val="11"/>
              </w:rPr>
              <w:t>-25.03</w:t>
            </w:r>
          </w:p>
        </w:tc>
        <w:tc>
          <w:tcPr>
            <w:tcW w:type="dxa" w:w="1593"/>
            <w:vAlign w:val="center"/>
          </w:tcPr>
          <w:p>
            <w:pPr>
              <w:spacing w:after="0" w:line="240" w:lineRule="auto"/>
              <w:jc w:val="center"/>
            </w:pPr>
            <w:r/>
            <w:r>
              <w:rPr>
                <w:rFonts w:ascii="Calibri" w:hAnsi="Calibri"/>
                <w:b w:val="0"/>
                <w:i w:val="0"/>
                <w:color w:val="000000"/>
                <w:sz w:val="11"/>
              </w:rPr>
              <w:t>3.2216</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49.97</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49.59</w:t>
            </w:r>
          </w:p>
        </w:tc>
        <w:tc>
          <w:tcPr>
            <w:tcW w:type="dxa" w:w="2656"/>
            <w:vAlign w:val="center"/>
          </w:tcPr>
          <w:p>
            <w:pPr>
              <w:spacing w:after="0" w:line="240" w:lineRule="auto"/>
              <w:jc w:val="center"/>
            </w:pPr>
            <w:r/>
            <w:r>
              <w:rPr>
                <w:rFonts w:ascii="Calibri" w:hAnsi="Calibri"/>
                <w:b w:val="0"/>
                <w:i w:val="0"/>
                <w:color w:val="000000"/>
                <w:sz w:val="11"/>
              </w:rPr>
              <w:t>-8.69</w:t>
            </w:r>
          </w:p>
        </w:tc>
        <w:tc>
          <w:tcPr>
            <w:tcW w:type="dxa" w:w="1593"/>
            <w:vAlign w:val="center"/>
          </w:tcPr>
          <w:p>
            <w:pPr>
              <w:spacing w:after="0" w:line="240" w:lineRule="auto"/>
              <w:jc w:val="center"/>
            </w:pPr>
            <w:r/>
            <w:r>
              <w:rPr>
                <w:rFonts w:ascii="Calibri" w:hAnsi="Calibri"/>
                <w:b w:val="0"/>
                <w:i w:val="0"/>
                <w:color w:val="000000"/>
                <w:sz w:val="11"/>
              </w:rPr>
              <w:t>2.4465</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26.18</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74.35</w:t>
            </w:r>
          </w:p>
        </w:tc>
        <w:tc>
          <w:tcPr>
            <w:tcW w:type="dxa" w:w="2656"/>
            <w:vAlign w:val="center"/>
          </w:tcPr>
          <w:p>
            <w:pPr>
              <w:spacing w:after="0" w:line="240" w:lineRule="auto"/>
              <w:jc w:val="center"/>
            </w:pPr>
            <w:r/>
            <w:r>
              <w:rPr>
                <w:rFonts w:ascii="Calibri" w:hAnsi="Calibri"/>
                <w:b w:val="0"/>
                <w:i w:val="0"/>
                <w:color w:val="000000"/>
                <w:sz w:val="11"/>
              </w:rPr>
              <w:t>-16.93</w:t>
            </w:r>
          </w:p>
        </w:tc>
        <w:tc>
          <w:tcPr>
            <w:tcW w:type="dxa" w:w="1593"/>
            <w:vAlign w:val="center"/>
          </w:tcPr>
          <w:p>
            <w:pPr>
              <w:spacing w:after="0" w:line="240" w:lineRule="auto"/>
              <w:jc w:val="center"/>
            </w:pPr>
            <w:r/>
            <w:r>
              <w:rPr>
                <w:rFonts w:ascii="Calibri" w:hAnsi="Calibri"/>
                <w:b w:val="0"/>
                <w:i w:val="0"/>
                <w:color w:val="000000"/>
                <w:sz w:val="11"/>
              </w:rPr>
              <w:t>2.3810</w:t>
            </w:r>
          </w:p>
        </w:tc>
        <w:tc>
          <w:tcPr>
            <w:tcW w:type="dxa" w:w="2921"/>
            <w:vAlign w:val="center"/>
          </w:tcPr>
          <w:p>
            <w:pPr>
              <w:spacing w:after="0" w:line="240" w:lineRule="auto"/>
              <w:jc w:val="center"/>
            </w:pPr>
            <w:r/>
            <w:r>
              <w:rPr>
                <w:rFonts w:ascii="Calibri" w:hAnsi="Calibri"/>
                <w:b w:val="0"/>
                <w:i w:val="0"/>
                <w:color w:val="000000"/>
                <w:sz w:val="11"/>
              </w:rPr>
              <w:t>8.0000</w:t>
            </w:r>
          </w:p>
        </w:tc>
        <w:tc>
          <w:tcPr>
            <w:tcW w:type="dxa" w:w="1597"/>
            <w:vAlign w:val="center"/>
          </w:tcPr>
          <w:p>
            <w:pPr>
              <w:spacing w:after="0" w:line="240" w:lineRule="auto"/>
              <w:jc w:val="center"/>
            </w:pPr>
            <w:r/>
            <w:r>
              <w:rPr>
                <w:rFonts w:ascii="Calibri" w:hAnsi="Calibri"/>
                <w:b w:val="0"/>
                <w:i w:val="0"/>
                <w:color w:val="000000"/>
                <w:sz w:val="11"/>
              </w:rPr>
              <w:t>46.04</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17.09</w:t>
            </w:r>
          </w:p>
        </w:tc>
        <w:tc>
          <w:tcPr>
            <w:tcW w:type="dxa" w:w="2656"/>
            <w:vAlign w:val="center"/>
          </w:tcPr>
          <w:p>
            <w:pPr>
              <w:spacing w:after="0" w:line="240" w:lineRule="auto"/>
              <w:jc w:val="center"/>
            </w:pPr>
            <w:r/>
            <w:r>
              <w:rPr>
                <w:rFonts w:ascii="Calibri" w:hAnsi="Calibri"/>
                <w:b w:val="0"/>
                <w:i w:val="0"/>
                <w:color w:val="000000"/>
                <w:sz w:val="11"/>
              </w:rPr>
              <w:t>-15.92</w:t>
            </w:r>
          </w:p>
        </w:tc>
        <w:tc>
          <w:tcPr>
            <w:tcW w:type="dxa" w:w="1593"/>
            <w:vAlign w:val="center"/>
          </w:tcPr>
          <w:p>
            <w:pPr>
              <w:spacing w:after="0" w:line="240" w:lineRule="auto"/>
              <w:jc w:val="center"/>
            </w:pPr>
            <w:r/>
            <w:r>
              <w:rPr>
                <w:rFonts w:ascii="Calibri" w:hAnsi="Calibri"/>
                <w:b w:val="0"/>
                <w:i w:val="0"/>
                <w:color w:val="000000"/>
                <w:sz w:val="11"/>
              </w:rPr>
              <w:t>1.0037</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19.79</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71.78</w:t>
            </w:r>
          </w:p>
        </w:tc>
        <w:tc>
          <w:tcPr>
            <w:tcW w:type="dxa" w:w="2656"/>
            <w:vAlign w:val="center"/>
          </w:tcPr>
          <w:p>
            <w:pPr>
              <w:spacing w:after="0" w:line="240" w:lineRule="auto"/>
              <w:jc w:val="center"/>
            </w:pPr>
            <w:r/>
            <w:r>
              <w:rPr>
                <w:rFonts w:ascii="Calibri" w:hAnsi="Calibri"/>
                <w:b w:val="0"/>
                <w:i w:val="0"/>
                <w:color w:val="000000"/>
                <w:sz w:val="11"/>
              </w:rPr>
              <w:t>-16.93</w:t>
            </w:r>
          </w:p>
        </w:tc>
        <w:tc>
          <w:tcPr>
            <w:tcW w:type="dxa" w:w="1593"/>
            <w:vAlign w:val="center"/>
          </w:tcPr>
          <w:p>
            <w:pPr>
              <w:spacing w:after="0" w:line="240" w:lineRule="auto"/>
              <w:jc w:val="center"/>
            </w:pPr>
            <w:r/>
            <w:r>
              <w:rPr>
                <w:rFonts w:ascii="Calibri" w:hAnsi="Calibri"/>
                <w:b w:val="0"/>
                <w:i w:val="0"/>
                <w:color w:val="000000"/>
                <w:sz w:val="11"/>
              </w:rPr>
              <w:t>2.3151</w:t>
            </w:r>
          </w:p>
        </w:tc>
        <w:tc>
          <w:tcPr>
            <w:tcW w:type="dxa" w:w="2921"/>
            <w:vAlign w:val="center"/>
          </w:tcPr>
          <w:p>
            <w:pPr>
              <w:spacing w:after="0" w:line="240" w:lineRule="auto"/>
              <w:jc w:val="center"/>
            </w:pPr>
            <w:r/>
            <w:r>
              <w:rPr>
                <w:rFonts w:ascii="Calibri" w:hAnsi="Calibri"/>
                <w:b w:val="0"/>
                <w:i w:val="0"/>
                <w:color w:val="000000"/>
                <w:sz w:val="11"/>
              </w:rPr>
              <w:t>8.0000</w:t>
            </w:r>
          </w:p>
        </w:tc>
        <w:tc>
          <w:tcPr>
            <w:tcW w:type="dxa" w:w="1597"/>
            <w:vAlign w:val="center"/>
          </w:tcPr>
          <w:p>
            <w:pPr>
              <w:spacing w:after="0" w:line="240" w:lineRule="auto"/>
              <w:jc w:val="center"/>
            </w:pPr>
            <w:r/>
            <w:r>
              <w:rPr>
                <w:rFonts w:ascii="Calibri" w:hAnsi="Calibri"/>
                <w:b w:val="0"/>
                <w:i w:val="0"/>
                <w:color w:val="000000"/>
                <w:sz w:val="11"/>
              </w:rPr>
              <w:t>46.04</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15.87</w:t>
            </w:r>
          </w:p>
        </w:tc>
        <w:tc>
          <w:tcPr>
            <w:tcW w:type="dxa" w:w="2656"/>
            <w:vAlign w:val="center"/>
          </w:tcPr>
          <w:p>
            <w:pPr>
              <w:spacing w:after="0" w:line="240" w:lineRule="auto"/>
              <w:jc w:val="center"/>
            </w:pPr>
            <w:r/>
            <w:r>
              <w:rPr>
                <w:rFonts w:ascii="Calibri" w:hAnsi="Calibri"/>
                <w:b w:val="0"/>
                <w:i w:val="0"/>
                <w:color w:val="000000"/>
                <w:sz w:val="11"/>
              </w:rPr>
              <w:t>-16.00</w:t>
            </w:r>
          </w:p>
        </w:tc>
        <w:tc>
          <w:tcPr>
            <w:tcW w:type="dxa" w:w="1593"/>
            <w:vAlign w:val="center"/>
          </w:tcPr>
          <w:p>
            <w:pPr>
              <w:spacing w:after="0" w:line="240" w:lineRule="auto"/>
              <w:jc w:val="center"/>
            </w:pPr>
            <w:r/>
            <w:r>
              <w:rPr>
                <w:rFonts w:ascii="Calibri" w:hAnsi="Calibri"/>
                <w:b w:val="0"/>
                <w:i w:val="0"/>
                <w:color w:val="000000"/>
                <w:sz w:val="11"/>
              </w:rPr>
              <w:t>0.9425</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19.79</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140.37</w:t>
            </w:r>
          </w:p>
        </w:tc>
        <w:tc>
          <w:tcPr>
            <w:tcW w:type="dxa" w:w="2656"/>
            <w:vAlign w:val="center"/>
          </w:tcPr>
          <w:p>
            <w:pPr>
              <w:spacing w:after="0" w:line="240" w:lineRule="auto"/>
              <w:jc w:val="center"/>
            </w:pPr>
            <w:r/>
            <w:r>
              <w:rPr>
                <w:rFonts w:ascii="Calibri" w:hAnsi="Calibri"/>
                <w:b w:val="0"/>
                <w:i w:val="0"/>
                <w:color w:val="000000"/>
                <w:sz w:val="11"/>
              </w:rPr>
              <w:t>-13.62</w:t>
            </w:r>
          </w:p>
        </w:tc>
        <w:tc>
          <w:tcPr>
            <w:tcW w:type="dxa" w:w="1593"/>
            <w:vAlign w:val="center"/>
          </w:tcPr>
          <w:p>
            <w:pPr>
              <w:spacing w:after="0" w:line="240" w:lineRule="auto"/>
              <w:jc w:val="center"/>
            </w:pPr>
            <w:r/>
            <w:r>
              <w:rPr>
                <w:rFonts w:ascii="Calibri" w:hAnsi="Calibri"/>
                <w:b w:val="0"/>
                <w:i w:val="0"/>
                <w:color w:val="000000"/>
                <w:sz w:val="11"/>
              </w:rPr>
              <w:t>4.0987</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53.35</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58.89</w:t>
            </w:r>
          </w:p>
        </w:tc>
        <w:tc>
          <w:tcPr>
            <w:tcW w:type="dxa" w:w="2656"/>
            <w:vAlign w:val="center"/>
          </w:tcPr>
          <w:p>
            <w:pPr>
              <w:spacing w:after="0" w:line="240" w:lineRule="auto"/>
              <w:jc w:val="center"/>
            </w:pPr>
            <w:r/>
            <w:r>
              <w:rPr>
                <w:rFonts w:ascii="Calibri" w:hAnsi="Calibri"/>
                <w:b w:val="0"/>
                <w:i w:val="0"/>
                <w:color w:val="000000"/>
                <w:sz w:val="11"/>
              </w:rPr>
              <w:t>-0.46</w:t>
            </w:r>
          </w:p>
        </w:tc>
        <w:tc>
          <w:tcPr>
            <w:tcW w:type="dxa" w:w="1593"/>
            <w:vAlign w:val="center"/>
          </w:tcPr>
          <w:p>
            <w:pPr>
              <w:spacing w:after="0" w:line="240" w:lineRule="auto"/>
              <w:jc w:val="center"/>
            </w:pPr>
            <w:r/>
            <w:r>
              <w:rPr>
                <w:rFonts w:ascii="Calibri" w:hAnsi="Calibri"/>
                <w:b w:val="0"/>
                <w:i w:val="0"/>
                <w:color w:val="000000"/>
                <w:sz w:val="11"/>
              </w:rPr>
              <w:t>4.4424</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13.17</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135.82</w:t>
            </w:r>
          </w:p>
        </w:tc>
        <w:tc>
          <w:tcPr>
            <w:tcW w:type="dxa" w:w="2656"/>
            <w:vAlign w:val="center"/>
          </w:tcPr>
          <w:p>
            <w:pPr>
              <w:spacing w:after="0" w:line="240" w:lineRule="auto"/>
              <w:jc w:val="center"/>
            </w:pPr>
            <w:r/>
            <w:r>
              <w:rPr>
                <w:rFonts w:ascii="Calibri" w:hAnsi="Calibri"/>
                <w:b w:val="0"/>
                <w:i w:val="0"/>
                <w:color w:val="000000"/>
                <w:sz w:val="11"/>
              </w:rPr>
              <w:t>-13.80</w:t>
            </w:r>
          </w:p>
        </w:tc>
        <w:tc>
          <w:tcPr>
            <w:tcW w:type="dxa" w:w="1593"/>
            <w:vAlign w:val="center"/>
          </w:tcPr>
          <w:p>
            <w:pPr>
              <w:spacing w:after="0" w:line="240" w:lineRule="auto"/>
              <w:jc w:val="center"/>
            </w:pPr>
            <w:r/>
            <w:r>
              <w:rPr>
                <w:rFonts w:ascii="Calibri" w:hAnsi="Calibri"/>
                <w:b w:val="0"/>
                <w:i w:val="0"/>
                <w:color w:val="000000"/>
                <w:sz w:val="11"/>
              </w:rPr>
              <w:t>4.0019</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53.35</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57.66</w:t>
            </w:r>
          </w:p>
        </w:tc>
        <w:tc>
          <w:tcPr>
            <w:tcW w:type="dxa" w:w="2656"/>
            <w:vAlign w:val="center"/>
          </w:tcPr>
          <w:p>
            <w:pPr>
              <w:spacing w:after="0" w:line="240" w:lineRule="auto"/>
              <w:jc w:val="center"/>
            </w:pPr>
            <w:r/>
            <w:r>
              <w:rPr>
                <w:rFonts w:ascii="Calibri" w:hAnsi="Calibri"/>
                <w:b w:val="0"/>
                <w:i w:val="0"/>
                <w:color w:val="000000"/>
                <w:sz w:val="11"/>
              </w:rPr>
              <w:t>-0.52</w:t>
            </w:r>
          </w:p>
        </w:tc>
        <w:tc>
          <w:tcPr>
            <w:tcW w:type="dxa" w:w="1593"/>
            <w:vAlign w:val="center"/>
          </w:tcPr>
          <w:p>
            <w:pPr>
              <w:spacing w:after="0" w:line="240" w:lineRule="auto"/>
              <w:jc w:val="center"/>
            </w:pPr>
            <w:r/>
            <w:r>
              <w:rPr>
                <w:rFonts w:ascii="Calibri" w:hAnsi="Calibri"/>
                <w:b w:val="0"/>
                <w:i w:val="0"/>
                <w:color w:val="000000"/>
                <w:sz w:val="11"/>
              </w:rPr>
              <w:t>4.3905</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13.17</w:t>
            </w:r>
          </w:p>
        </w:tc>
      </w:tr>
    </w:tbl>
    <w:p>
      <w:pPr>
        <w:spacing w:after="60"/>
      </w:pPr>
    </w:p>
    <w:p>
      <w:pPr>
        <w:pStyle w:val="Heading3"/>
      </w:pPr>
      <w:r>
        <w:t>Interpretation of Table 12</w:t>
      </w:r>
    </w:p>
    <w:p>
      <w:pPr>
        <w:spacing w:after="160" w:line="320" w:lineRule="auto"/>
        <w:jc w:val="both"/>
      </w:pPr>
      <w:r>
        <w:rPr>
          <w:rFonts w:ascii="Calibri" w:hAnsi="Calibri"/>
          <w:b/>
          <w:i w:val="0"/>
          <w:color w:val="000000"/>
          <w:sz w:val="22"/>
        </w:rPr>
        <w:t>Single-model leader:</w:t>
      </w:r>
      <w:r>
        <w:rPr>
          <w:rFonts w:ascii="Calibri" w:hAnsi="Calibri"/>
          <w:b w:val="0"/>
          <w:i w:val="0"/>
          <w:color w:val="000000"/>
          <w:sz w:val="22"/>
        </w:rPr>
        <w:t xml:space="preserve"> ARIMA produces the highest unfiltered single-model results: Scheme 1 returns 173.96% with Sharpe 5.0752, while cost-adjusted Scheme 2 returns 162.16% with Sharpe 4.8419. This trading ranking is consistent with ARIMA's strong level-error performance in Table 7.</w:t>
      </w:r>
    </w:p>
    <w:p>
      <w:pPr>
        <w:spacing w:after="160" w:line="320" w:lineRule="auto"/>
        <w:jc w:val="both"/>
      </w:pPr>
      <w:r>
        <w:rPr>
          <w:rFonts w:ascii="Calibri" w:hAnsi="Calibri"/>
          <w:b/>
          <w:i w:val="0"/>
          <w:color w:val="000000"/>
          <w:sz w:val="22"/>
        </w:rPr>
        <w:t>Risk-return trade-off:</w:t>
      </w:r>
      <w:r>
        <w:rPr>
          <w:rFonts w:ascii="Calibri" w:hAnsi="Calibri"/>
          <w:b w:val="0"/>
          <w:i w:val="0"/>
          <w:color w:val="000000"/>
          <w:sz w:val="22"/>
        </w:rPr>
        <w:t xml:space="preserve"> SVR's optimized schemes sharply reduce average maximum drawdown—from -13.62% in Scheme 1 to -0.46% in Scheme 1'—and raise Sharpe from 4.0987 to 4.4424, but cumulative return falls from 140.37% to 58.89%. The filter therefore changes the exposure profile rather than providing a free performance improvement.</w:t>
      </w:r>
    </w:p>
    <w:p>
      <w:pPr>
        <w:spacing w:after="160" w:line="320" w:lineRule="auto"/>
        <w:jc w:val="both"/>
      </w:pPr>
      <w:r>
        <w:rPr>
          <w:rFonts w:ascii="Calibri" w:hAnsi="Calibri"/>
          <w:b/>
          <w:i w:val="0"/>
          <w:color w:val="000000"/>
          <w:sz w:val="22"/>
        </w:rPr>
        <w:t>Comparison with Table 11:</w:t>
      </w:r>
      <w:r>
        <w:rPr>
          <w:rFonts w:ascii="Calibri" w:hAnsi="Calibri"/>
          <w:b w:val="0"/>
          <w:i w:val="0"/>
          <w:color w:val="000000"/>
          <w:sz w:val="22"/>
        </w:rPr>
        <w:t xml:space="preserve"> The best decomposition strategies exceed the best single-model strategies on average, but the difference cannot be separated from the noncausal decomposition and filtering choices. Table 12 is a within-protocol benchmark, not evidence that a trader could have earned the reported returns in real time.</w:t>
      </w:r>
    </w:p>
    <w:p>
      <w:pPr>
        <w:sectPr>
          <w:pgSz w:w="15840" w:h="12240" w:orient="landscape"/>
          <w:pgMar w:top="1037" w:right="1037" w:bottom="1037" w:left="1037" w:header="605" w:footer="605" w:gutter="0"/>
          <w:cols w:space="720"/>
          <w:docGrid w:linePitch="360"/>
        </w:sectPr>
      </w:pPr>
    </w:p>
    <w:p>
      <w:pPr>
        <w:spacing w:after="160" w:line="320" w:lineRule="auto"/>
        <w:jc w:val="both"/>
      </w:pPr>
      <w:r>
        <w:rPr>
          <w:rFonts w:ascii="Calibri" w:hAnsi="Calibri"/>
          <w:b w:val="0"/>
          <w:i w:val="0"/>
          <w:color w:val="000000"/>
          <w:sz w:val="22"/>
        </w:rPr>
        <w:t>Intervals illustrate the uncertainty surrounding point paths, but the static residual calibration and noncausal forecast construction preclude operational coverage claims. Trading results can appear economically large because the observed-test filtering path responds to information inside the test set. They are useful for reproducing the reference study's reporting sequence, not as investable performance estimates.</w:t>
      </w:r>
    </w:p>
    <w:p>
      <w:pPr>
        <w:pStyle w:val="Heading1"/>
      </w:pPr>
      <w:r>
        <w:t>8. Discussion</w:t>
      </w:r>
    </w:p>
    <w:p>
      <w:pPr>
        <w:spacing w:after="160" w:line="320" w:lineRule="auto"/>
        <w:jc w:val="both"/>
      </w:pPr>
      <w:r>
        <w:rPr>
          <w:rFonts w:ascii="Calibri" w:hAnsi="Calibri"/>
          <w:b w:val="0"/>
          <w:i w:val="0"/>
          <w:color w:val="000000"/>
          <w:sz w:val="22"/>
        </w:rPr>
        <w:t>The lithium application supports the central modelling intuition that decomposition can improve difficult price forecasts, but it qualifies the stronger claim that one hybrid is always best. Low-frequency modes are handled effectively by ARIMA in hydroxide, while CEEMDAN-LSTM tracks carbonate well. This heterogeneity suggests that routing and decomposition family should be justified by development-only evidence rather than fixed universally.</w:t>
      </w:r>
    </w:p>
    <w:p>
      <w:pPr>
        <w:spacing w:after="160" w:line="320" w:lineRule="auto"/>
        <w:jc w:val="both"/>
      </w:pPr>
      <w:r>
        <w:rPr>
          <w:rFonts w:ascii="Calibri" w:hAnsi="Calibri"/>
          <w:b w:val="0"/>
          <w:i w:val="0"/>
          <w:color w:val="000000"/>
          <w:sz w:val="22"/>
        </w:rPr>
        <w:t>The multimodal blocks have coherent economic roles. Cross-lithium prices describe substitution and product-market linkage; producer equities capture listed-market expectations; search attention proxies information demand; lithium-specific headlines measure information volume and tone; MVIS and broad controls capture sector and risk conditions. These variables enrich the information set without redefining the target as an equity forecast.</w:t>
      </w:r>
    </w:p>
    <w:p>
      <w:pPr>
        <w:pStyle w:val="Heading2"/>
      </w:pPr>
      <w:r>
        <w:t>8.1 Research-integrity limitation</w:t>
      </w:r>
    </w:p>
    <w:p>
      <w:pPr>
        <w:spacing w:after="160" w:line="320" w:lineRule="auto"/>
        <w:jc w:val="both"/>
      </w:pPr>
      <w:r>
        <w:rPr>
          <w:rFonts w:ascii="Calibri" w:hAnsi="Calibri"/>
          <w:b w:val="0"/>
          <w:i w:val="0"/>
          <w:color w:val="000000"/>
          <w:sz w:val="22"/>
        </w:rPr>
        <w:t>The defining limitation is evaluation timing. Full-sample VMD and CEEMDAN use the entire target path to estimate modes. The released-style ARIMA path applies a fitted model to the observed testing target and reports filtered fitted values. Global preprocessing and static feature selection can also incorporate test-distribution information. Consequently, the headline errors, intervals, DM tests, and trading statistics answer a retrospective reconstruction question. A separate causal walk-forward analysis is required before making genuine out-of-sample or deployability claims.</w:t>
      </w:r>
    </w:p>
    <w:p>
      <w:pPr>
        <w:spacing w:after="160" w:line="320" w:lineRule="auto"/>
        <w:jc w:val="both"/>
      </w:pPr>
      <w:r>
        <w:rPr>
          <w:rFonts w:ascii="Calibri" w:hAnsi="Calibri"/>
          <w:b w:val="0"/>
          <w:i w:val="0"/>
          <w:color w:val="000000"/>
          <w:sz w:val="22"/>
        </w:rPr>
        <w:t>Additional limitations include a short post-2023 common sample, differing price units and market microstructure, potential continuation-series roll effects, daily aggregation of sparse news, Google Trends normalization, and the absence of inventories, physical premia, freight, conversion margins, and contract-level liquidity. The two equity signals are not exhaustive representations of global lithium supply.</w:t>
      </w:r>
    </w:p>
    <w:p>
      <w:pPr>
        <w:pStyle w:val="Heading1"/>
      </w:pPr>
      <w:r>
        <w:t>9. Conclusion</w:t>
      </w:r>
    </w:p>
    <w:p>
      <w:pPr>
        <w:spacing w:after="160" w:line="320" w:lineRule="auto"/>
        <w:jc w:val="both"/>
      </w:pPr>
      <w:r>
        <w:rPr>
          <w:rFonts w:ascii="Calibri" w:hAnsi="Calibri"/>
          <w:b w:val="0"/>
          <w:i w:val="0"/>
          <w:color w:val="000000"/>
          <w:sz w:val="22"/>
        </w:rPr>
        <w:t>This study delivers an end-to-end Liu-structured lithium-price replication with the same twelve-table and thirteen-figure reporting logic as its methodological reference. It constructs a lithium-specific multimodal database, evaluates two price targets, compares single and decomposition models, tests predictive-loss differences, reports intervals, and translates forecasts into four trading schemes. The proposed hybrid is competitive and improves on the best single model for hydroxide, but decomposition alternatives lead on overall RMSE for both targets. The most defensible conclusion is therefore conditional: multimodal decomposition is useful in this sample, while architecture superiority and economic performance depend on the target and evaluation protocol.</w:t>
      </w:r>
    </w:p>
    <w:p>
      <w:pPr>
        <w:pStyle w:val="Heading1"/>
      </w:pPr>
      <w:r>
        <w:t>References</w:t>
      </w:r>
    </w:p>
    <w:p>
      <w:pPr>
        <w:spacing w:after="80"/>
        <w:ind w:left="360" w:hanging="360"/>
      </w:pPr>
      <w:r>
        <w:rPr>
          <w:rFonts w:ascii="Calibri" w:hAnsi="Calibri"/>
          <w:b w:val="0"/>
          <w:i w:val="0"/>
          <w:color w:val="000000"/>
          <w:sz w:val="19"/>
        </w:rPr>
        <w:t>Diebold, F. X., &amp; Mariano, R. S. (1995). Comparing predictive accuracy. Journal of Business &amp; Economic Statistics, 13(3), 253–263.</w:t>
      </w:r>
    </w:p>
    <w:p>
      <w:pPr>
        <w:spacing w:after="80"/>
        <w:ind w:left="360" w:hanging="360"/>
      </w:pPr>
      <w:r>
        <w:rPr>
          <w:rFonts w:ascii="Calibri" w:hAnsi="Calibri"/>
          <w:b w:val="0"/>
          <w:i w:val="0"/>
          <w:color w:val="000000"/>
          <w:sz w:val="19"/>
        </w:rPr>
        <w:t>Dragomiretskiy, K., &amp; Zosso, D. (2014). Variational mode decomposition. IEEE Transactions on Signal Processing, 62(3), 531–544.</w:t>
      </w:r>
    </w:p>
    <w:p>
      <w:pPr>
        <w:spacing w:after="80"/>
        <w:ind w:left="360" w:hanging="360"/>
      </w:pPr>
      <w:r>
        <w:rPr>
          <w:rFonts w:ascii="Calibri" w:hAnsi="Calibri"/>
          <w:b w:val="0"/>
          <w:i w:val="0"/>
          <w:color w:val="000000"/>
          <w:sz w:val="19"/>
        </w:rPr>
        <w:t>Hochreiter, S., &amp; Schmidhuber, J. (1997). Long short-term memory. Neural Computation, 9(8), 1735–1780.</w:t>
      </w:r>
    </w:p>
    <w:p>
      <w:pPr>
        <w:spacing w:after="80"/>
        <w:ind w:left="360" w:hanging="360"/>
      </w:pPr>
      <w:r>
        <w:rPr>
          <w:rFonts w:ascii="Calibri" w:hAnsi="Calibri"/>
          <w:b w:val="0"/>
          <w:i w:val="0"/>
          <w:color w:val="000000"/>
          <w:sz w:val="19"/>
        </w:rPr>
        <w:t>Liu, S., Li, M., Yang, K., Wei, Y., &amp; Wang, S. (2025). From forecasting to trading: A multimodal-data-driven approach to reversing carbon market losses. Energy Economics, 144, 108350. https://doi.org/10.1016/j.eneco.2025.108350.</w:t>
      </w:r>
    </w:p>
    <w:p>
      <w:pPr>
        <w:spacing w:after="80"/>
        <w:ind w:left="360" w:hanging="360"/>
      </w:pPr>
      <w:r>
        <w:rPr>
          <w:rFonts w:ascii="Calibri" w:hAnsi="Calibri"/>
          <w:b w:val="0"/>
          <w:i w:val="0"/>
          <w:color w:val="000000"/>
          <w:sz w:val="19"/>
        </w:rPr>
        <w:t>Tibshirani, R. (1996). Regression shrinkage and selection via the lasso. Journal of the Royal Statistical Society: Series B, 58(1), 267–288.</w:t>
      </w:r>
    </w:p>
    <w:p>
      <w:pPr>
        <w:spacing w:after="80"/>
        <w:ind w:left="360" w:hanging="360"/>
      </w:pPr>
      <w:r>
        <w:rPr>
          <w:rFonts w:ascii="Calibri" w:hAnsi="Calibri"/>
          <w:b w:val="0"/>
          <w:i w:val="0"/>
          <w:color w:val="000000"/>
          <w:sz w:val="19"/>
        </w:rPr>
        <w:t>Torres, M. E., Colominas, M. A., Schlotthauer, G., &amp; Flandrin, P. (2011). A complete ensemble empirical mode decomposition with adaptive noise. Proceedings of ICASSP, 4144–4147.</w:t>
      </w:r>
    </w:p>
    <w:p>
      <w:pPr>
        <w:spacing w:after="80"/>
        <w:ind w:left="360" w:hanging="360"/>
      </w:pPr>
      <w:r>
        <w:rPr>
          <w:rFonts w:ascii="Calibri" w:hAnsi="Calibri"/>
          <w:b w:val="0"/>
          <w:i w:val="0"/>
          <w:color w:val="000000"/>
          <w:sz w:val="19"/>
        </w:rPr>
        <w:t>Data sources: project-supplied COMEX and SMM workbooks; Yahoo Finance market and equity histories; Google Trends; MediaCloud; and MVIS. Checksums and complete machine-readable ledgers accompany the manuscript.</w:t>
      </w:r>
    </w:p>
    <w:p>
      <w:pPr>
        <w:pStyle w:val="Heading1"/>
      </w:pPr>
      <w:r>
        <w:t>Appendix: reproducibility and robustness</w:t>
      </w:r>
    </w:p>
    <w:p>
      <w:pPr>
        <w:spacing w:after="160" w:line="320" w:lineRule="auto"/>
        <w:jc w:val="both"/>
      </w:pPr>
      <w:r>
        <w:rPr>
          <w:rFonts w:ascii="Calibri" w:hAnsi="Calibri"/>
          <w:b w:val="0"/>
          <w:i w:val="0"/>
          <w:color w:val="000000"/>
          <w:sz w:val="22"/>
        </w:rPr>
        <w:t>The companion appendix_ledgers directory contains every forecast, metric, DM comparison, interval observation, interval metric, trading result, mode-level selection, and component summary. The asset manifest records the empirical run identifier, protocol classification, captions, and SHA-256 checksums. Random-walk results are retained in the complete forecast and trading ledgers as an explicitly labelled robustness benchmark even though the reference-style Table 7 follows Liu et al.'s seven single-model set.</w:t>
      </w:r>
    </w:p>
    <w:sectPr w:rsidR="00FC693F" w:rsidRPr="0006063C" w:rsidSect="00034616">
      <w:pgSz w:w="12240" w:h="15840"/>
      <w:pgMar w:top="1224" w:right="1224" w:bottom="1224"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55555"/>
        <w:sz w:val="17"/>
      </w:rPr>
      <w:t xml:space="preserve">Liu-structured static evaluation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val="0"/>
        <w:color w:val="555555"/>
        <w:sz w:val="17"/>
      </w:rPr>
      <w:t>Multimodal Lithium-Price Forecasting | Retrospective Replication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