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1F4D78"/>
          <w:sz w:val="22"/>
        </w:rPr>
        <w:t>RESEARCH MANUSCRIPT</w:t>
      </w:r>
    </w:p>
    <w:p>
      <w:pPr>
        <w:spacing w:before="240" w:after="240"/>
        <w:jc w:val="center"/>
      </w:pPr>
      <w:r>
        <w:rPr>
          <w:rFonts w:ascii="Calibri" w:hAnsi="Calibri"/>
          <w:b/>
          <w:i w:val="0"/>
          <w:color w:val="0B2545"/>
          <w:sz w:val="50"/>
        </w:rPr>
        <w:t>From Multimodal Signals to Lithium-Price Forecasting and Trading</w:t>
      </w:r>
    </w:p>
    <w:p>
      <w:pPr>
        <w:spacing w:after="480"/>
        <w:jc w:val="center"/>
      </w:pPr>
      <w:r>
        <w:rPr>
          <w:rFonts w:ascii="Calibri" w:hAnsi="Calibri"/>
          <w:b w:val="0"/>
          <w:i/>
          <w:color w:val="555555"/>
          <w:sz w:val="26"/>
        </w:rPr>
        <w:t>A proposed hybrid framework for lithium hydroxide and lithium carbonate</w:t>
      </w:r>
    </w:p>
    <w:p>
      <w:pPr>
        <w:jc w:val="center"/>
      </w:pPr>
      <w:r>
        <w:rPr>
          <w:rFonts w:ascii="Calibri" w:hAnsi="Calibri"/>
          <w:b w:val="0"/>
          <w:i w:val="0"/>
          <w:color w:val="555555"/>
          <w:sz w:val="20"/>
        </w:rPr>
        <w:t>Pratham Lahoti</w:t>
        <w:br/>
        <w:t>Empirical run: lithium_paper_20260817T102754Z</w:t>
        <w:br/>
        <w:t>Prepared: 2026-08-17</w:t>
      </w:r>
    </w:p>
    <w:p>
      <w:pPr>
        <w:spacing w:before="600"/>
        <w:jc w:val="center"/>
      </w:pPr>
      <w:r>
        <w:rPr>
          <w:rFonts w:ascii="Calibri" w:hAnsi="Calibri"/>
          <w:b w:val="0"/>
          <w:i/>
          <w:color w:val="9B1C1C"/>
          <w:sz w:val="19"/>
        </w:rPr>
        <w:t>Protocol disclosure: the proposed method is evaluated with static full-sample decomposition and observed-test filtering. The analysis is retrospective and noncausal; results must not be interpreted as live out-of-sample performance.</w:t>
      </w:r>
    </w:p>
    <w:p>
      <w:r>
        <w:br w:type="page"/>
      </w:r>
    </w:p>
    <w:p>
      <w:pPr>
        <w:pStyle w:val="Heading1"/>
      </w:pPr>
      <w:r>
        <w:t>Abstract</w:t>
      </w:r>
    </w:p>
    <w:p>
      <w:pPr>
        <w:spacing w:after="160" w:line="320" w:lineRule="auto"/>
        <w:jc w:val="both"/>
      </w:pPr>
      <w:r>
        <w:rPr>
          <w:rFonts w:ascii="Calibri" w:hAnsi="Calibri"/>
          <w:b w:val="0"/>
          <w:i w:val="0"/>
          <w:color w:val="000000"/>
          <w:sz w:val="22"/>
        </w:rPr>
        <w:t>This study proposes an integrated multimodal decomposition-and-trading method for two lithium markets: COMEX lithium hydroxide CIF CJK futures and SMM battery-grade lithium carbonate spot prices. Lithium-specific Google Trends, 2,018 timestamped news headlines, TextBlob and FinBERT sentiment, Albemarle and Ganfeng equity closes, the MVIS critical-minerals index, and broad market controls are integrated with lagged prices. The proposed VMD-LASSO-ARIMA/LSTM architecture separates smooth and irregular price components, selects mode-specific predictors, and recombines specialized forecasts. Seven single forecasters and four decomposition comparators are evaluated on chronological 80:20 testing sets. The proposed model records RMSE 0.5360 for hydroxide, improving on the best single model (ARIMA, 0.6437), and RMSE 3672.30 for carbonate, close to the best single model (ARIMA, 3612.20). Decomposition competitors sometimes perform better, so the evidence supports conditional rather than universal model superiority. Interval, Diebold-Mariano, and trading analyses provide statistical and economic evaluation. Because full-sample decomposition and observed-test ARIMA filtering use test-period information, all findings are explicitly classified as retrospective evidence.</w:t>
      </w:r>
    </w:p>
    <w:p>
      <w:pPr>
        <w:spacing w:after="160" w:line="320" w:lineRule="auto"/>
        <w:jc w:val="both"/>
      </w:pPr>
      <w:r>
        <w:rPr>
          <w:rFonts w:ascii="Calibri" w:hAnsi="Calibri"/>
          <w:b/>
          <w:i w:val="0"/>
          <w:color w:val="000000"/>
          <w:sz w:val="22"/>
        </w:rPr>
        <w:t>Keywords:</w:t>
      </w:r>
      <w:r>
        <w:rPr>
          <w:rFonts w:ascii="Calibri" w:hAnsi="Calibri"/>
          <w:b w:val="0"/>
          <w:i w:val="0"/>
          <w:color w:val="000000"/>
          <w:sz w:val="22"/>
        </w:rPr>
        <w:t xml:space="preserve"> lithium price; multimodal data; variational mode decomposition; LASSO; ARIMA; LSTM; sentiment; interval forecasting; trading.</w:t>
      </w:r>
    </w:p>
    <w:p>
      <w:pPr>
        <w:pStyle w:val="Heading1"/>
      </w:pPr>
      <w:r>
        <w:t>1. Introduction</w:t>
      </w:r>
    </w:p>
    <w:p>
      <w:pPr>
        <w:spacing w:after="160" w:line="320" w:lineRule="auto"/>
        <w:jc w:val="both"/>
      </w:pPr>
      <w:r>
        <w:rPr>
          <w:rFonts w:ascii="Calibri" w:hAnsi="Calibri"/>
          <w:b w:val="0"/>
          <w:i w:val="0"/>
          <w:color w:val="000000"/>
          <w:sz w:val="22"/>
        </w:rPr>
        <w:t>Lithium prices transmit information about electric-vehicle demand, battery manufacturing, mine supply, conversion capacity, inventories, policy, and investor expectations. Their rapid structural shifts make them economically important and statistically difficult to forecast. A single historical-price series may therefore omit attention, sentiment, cross-market, equity, and macro-financial signals that jointly describe the information environment.</w:t>
      </w:r>
    </w:p>
    <w:p>
      <w:pPr>
        <w:spacing w:after="160" w:line="320" w:lineRule="auto"/>
        <w:jc w:val="both"/>
      </w:pPr>
      <w:r>
        <w:rPr>
          <w:rFonts w:ascii="Calibri" w:hAnsi="Calibri"/>
          <w:b w:val="0"/>
          <w:i w:val="0"/>
          <w:color w:val="000000"/>
          <w:sz w:val="22"/>
        </w:rPr>
        <w:t>We propose a unified architecture that combines multimodal indicators, VMD, LASSO, ARIMA and LSTM forecasts, prediction intervals, and trading rules for lithium markets. The central research question is whether mode-specific linear and nonlinear forecasting, enriched by lithium attention, sentiment, equity, sector, and macro-financial signals, improves price-path reconstruction and economically relevant decisions.</w:t>
      </w:r>
    </w:p>
    <w:p>
      <w:pPr>
        <w:spacing w:after="160" w:line="320" w:lineRule="auto"/>
        <w:jc w:val="both"/>
      </w:pPr>
      <w:r>
        <w:rPr>
          <w:rFonts w:ascii="Calibri" w:hAnsi="Calibri"/>
          <w:b w:val="0"/>
          <w:i w:val="0"/>
          <w:color w:val="000000"/>
          <w:sz w:val="22"/>
        </w:rPr>
        <w:t>The contribution is threefold. First, it constructs a lithium-specific multimodal dataset rather than treating eight heterogeneous mining equities as separate prediction targets. Second, it evaluates two directly relevant lithium price series and uses Albemarle and Ganfeng only as lagged information signals. Third, it makes the evaluation convention explicit: full-sample decompositions and observed-test filtering produce a retrospective fit assessment, not a causal forecast backtest.</w:t>
      </w:r>
    </w:p>
    <w:p>
      <w:pPr>
        <w:pStyle w:val="Heading1"/>
      </w:pPr>
      <w:r>
        <w:t>2. Literature review and positioning</w:t>
      </w:r>
    </w:p>
    <w:p>
      <w:pPr>
        <w:keepNext/>
        <w:spacing w:before="100" w:after="80"/>
      </w:pPr>
      <w:r>
        <w:rPr>
          <w:rFonts w:ascii="Calibri" w:hAnsi="Calibri"/>
          <w:b/>
          <w:i w:val="0"/>
          <w:color w:val="1F4D78"/>
          <w:sz w:val="18"/>
        </w:rPr>
        <w:t xml:space="preserve">Table 1. </w:t>
      </w:r>
      <w:r>
        <w:rPr>
          <w:rFonts w:ascii="Calibri" w:hAnsi="Calibri"/>
          <w:b w:val="0"/>
          <w:i/>
          <w:color w:val="000000"/>
          <w:sz w:val="18"/>
        </w:rPr>
        <w:t>Representative research works in lithium and energy-price forecasting.</w:t>
      </w:r>
    </w:p>
    <w:tbl>
      <w:tblPr>
        <w:tblStyle w:val="TableGrid"/>
        <w:tblW w:type="dxa" w:w="9360"/>
        <w:jc w:val="left"/>
        <w:tblLayout w:type="fixed"/>
        <w:tblLook w:firstColumn="1" w:firstRow="1" w:lastColumn="0" w:lastRow="0" w:noHBand="0" w:noVBand="1" w:val="04A0"/>
      </w:tblPr>
      <w:tblGrid>
        <w:gridCol w:w="2432"/>
        <w:gridCol w:w="2284"/>
        <w:gridCol w:w="2137"/>
        <w:gridCol w:w="2507"/>
      </w:tblGrid>
      <w:tr>
        <w:trPr>
          <w:tblHeader w:val="true"/>
        </w:trPr>
        <w:tc>
          <w:tcPr>
            <w:tcW w:type="dxa" w:w="2432"/>
            <w:shd w:fill="F4F6F9"/>
            <w:vAlign w:val="center"/>
          </w:tcPr>
          <w:p>
            <w:pPr>
              <w:jc w:val="center"/>
            </w:pPr>
            <w:r/>
            <w:r>
              <w:rPr>
                <w:rFonts w:ascii="Calibri" w:hAnsi="Calibri"/>
                <w:b/>
                <w:i w:val="0"/>
                <w:color w:val="0B2545"/>
                <w:sz w:val="13"/>
              </w:rPr>
              <w:t>Study</w:t>
            </w:r>
          </w:p>
        </w:tc>
        <w:tc>
          <w:tcPr>
            <w:tcW w:type="dxa" w:w="2284"/>
            <w:shd w:fill="F4F6F9"/>
            <w:vAlign w:val="center"/>
          </w:tcPr>
          <w:p>
            <w:pPr>
              <w:jc w:val="center"/>
            </w:pPr>
            <w:r/>
            <w:r>
              <w:rPr>
                <w:rFonts w:ascii="Calibri" w:hAnsi="Calibri"/>
                <w:b/>
                <w:i w:val="0"/>
                <w:color w:val="0B2545"/>
                <w:sz w:val="13"/>
              </w:rPr>
              <w:t>Research focus</w:t>
            </w:r>
          </w:p>
        </w:tc>
        <w:tc>
          <w:tcPr>
            <w:tcW w:type="dxa" w:w="2137"/>
            <w:shd w:fill="F4F6F9"/>
            <w:vAlign w:val="center"/>
          </w:tcPr>
          <w:p>
            <w:pPr>
              <w:jc w:val="center"/>
            </w:pPr>
            <w:r/>
            <w:r>
              <w:rPr>
                <w:rFonts w:ascii="Calibri" w:hAnsi="Calibri"/>
                <w:b/>
                <w:i w:val="0"/>
                <w:color w:val="0B2545"/>
                <w:sz w:val="13"/>
              </w:rPr>
              <w:t>Method</w:t>
            </w:r>
          </w:p>
        </w:tc>
        <w:tc>
          <w:tcPr>
            <w:tcW w:type="dxa" w:w="2507"/>
            <w:shd w:fill="F4F6F9"/>
            <w:vAlign w:val="center"/>
          </w:tcPr>
          <w:p>
            <w:pPr>
              <w:jc w:val="center"/>
            </w:pPr>
            <w:r/>
            <w:r>
              <w:rPr>
                <w:rFonts w:ascii="Calibri" w:hAnsi="Calibri"/>
                <w:b/>
                <w:i w:val="0"/>
                <w:color w:val="0B2545"/>
                <w:sz w:val="13"/>
              </w:rPr>
              <w:t>Role in this study</w:t>
            </w:r>
          </w:p>
        </w:tc>
      </w:tr>
      <w:tr>
        <w:tc>
          <w:tcPr>
            <w:tcW w:type="dxa" w:w="2432"/>
            <w:vAlign w:val="center"/>
          </w:tcPr>
          <w:p>
            <w:pPr>
              <w:spacing w:after="0" w:line="240" w:lineRule="auto"/>
              <w:jc w:val="left"/>
            </w:pPr>
            <w:r/>
            <w:r>
              <w:rPr>
                <w:rFonts w:ascii="Calibri" w:hAnsi="Calibri"/>
                <w:b w:val="0"/>
                <w:i w:val="0"/>
                <w:color w:val="000000"/>
                <w:sz w:val="13"/>
              </w:rPr>
              <w:t>Hochreiter and Schmidhuber (1997)</w:t>
            </w:r>
          </w:p>
        </w:tc>
        <w:tc>
          <w:tcPr>
            <w:tcW w:type="dxa" w:w="2284"/>
            <w:vAlign w:val="center"/>
          </w:tcPr>
          <w:p>
            <w:pPr>
              <w:spacing w:after="0" w:line="240" w:lineRule="auto"/>
              <w:jc w:val="center"/>
            </w:pPr>
            <w:r/>
            <w:r>
              <w:rPr>
                <w:rFonts w:ascii="Calibri" w:hAnsi="Calibri"/>
                <w:b w:val="0"/>
                <w:i w:val="0"/>
                <w:color w:val="000000"/>
                <w:sz w:val="13"/>
              </w:rPr>
              <w:t>Sequence learning</w:t>
            </w:r>
          </w:p>
        </w:tc>
        <w:tc>
          <w:tcPr>
            <w:tcW w:type="dxa" w:w="2137"/>
            <w:vAlign w:val="center"/>
          </w:tcPr>
          <w:p>
            <w:pPr>
              <w:spacing w:after="0" w:line="240" w:lineRule="auto"/>
              <w:jc w:val="center"/>
            </w:pPr>
            <w:r/>
            <w:r>
              <w:rPr>
                <w:rFonts w:ascii="Calibri" w:hAnsi="Calibri"/>
                <w:b w:val="0"/>
                <w:i w:val="0"/>
                <w:color w:val="000000"/>
                <w:sz w:val="13"/>
              </w:rPr>
              <w:t>LSTM</w:t>
            </w:r>
          </w:p>
        </w:tc>
        <w:tc>
          <w:tcPr>
            <w:tcW w:type="dxa" w:w="2507"/>
            <w:vAlign w:val="center"/>
          </w:tcPr>
          <w:p>
            <w:pPr>
              <w:spacing w:after="0" w:line="240" w:lineRule="auto"/>
              <w:jc w:val="center"/>
            </w:pPr>
            <w:r/>
            <w:r>
              <w:rPr>
                <w:rFonts w:ascii="Calibri" w:hAnsi="Calibri"/>
                <w:b w:val="0"/>
                <w:i w:val="0"/>
                <w:color w:val="000000"/>
                <w:sz w:val="13"/>
              </w:rPr>
              <w:t>Recurrent nonlinear forecasting</w:t>
            </w:r>
          </w:p>
        </w:tc>
      </w:tr>
      <w:tr>
        <w:tc>
          <w:tcPr>
            <w:tcW w:type="dxa" w:w="2432"/>
            <w:vAlign w:val="center"/>
          </w:tcPr>
          <w:p>
            <w:pPr>
              <w:spacing w:after="0" w:line="240" w:lineRule="auto"/>
              <w:jc w:val="left"/>
            </w:pPr>
            <w:r/>
            <w:r>
              <w:rPr>
                <w:rFonts w:ascii="Calibri" w:hAnsi="Calibri"/>
                <w:b w:val="0"/>
                <w:i w:val="0"/>
                <w:color w:val="000000"/>
                <w:sz w:val="13"/>
              </w:rPr>
              <w:t>Tibshirani (1996)</w:t>
            </w:r>
          </w:p>
        </w:tc>
        <w:tc>
          <w:tcPr>
            <w:tcW w:type="dxa" w:w="2284"/>
            <w:vAlign w:val="center"/>
          </w:tcPr>
          <w:p>
            <w:pPr>
              <w:spacing w:after="0" w:line="240" w:lineRule="auto"/>
              <w:jc w:val="center"/>
            </w:pPr>
            <w:r/>
            <w:r>
              <w:rPr>
                <w:rFonts w:ascii="Calibri" w:hAnsi="Calibri"/>
                <w:b w:val="0"/>
                <w:i w:val="0"/>
                <w:color w:val="000000"/>
                <w:sz w:val="13"/>
              </w:rPr>
              <w:t>Sparse regression</w:t>
            </w:r>
          </w:p>
        </w:tc>
        <w:tc>
          <w:tcPr>
            <w:tcW w:type="dxa" w:w="2137"/>
            <w:vAlign w:val="center"/>
          </w:tcPr>
          <w:p>
            <w:pPr>
              <w:spacing w:after="0" w:line="240" w:lineRule="auto"/>
              <w:jc w:val="center"/>
            </w:pPr>
            <w:r/>
            <w:r>
              <w:rPr>
                <w:rFonts w:ascii="Calibri" w:hAnsi="Calibri"/>
                <w:b w:val="0"/>
                <w:i w:val="0"/>
                <w:color w:val="000000"/>
                <w:sz w:val="13"/>
              </w:rPr>
              <w:t>LASSO</w:t>
            </w:r>
          </w:p>
        </w:tc>
        <w:tc>
          <w:tcPr>
            <w:tcW w:type="dxa" w:w="2507"/>
            <w:vAlign w:val="center"/>
          </w:tcPr>
          <w:p>
            <w:pPr>
              <w:spacing w:after="0" w:line="240" w:lineRule="auto"/>
              <w:jc w:val="center"/>
            </w:pPr>
            <w:r/>
            <w:r>
              <w:rPr>
                <w:rFonts w:ascii="Calibri" w:hAnsi="Calibri"/>
                <w:b w:val="0"/>
                <w:i w:val="0"/>
                <w:color w:val="000000"/>
                <w:sz w:val="13"/>
              </w:rPr>
              <w:t>Multimodal indicator selection</w:t>
            </w:r>
          </w:p>
        </w:tc>
      </w:tr>
      <w:tr>
        <w:tc>
          <w:tcPr>
            <w:tcW w:type="dxa" w:w="2432"/>
            <w:vAlign w:val="center"/>
          </w:tcPr>
          <w:p>
            <w:pPr>
              <w:spacing w:after="0" w:line="240" w:lineRule="auto"/>
              <w:jc w:val="left"/>
            </w:pPr>
            <w:r/>
            <w:r>
              <w:rPr>
                <w:rFonts w:ascii="Calibri" w:hAnsi="Calibri"/>
                <w:b w:val="0"/>
                <w:i w:val="0"/>
                <w:color w:val="000000"/>
                <w:sz w:val="13"/>
              </w:rPr>
              <w:t>Dragomiretskiy and Zosso (2014)</w:t>
            </w:r>
          </w:p>
        </w:tc>
        <w:tc>
          <w:tcPr>
            <w:tcW w:type="dxa" w:w="2284"/>
            <w:vAlign w:val="center"/>
          </w:tcPr>
          <w:p>
            <w:pPr>
              <w:spacing w:after="0" w:line="240" w:lineRule="auto"/>
              <w:jc w:val="center"/>
            </w:pPr>
            <w:r/>
            <w:r>
              <w:rPr>
                <w:rFonts w:ascii="Calibri" w:hAnsi="Calibri"/>
                <w:b w:val="0"/>
                <w:i w:val="0"/>
                <w:color w:val="000000"/>
                <w:sz w:val="13"/>
              </w:rPr>
              <w:t>Signal decomposition</w:t>
            </w:r>
          </w:p>
        </w:tc>
        <w:tc>
          <w:tcPr>
            <w:tcW w:type="dxa" w:w="2137"/>
            <w:vAlign w:val="center"/>
          </w:tcPr>
          <w:p>
            <w:pPr>
              <w:spacing w:after="0" w:line="240" w:lineRule="auto"/>
              <w:jc w:val="center"/>
            </w:pPr>
            <w:r/>
            <w:r>
              <w:rPr>
                <w:rFonts w:ascii="Calibri" w:hAnsi="Calibri"/>
                <w:b w:val="0"/>
                <w:i w:val="0"/>
                <w:color w:val="000000"/>
                <w:sz w:val="13"/>
              </w:rPr>
              <w:t>VMD</w:t>
            </w:r>
          </w:p>
        </w:tc>
        <w:tc>
          <w:tcPr>
            <w:tcW w:type="dxa" w:w="2507"/>
            <w:vAlign w:val="center"/>
          </w:tcPr>
          <w:p>
            <w:pPr>
              <w:spacing w:after="0" w:line="240" w:lineRule="auto"/>
              <w:jc w:val="center"/>
            </w:pPr>
            <w:r/>
            <w:r>
              <w:rPr>
                <w:rFonts w:ascii="Calibri" w:hAnsi="Calibri"/>
                <w:b w:val="0"/>
                <w:i w:val="0"/>
                <w:color w:val="000000"/>
                <w:sz w:val="13"/>
              </w:rPr>
              <w:t>Adaptive narrow-band modes</w:t>
            </w:r>
          </w:p>
        </w:tc>
      </w:tr>
      <w:tr>
        <w:tc>
          <w:tcPr>
            <w:tcW w:type="dxa" w:w="2432"/>
            <w:vAlign w:val="center"/>
          </w:tcPr>
          <w:p>
            <w:pPr>
              <w:spacing w:after="0" w:line="240" w:lineRule="auto"/>
              <w:jc w:val="left"/>
            </w:pPr>
            <w:r/>
            <w:r>
              <w:rPr>
                <w:rFonts w:ascii="Calibri" w:hAnsi="Calibri"/>
                <w:b w:val="0"/>
                <w:i w:val="0"/>
                <w:color w:val="000000"/>
                <w:sz w:val="13"/>
              </w:rPr>
              <w:t>Torres et al. (2011)</w:t>
            </w:r>
          </w:p>
        </w:tc>
        <w:tc>
          <w:tcPr>
            <w:tcW w:type="dxa" w:w="2284"/>
            <w:vAlign w:val="center"/>
          </w:tcPr>
          <w:p>
            <w:pPr>
              <w:spacing w:after="0" w:line="240" w:lineRule="auto"/>
              <w:jc w:val="center"/>
            </w:pPr>
            <w:r/>
            <w:r>
              <w:rPr>
                <w:rFonts w:ascii="Calibri" w:hAnsi="Calibri"/>
                <w:b w:val="0"/>
                <w:i w:val="0"/>
                <w:color w:val="000000"/>
                <w:sz w:val="13"/>
              </w:rPr>
              <w:t>Noise-assisted decomposition</w:t>
            </w:r>
          </w:p>
        </w:tc>
        <w:tc>
          <w:tcPr>
            <w:tcW w:type="dxa" w:w="2137"/>
            <w:vAlign w:val="center"/>
          </w:tcPr>
          <w:p>
            <w:pPr>
              <w:spacing w:after="0" w:line="240" w:lineRule="auto"/>
              <w:jc w:val="center"/>
            </w:pPr>
            <w:r/>
            <w:r>
              <w:rPr>
                <w:rFonts w:ascii="Calibri" w:hAnsi="Calibri"/>
                <w:b w:val="0"/>
                <w:i w:val="0"/>
                <w:color w:val="000000"/>
                <w:sz w:val="13"/>
              </w:rPr>
              <w:t>CEEMDAN</w:t>
            </w:r>
          </w:p>
        </w:tc>
        <w:tc>
          <w:tcPr>
            <w:tcW w:type="dxa" w:w="2507"/>
            <w:vAlign w:val="center"/>
          </w:tcPr>
          <w:p>
            <w:pPr>
              <w:spacing w:after="0" w:line="240" w:lineRule="auto"/>
              <w:jc w:val="center"/>
            </w:pPr>
            <w:r/>
            <w:r>
              <w:rPr>
                <w:rFonts w:ascii="Calibri" w:hAnsi="Calibri"/>
                <w:b w:val="0"/>
                <w:i w:val="0"/>
                <w:color w:val="000000"/>
                <w:sz w:val="13"/>
              </w:rPr>
              <w:t>Decomposition comparator</w:t>
            </w:r>
          </w:p>
        </w:tc>
      </w:tr>
      <w:tr>
        <w:tc>
          <w:tcPr>
            <w:tcW w:type="dxa" w:w="2432"/>
            <w:vAlign w:val="center"/>
          </w:tcPr>
          <w:p>
            <w:pPr>
              <w:spacing w:after="0" w:line="240" w:lineRule="auto"/>
              <w:jc w:val="left"/>
            </w:pPr>
            <w:r/>
            <w:r>
              <w:rPr>
                <w:rFonts w:ascii="Calibri" w:hAnsi="Calibri"/>
                <w:b w:val="0"/>
                <w:i w:val="0"/>
                <w:color w:val="000000"/>
                <w:sz w:val="13"/>
              </w:rPr>
              <w:t>Diebold and Mariano (1995)</w:t>
            </w:r>
          </w:p>
        </w:tc>
        <w:tc>
          <w:tcPr>
            <w:tcW w:type="dxa" w:w="2284"/>
            <w:vAlign w:val="center"/>
          </w:tcPr>
          <w:p>
            <w:pPr>
              <w:spacing w:after="0" w:line="240" w:lineRule="auto"/>
              <w:jc w:val="center"/>
            </w:pPr>
            <w:r/>
            <w:r>
              <w:rPr>
                <w:rFonts w:ascii="Calibri" w:hAnsi="Calibri"/>
                <w:b w:val="0"/>
                <w:i w:val="0"/>
                <w:color w:val="000000"/>
                <w:sz w:val="13"/>
              </w:rPr>
              <w:t>Predictive-accuracy testing</w:t>
            </w:r>
          </w:p>
        </w:tc>
        <w:tc>
          <w:tcPr>
            <w:tcW w:type="dxa" w:w="2137"/>
            <w:vAlign w:val="center"/>
          </w:tcPr>
          <w:p>
            <w:pPr>
              <w:spacing w:after="0" w:line="240" w:lineRule="auto"/>
              <w:jc w:val="center"/>
            </w:pPr>
            <w:r/>
            <w:r>
              <w:rPr>
                <w:rFonts w:ascii="Calibri" w:hAnsi="Calibri"/>
                <w:b w:val="0"/>
                <w:i w:val="0"/>
                <w:color w:val="000000"/>
                <w:sz w:val="13"/>
              </w:rPr>
              <w:t>DM test</w:t>
            </w:r>
          </w:p>
        </w:tc>
        <w:tc>
          <w:tcPr>
            <w:tcW w:type="dxa" w:w="2507"/>
            <w:vAlign w:val="center"/>
          </w:tcPr>
          <w:p>
            <w:pPr>
              <w:spacing w:after="0" w:line="240" w:lineRule="auto"/>
              <w:jc w:val="center"/>
            </w:pPr>
            <w:r/>
            <w:r>
              <w:rPr>
                <w:rFonts w:ascii="Calibri" w:hAnsi="Calibri"/>
                <w:b w:val="0"/>
                <w:i w:val="0"/>
                <w:color w:val="000000"/>
                <w:sz w:val="13"/>
              </w:rPr>
              <w:t>Pairwise loss comparison</w:t>
            </w:r>
          </w:p>
        </w:tc>
      </w:tr>
      <w:tr>
        <w:tc>
          <w:tcPr>
            <w:tcW w:type="dxa" w:w="2432"/>
            <w:vAlign w:val="center"/>
          </w:tcPr>
          <w:p>
            <w:pPr>
              <w:spacing w:after="0" w:line="240" w:lineRule="auto"/>
              <w:jc w:val="left"/>
            </w:pPr>
            <w:r/>
            <w:r>
              <w:rPr>
                <w:rFonts w:ascii="Calibri" w:hAnsi="Calibri"/>
                <w:b w:val="0"/>
                <w:i w:val="0"/>
                <w:color w:val="000000"/>
                <w:sz w:val="13"/>
              </w:rPr>
              <w:t>Box et al. (2015)</w:t>
            </w:r>
          </w:p>
        </w:tc>
        <w:tc>
          <w:tcPr>
            <w:tcW w:type="dxa" w:w="2284"/>
            <w:vAlign w:val="center"/>
          </w:tcPr>
          <w:p>
            <w:pPr>
              <w:spacing w:after="0" w:line="240" w:lineRule="auto"/>
              <w:jc w:val="center"/>
            </w:pPr>
            <w:r/>
            <w:r>
              <w:rPr>
                <w:rFonts w:ascii="Calibri" w:hAnsi="Calibri"/>
                <w:b w:val="0"/>
                <w:i w:val="0"/>
                <w:color w:val="000000"/>
                <w:sz w:val="13"/>
              </w:rPr>
              <w:t>Time-series forecasting</w:t>
            </w:r>
          </w:p>
        </w:tc>
        <w:tc>
          <w:tcPr>
            <w:tcW w:type="dxa" w:w="2137"/>
            <w:vAlign w:val="center"/>
          </w:tcPr>
          <w:p>
            <w:pPr>
              <w:spacing w:after="0" w:line="240" w:lineRule="auto"/>
              <w:jc w:val="center"/>
            </w:pPr>
            <w:r/>
            <w:r>
              <w:rPr>
                <w:rFonts w:ascii="Calibri" w:hAnsi="Calibri"/>
                <w:b w:val="0"/>
                <w:i w:val="0"/>
                <w:color w:val="000000"/>
                <w:sz w:val="13"/>
              </w:rPr>
              <w:t>ARIMA</w:t>
            </w:r>
          </w:p>
        </w:tc>
        <w:tc>
          <w:tcPr>
            <w:tcW w:type="dxa" w:w="2507"/>
            <w:vAlign w:val="center"/>
          </w:tcPr>
          <w:p>
            <w:pPr>
              <w:spacing w:after="0" w:line="240" w:lineRule="auto"/>
              <w:jc w:val="center"/>
            </w:pPr>
            <w:r/>
            <w:r>
              <w:rPr>
                <w:rFonts w:ascii="Calibri" w:hAnsi="Calibri"/>
                <w:b w:val="0"/>
                <w:i w:val="0"/>
                <w:color w:val="000000"/>
                <w:sz w:val="13"/>
              </w:rPr>
              <w:t>Linear forecasting of smooth decomposed modes</w:t>
            </w:r>
          </w:p>
        </w:tc>
      </w:tr>
      <w:tr>
        <w:tc>
          <w:tcPr>
            <w:tcW w:type="dxa" w:w="2432"/>
            <w:vAlign w:val="center"/>
          </w:tcPr>
          <w:p>
            <w:pPr>
              <w:spacing w:after="0" w:line="240" w:lineRule="auto"/>
              <w:jc w:val="left"/>
            </w:pPr>
            <w:r/>
            <w:r>
              <w:rPr>
                <w:rFonts w:ascii="Calibri" w:hAnsi="Calibri"/>
                <w:b w:val="0"/>
                <w:i w:val="0"/>
                <w:color w:val="000000"/>
                <w:sz w:val="13"/>
              </w:rPr>
              <w:t>This study</w:t>
            </w:r>
          </w:p>
        </w:tc>
        <w:tc>
          <w:tcPr>
            <w:tcW w:type="dxa" w:w="2284"/>
            <w:vAlign w:val="center"/>
          </w:tcPr>
          <w:p>
            <w:pPr>
              <w:spacing w:after="0" w:line="240" w:lineRule="auto"/>
              <w:jc w:val="center"/>
            </w:pPr>
            <w:r/>
            <w:r>
              <w:rPr>
                <w:rFonts w:ascii="Calibri" w:hAnsi="Calibri"/>
                <w:b w:val="0"/>
                <w:i w:val="0"/>
                <w:color w:val="000000"/>
                <w:sz w:val="13"/>
              </w:rPr>
              <w:t>Lithium hydroxide and carbonate</w:t>
            </w:r>
          </w:p>
        </w:tc>
        <w:tc>
          <w:tcPr>
            <w:tcW w:type="dxa" w:w="2137"/>
            <w:vAlign w:val="center"/>
          </w:tcPr>
          <w:p>
            <w:pPr>
              <w:spacing w:after="0" w:line="240" w:lineRule="auto"/>
              <w:jc w:val="center"/>
            </w:pPr>
            <w:r/>
            <w:r>
              <w:rPr>
                <w:rFonts w:ascii="Calibri" w:hAnsi="Calibri"/>
                <w:b w:val="0"/>
                <w:i w:val="0"/>
                <w:color w:val="000000"/>
                <w:sz w:val="13"/>
              </w:rPr>
              <w:t>Proposed VMD-LASSO-ARIMA/LSTM</w:t>
            </w:r>
          </w:p>
        </w:tc>
        <w:tc>
          <w:tcPr>
            <w:tcW w:type="dxa" w:w="2507"/>
            <w:vAlign w:val="center"/>
          </w:tcPr>
          <w:p>
            <w:pPr>
              <w:spacing w:after="0" w:line="240" w:lineRule="auto"/>
              <w:jc w:val="center"/>
            </w:pPr>
            <w:r/>
            <w:r>
              <w:rPr>
                <w:rFonts w:ascii="Calibri" w:hAnsi="Calibri"/>
                <w:b w:val="0"/>
                <w:i w:val="0"/>
                <w:color w:val="000000"/>
                <w:sz w:val="13"/>
              </w:rPr>
              <w:t>Multimodal lithium-price forecasting, intervals, and trading</w:t>
            </w:r>
          </w:p>
        </w:tc>
      </w:tr>
    </w:tbl>
    <w:p>
      <w:pPr>
        <w:spacing w:after="60"/>
      </w:pPr>
    </w:p>
    <w:p>
      <w:pPr>
        <w:pStyle w:val="Heading3"/>
      </w:pPr>
      <w:r>
        <w:t>Interpretation of Table 1</w:t>
      </w:r>
    </w:p>
    <w:p>
      <w:pPr>
        <w:spacing w:after="160" w:line="320" w:lineRule="auto"/>
        <w:jc w:val="both"/>
      </w:pPr>
      <w:r>
        <w:rPr>
          <w:rFonts w:ascii="Calibri" w:hAnsi="Calibri"/>
          <w:b/>
          <w:i w:val="0"/>
          <w:color w:val="000000"/>
          <w:sz w:val="22"/>
        </w:rPr>
        <w:t>Purpose:</w:t>
      </w:r>
      <w:r>
        <w:rPr>
          <w:rFonts w:ascii="Calibri" w:hAnsi="Calibri"/>
          <w:b w:val="0"/>
          <w:i w:val="0"/>
          <w:color w:val="000000"/>
          <w:sz w:val="22"/>
        </w:rPr>
        <w:t xml:space="preserve"> The table identifies the methodological lineage of the study rather than claiming an exhaustive lithium-forecasting review. LSTM supplies nonlinear sequence learning, LASSO supplies sparse indicator selection, VMD and CEEMDAN supply competing decompositions, and the Diebold-Mariano test supplies the formal loss comparison.</w:t>
      </w:r>
    </w:p>
    <w:p>
      <w:pPr>
        <w:spacing w:after="160" w:line="320" w:lineRule="auto"/>
        <w:jc w:val="both"/>
      </w:pPr>
      <w:r>
        <w:rPr>
          <w:rFonts w:ascii="Calibri" w:hAnsi="Calibri"/>
          <w:b/>
          <w:i w:val="0"/>
          <w:color w:val="000000"/>
          <w:sz w:val="22"/>
        </w:rPr>
        <w:t>Research gap:</w:t>
      </w:r>
      <w:r>
        <w:rPr>
          <w:rFonts w:ascii="Calibri" w:hAnsi="Calibri"/>
          <w:b w:val="0"/>
          <w:i w:val="0"/>
          <w:color w:val="000000"/>
          <w:sz w:val="22"/>
        </w:rPr>
        <w:t xml:space="preserve"> The foundational studies address individual building blocks—statistical forecasting, sparse selection, signal decomposition, recurrent learning, and predictive-accuracy testing—but do not provide the integrated lithium-specific system developed here. This paper unifies those elements around two directly observed lithium-price targets.</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literature table positions the proposed contribution without claiming that the listed methods are uniquely optimal. Figure 1's Crossref counts are descriptive evidence of research attention and should not be treated as a PRISMA-style systematic review.</w:t>
      </w:r>
    </w:p>
    <w:p>
      <w:pPr>
        <w:keepNext/>
        <w:spacing w:before="100" w:after="80"/>
      </w:pPr>
      <w:r>
        <w:rPr>
          <w:rFonts w:ascii="Calibri" w:hAnsi="Calibri"/>
          <w:b/>
          <w:i w:val="0"/>
          <w:color w:val="1F4D78"/>
          <w:sz w:val="18"/>
        </w:rPr>
        <w:t xml:space="preserve">Figure 1. </w:t>
      </w:r>
      <w:r>
        <w:rPr>
          <w:rFonts w:ascii="Calibri" w:hAnsi="Calibri"/>
          <w:b w:val="0"/>
          <w:i/>
          <w:color w:val="000000"/>
          <w:sz w:val="18"/>
        </w:rPr>
        <w:t>Time trend of candidate publications in lithium-price forecasting. Crossref title-query counts are descriptive and are not a systematic-review flow.</w:t>
      </w:r>
    </w:p>
    <w:p>
      <w:pPr>
        <w:spacing w:after="180"/>
        <w:jc w:val="center"/>
      </w:pPr>
      <w:r>
        <w:drawing>
          <wp:inline xmlns:a="http://schemas.openxmlformats.org/drawingml/2006/main" xmlns:pic="http://schemas.openxmlformats.org/drawingml/2006/picture">
            <wp:extent cx="5760720" cy="2767404"/>
            <wp:docPr id="1" name="Picture 1"/>
            <wp:cNvGraphicFramePr>
              <a:graphicFrameLocks noChangeAspect="1"/>
            </wp:cNvGraphicFramePr>
            <a:graphic>
              <a:graphicData uri="http://schemas.openxmlformats.org/drawingml/2006/picture">
                <pic:pic>
                  <pic:nvPicPr>
                    <pic:cNvPr id="0" name="fig1_publication_trend.png"/>
                    <pic:cNvPicPr/>
                  </pic:nvPicPr>
                  <pic:blipFill>
                    <a:blip r:embed="rId11"/>
                    <a:stretch>
                      <a:fillRect/>
                    </a:stretch>
                  </pic:blipFill>
                  <pic:spPr>
                    <a:xfrm>
                      <a:off x="0" y="0"/>
                      <a:ext cx="5760720" cy="2767404"/>
                    </a:xfrm>
                    <a:prstGeom prst="rect"/>
                  </pic:spPr>
                </pic:pic>
              </a:graphicData>
            </a:graphic>
          </wp:inline>
        </w:drawing>
      </w:r>
    </w:p>
    <w:p>
      <w:pPr>
        <w:spacing w:after="160" w:line="320" w:lineRule="auto"/>
        <w:jc w:val="both"/>
      </w:pPr>
      <w:r>
        <w:rPr>
          <w:rFonts w:ascii="Calibri" w:hAnsi="Calibri"/>
          <w:b w:val="0"/>
          <w:i w:val="0"/>
          <w:color w:val="000000"/>
          <w:sz w:val="22"/>
        </w:rPr>
        <w:t>Decomposition-based energy-price studies seek to separate slowly varying structure from high-frequency fluctuations before applying specialized predictors. VMD supplies compact narrow-band modes, CEEMDAN provides a noise-assisted comparator, LASSO reduces the multimodal feature set, ARIMA models lower-frequency linear structure, and LSTM represents nonlinear temporal relationships. Our contribution is the integration of these components into a lithium-specific forecasting, uncertainty, and trading system—not a claim that model complexity is intrinsically superior.</w:t>
      </w:r>
    </w:p>
    <w:p>
      <w:pPr>
        <w:pStyle w:val="Heading1"/>
      </w:pPr>
      <w:r>
        <w:t>3. Methodology</w:t>
      </w:r>
    </w:p>
    <w:p>
      <w:pPr>
        <w:keepNext/>
        <w:spacing w:before="100" w:after="80"/>
      </w:pPr>
      <w:r>
        <w:rPr>
          <w:rFonts w:ascii="Calibri" w:hAnsi="Calibri"/>
          <w:b/>
          <w:i w:val="0"/>
          <w:color w:val="1F4D78"/>
          <w:sz w:val="18"/>
        </w:rPr>
        <w:t xml:space="preserve">Figure 2. </w:t>
      </w:r>
      <w:r>
        <w:rPr>
          <w:rFonts w:ascii="Calibri" w:hAnsi="Calibri"/>
          <w:b w:val="0"/>
          <w:i/>
          <w:color w:val="000000"/>
          <w:sz w:val="18"/>
        </w:rPr>
        <w:t>Conceptual structure of the LSTM model used as a nonlinear recurrent forecaster.</w:t>
      </w:r>
    </w:p>
    <w:p>
      <w:pPr>
        <w:spacing w:after="180"/>
        <w:jc w:val="center"/>
      </w:pPr>
      <w:r>
        <w:drawing>
          <wp:inline xmlns:a="http://schemas.openxmlformats.org/drawingml/2006/main" xmlns:pic="http://schemas.openxmlformats.org/drawingml/2006/picture">
            <wp:extent cx="5760720" cy="2370399"/>
            <wp:docPr id="2" name="Picture 2"/>
            <wp:cNvGraphicFramePr>
              <a:graphicFrameLocks noChangeAspect="1"/>
            </wp:cNvGraphicFramePr>
            <a:graphic>
              <a:graphicData uri="http://schemas.openxmlformats.org/drawingml/2006/picture">
                <pic:pic>
                  <pic:nvPicPr>
                    <pic:cNvPr id="0" name="fig2_lstm_structure.png"/>
                    <pic:cNvPicPr/>
                  </pic:nvPicPr>
                  <pic:blipFill>
                    <a:blip r:embed="rId12"/>
                    <a:stretch>
                      <a:fillRect/>
                    </a:stretch>
                  </pic:blipFill>
                  <pic:spPr>
                    <a:xfrm>
                      <a:off x="0" y="0"/>
                      <a:ext cx="5760720" cy="2370399"/>
                    </a:xfrm>
                    <a:prstGeom prst="rect"/>
                  </pic:spPr>
                </pic:pic>
              </a:graphicData>
            </a:graphic>
          </wp:inline>
        </w:drawing>
      </w:r>
    </w:p>
    <w:p>
      <w:pPr>
        <w:keepNext/>
        <w:spacing w:before="100" w:after="80"/>
      </w:pPr>
      <w:r>
        <w:rPr>
          <w:rFonts w:ascii="Calibri" w:hAnsi="Calibri"/>
          <w:b/>
          <w:i w:val="0"/>
          <w:color w:val="1F4D78"/>
          <w:sz w:val="18"/>
        </w:rPr>
        <w:t xml:space="preserve">Figure 3. </w:t>
      </w:r>
      <w:r>
        <w:rPr>
          <w:rFonts w:ascii="Calibri" w:hAnsi="Calibri"/>
          <w:b w:val="0"/>
          <w:i/>
          <w:color w:val="000000"/>
          <w:sz w:val="18"/>
        </w:rPr>
        <w:t>Framework of the proposed retrospective multimodal lithium-price method.</w:t>
      </w:r>
    </w:p>
    <w:p>
      <w:pPr>
        <w:spacing w:after="180"/>
        <w:jc w:val="center"/>
      </w:pPr>
      <w:r>
        <w:drawing>
          <wp:inline xmlns:a="http://schemas.openxmlformats.org/drawingml/2006/main" xmlns:pic="http://schemas.openxmlformats.org/drawingml/2006/picture">
            <wp:extent cx="5760720" cy="2270330"/>
            <wp:docPr id="3" name="Picture 3"/>
            <wp:cNvGraphicFramePr>
              <a:graphicFrameLocks noChangeAspect="1"/>
            </wp:cNvGraphicFramePr>
            <a:graphic>
              <a:graphicData uri="http://schemas.openxmlformats.org/drawingml/2006/picture">
                <pic:pic>
                  <pic:nvPicPr>
                    <pic:cNvPr id="0" name="fig3_framework.png"/>
                    <pic:cNvPicPr/>
                  </pic:nvPicPr>
                  <pic:blipFill>
                    <a:blip r:embed="rId13"/>
                    <a:stretch>
                      <a:fillRect/>
                    </a:stretch>
                  </pic:blipFill>
                  <pic:spPr>
                    <a:xfrm>
                      <a:off x="0" y="0"/>
                      <a:ext cx="5760720" cy="2270330"/>
                    </a:xfrm>
                    <a:prstGeom prst="rect"/>
                  </pic:spPr>
                </pic:pic>
              </a:graphicData>
            </a:graphic>
          </wp:inline>
        </w:drawing>
      </w:r>
    </w:p>
    <w:p>
      <w:pPr>
        <w:pStyle w:val="Heading2"/>
      </w:pPr>
      <w:r>
        <w:t>3.1 Forecasting architecture</w:t>
      </w:r>
    </w:p>
    <w:p>
      <w:pPr>
        <w:spacing w:after="160" w:line="320" w:lineRule="auto"/>
        <w:jc w:val="both"/>
      </w:pPr>
      <w:r>
        <w:rPr>
          <w:rFonts w:ascii="Calibri" w:hAnsi="Calibri"/>
          <w:b w:val="0"/>
          <w:i w:val="0"/>
          <w:color w:val="000000"/>
          <w:sz w:val="22"/>
        </w:rPr>
        <w:t>For each target, lagged target observations are combined with cross-lithium, lithium-equity, Google Trends, lithium-news, and market-control blocks. LASSO is applied separately to each decomposed series. The proposed routing assigns the first two smooth, low-entropy VMD modes to ARIMA and the remaining irregular modes to LSTM. Component forecasts and the forecast VMD reconstruction residual are then summed to recover the price forecast.</w:t>
      </w:r>
    </w:p>
    <w:p>
      <w:pPr>
        <w:spacing w:after="160" w:line="320" w:lineRule="auto"/>
        <w:jc w:val="both"/>
      </w:pPr>
      <w:r>
        <w:rPr>
          <w:rFonts w:ascii="Calibri" w:hAnsi="Calibri"/>
          <w:b w:val="0"/>
          <w:i w:val="0"/>
          <w:color w:val="000000"/>
          <w:sz w:val="22"/>
        </w:rPr>
        <w:t>Seven single-model benchmarks—exponential smoothing (ES), ARIMA, SVR, random forest (RF), multilayer perceptron (MLP), extreme learning machine (ELM), and LSTM—are fitted to the undecomposed price problem. CEEMDAN-ARIMA, VMD-ARIMA, CEEMDAN-LSTM and VMD-LSTM isolate the contribution of decomposition and forecasting family. Together with the proposed hybrid, these models form the complete publication-facing comparison set.</w:t>
      </w:r>
    </w:p>
    <w:p>
      <w:pPr>
        <w:pStyle w:val="Heading2"/>
      </w:pPr>
      <w:r>
        <w:t>3.2 Evaluation</w:t>
      </w:r>
    </w:p>
    <w:p>
      <w:pPr>
        <w:spacing w:after="160" w:line="320" w:lineRule="auto"/>
        <w:jc w:val="both"/>
      </w:pPr>
      <w:r>
        <w:rPr>
          <w:rFonts w:ascii="Calibri" w:hAnsi="Calibri"/>
          <w:b w:val="0"/>
          <w:i w:val="0"/>
          <w:color w:val="000000"/>
          <w:sz w:val="22"/>
        </w:rPr>
        <w:t>Point accuracy is summarized by RMSE, MAE, MASE, MAPE, symmetric MAPE, and directional accuracy. Pairwise Diebold-Mariano tests use squared-error loss. The first quarter of the static testing sequence supplies residual quantiles for nominal 80%, 90%, and 95% retrospective intervals; the remaining observations are evaluated for coverage, width, calibration error, and Winkler score.</w:t>
      </w:r>
    </w:p>
    <w:p>
      <w:pPr>
        <w:spacing w:after="160" w:line="320" w:lineRule="auto"/>
        <w:jc w:val="both"/>
      </w:pPr>
      <w:r>
        <w:rPr>
          <w:rFonts w:ascii="Calibri" w:hAnsi="Calibri"/>
          <w:b w:val="0"/>
          <w:i w:val="0"/>
          <w:color w:val="000000"/>
          <w:sz w:val="22"/>
        </w:rPr>
        <w:t>Scheme 1 takes the sign of the forecast price change. Scheme 1' applies an interval-width filter. Scheme 2 deducts 10 basis points when the position changes, and Scheme 2' combines costs and the uncertainty filter. Cumulative return, daily return, maximum drawdown, Sharpe ratio, transaction count, and hit rate are reported. These are mechanical retrospective simulations and do not include bid-ask spreads beyond the stated charge, market impact, liquidity constraints, margin, or contract-roll implementation.</w:t>
      </w:r>
    </w:p>
    <w:p>
      <w:pPr>
        <w:keepNext/>
        <w:spacing w:before="100" w:after="80"/>
      </w:pPr>
      <w:r>
        <w:rPr>
          <w:rFonts w:ascii="Calibri" w:hAnsi="Calibri"/>
          <w:b/>
          <w:i w:val="0"/>
          <w:color w:val="1F4D78"/>
          <w:sz w:val="18"/>
        </w:rPr>
        <w:t xml:space="preserve">Table 2. </w:t>
      </w:r>
      <w:r>
        <w:rPr>
          <w:rFonts w:ascii="Calibri" w:hAnsi="Calibri"/>
          <w:b w:val="0"/>
          <w:i/>
          <w:color w:val="000000"/>
          <w:sz w:val="18"/>
        </w:rPr>
        <w:t>Parameter settings used in this study.</w:t>
      </w:r>
    </w:p>
    <w:tbl>
      <w:tblPr>
        <w:tblStyle w:val="TableGrid"/>
        <w:tblW w:type="dxa" w:w="9360"/>
        <w:jc w:val="left"/>
        <w:tblLayout w:type="fixed"/>
        <w:tblLook w:firstColumn="1" w:firstRow="1" w:lastColumn="0" w:lastRow="0" w:noHBand="0" w:noVBand="1" w:val="04A0"/>
      </w:tblPr>
      <w:tblGrid>
        <w:gridCol w:w="2044"/>
        <w:gridCol w:w="3657"/>
        <w:gridCol w:w="3659"/>
      </w:tblGrid>
      <w:tr>
        <w:trPr>
          <w:tblHeader w:val="true"/>
        </w:trPr>
        <w:tc>
          <w:tcPr>
            <w:tcW w:type="dxa" w:w="2044"/>
            <w:shd w:fill="F4F6F9"/>
            <w:vAlign w:val="center"/>
          </w:tcPr>
          <w:p>
            <w:pPr>
              <w:jc w:val="center"/>
            </w:pPr>
            <w:r/>
            <w:r>
              <w:rPr>
                <w:rFonts w:ascii="Calibri" w:hAnsi="Calibri"/>
                <w:b/>
                <w:i w:val="0"/>
                <w:color w:val="0B2545"/>
                <w:sz w:val="14"/>
              </w:rPr>
              <w:t>Parameter</w:t>
            </w:r>
          </w:p>
        </w:tc>
        <w:tc>
          <w:tcPr>
            <w:tcW w:type="dxa" w:w="3657"/>
            <w:shd w:fill="F4F6F9"/>
            <w:vAlign w:val="center"/>
          </w:tcPr>
          <w:p>
            <w:pPr>
              <w:jc w:val="center"/>
            </w:pPr>
            <w:r/>
            <w:r>
              <w:rPr>
                <w:rFonts w:ascii="Calibri" w:hAnsi="Calibri"/>
                <w:b/>
                <w:i w:val="0"/>
                <w:color w:val="0B2545"/>
                <w:sz w:val="14"/>
              </w:rPr>
              <w:t>Setting</w:t>
            </w:r>
          </w:p>
        </w:tc>
        <w:tc>
          <w:tcPr>
            <w:tcW w:type="dxa" w:w="3659"/>
            <w:shd w:fill="F4F6F9"/>
            <w:vAlign w:val="center"/>
          </w:tcPr>
          <w:p>
            <w:pPr>
              <w:jc w:val="center"/>
            </w:pPr>
            <w:r/>
            <w:r>
              <w:rPr>
                <w:rFonts w:ascii="Calibri" w:hAnsi="Calibri"/>
                <w:b/>
                <w:i w:val="0"/>
                <w:color w:val="0B2545"/>
                <w:sz w:val="14"/>
              </w:rPr>
              <w:t>Function</w:t>
            </w:r>
          </w:p>
        </w:tc>
      </w:tr>
      <w:tr>
        <w:tc>
          <w:tcPr>
            <w:tcW w:type="dxa" w:w="2044"/>
            <w:vAlign w:val="center"/>
          </w:tcPr>
          <w:p>
            <w:pPr>
              <w:spacing w:after="0" w:line="240" w:lineRule="auto"/>
              <w:jc w:val="left"/>
            </w:pPr>
            <w:r/>
            <w:r>
              <w:rPr>
                <w:rFonts w:ascii="Calibri" w:hAnsi="Calibri"/>
                <w:b w:val="0"/>
                <w:i w:val="0"/>
                <w:color w:val="000000"/>
                <w:sz w:val="14"/>
              </w:rPr>
              <w:t>Chronological split</w:t>
            </w:r>
          </w:p>
        </w:tc>
        <w:tc>
          <w:tcPr>
            <w:tcW w:type="dxa" w:w="3657"/>
            <w:vAlign w:val="center"/>
          </w:tcPr>
          <w:p>
            <w:pPr>
              <w:spacing w:after="0" w:line="240" w:lineRule="auto"/>
              <w:jc w:val="center"/>
            </w:pPr>
            <w:r/>
            <w:r>
              <w:rPr>
                <w:rFonts w:ascii="Calibri" w:hAnsi="Calibri"/>
                <w:b w:val="0"/>
                <w:i w:val="0"/>
                <w:color w:val="000000"/>
                <w:sz w:val="14"/>
              </w:rPr>
              <w:t>80:20</w:t>
            </w:r>
          </w:p>
        </w:tc>
        <w:tc>
          <w:tcPr>
            <w:tcW w:type="dxa" w:w="3659"/>
            <w:vAlign w:val="center"/>
          </w:tcPr>
          <w:p>
            <w:pPr>
              <w:spacing w:after="0" w:line="240" w:lineRule="auto"/>
              <w:jc w:val="center"/>
            </w:pPr>
            <w:r/>
            <w:r>
              <w:rPr>
                <w:rFonts w:ascii="Calibri" w:hAnsi="Calibri"/>
                <w:b w:val="0"/>
                <w:i w:val="0"/>
                <w:color w:val="000000"/>
                <w:sz w:val="14"/>
              </w:rPr>
              <w:t>Static training and testing sets</w:t>
            </w:r>
          </w:p>
        </w:tc>
      </w:tr>
      <w:tr>
        <w:tc>
          <w:tcPr>
            <w:tcW w:type="dxa" w:w="2044"/>
            <w:vAlign w:val="center"/>
          </w:tcPr>
          <w:p>
            <w:pPr>
              <w:spacing w:after="0" w:line="240" w:lineRule="auto"/>
              <w:jc w:val="left"/>
            </w:pPr>
            <w:r/>
            <w:r>
              <w:rPr>
                <w:rFonts w:ascii="Calibri" w:hAnsi="Calibri"/>
                <w:b w:val="0"/>
                <w:i w:val="0"/>
                <w:color w:val="000000"/>
                <w:sz w:val="14"/>
              </w:rPr>
              <w:t>Lag order</w:t>
            </w:r>
          </w:p>
        </w:tc>
        <w:tc>
          <w:tcPr>
            <w:tcW w:type="dxa" w:w="3657"/>
            <w:vAlign w:val="center"/>
          </w:tcPr>
          <w:p>
            <w:pPr>
              <w:spacing w:after="0" w:line="240" w:lineRule="auto"/>
              <w:jc w:val="center"/>
            </w:pPr>
            <w:r/>
            <w:r>
              <w:rPr>
                <w:rFonts w:ascii="Calibri" w:hAnsi="Calibri"/>
                <w:b w:val="0"/>
                <w:i w:val="0"/>
                <w:color w:val="000000"/>
                <w:sz w:val="14"/>
              </w:rPr>
              <w:t>5</w:t>
            </w:r>
          </w:p>
        </w:tc>
        <w:tc>
          <w:tcPr>
            <w:tcW w:type="dxa" w:w="3659"/>
            <w:vAlign w:val="center"/>
          </w:tcPr>
          <w:p>
            <w:pPr>
              <w:spacing w:after="0" w:line="240" w:lineRule="auto"/>
              <w:jc w:val="center"/>
            </w:pPr>
            <w:r/>
            <w:r>
              <w:rPr>
                <w:rFonts w:ascii="Calibri" w:hAnsi="Calibri"/>
                <w:b w:val="0"/>
                <w:i w:val="0"/>
                <w:color w:val="000000"/>
                <w:sz w:val="14"/>
              </w:rPr>
              <w:t>Lagged target and indicator features</w:t>
            </w:r>
          </w:p>
        </w:tc>
      </w:tr>
      <w:tr>
        <w:tc>
          <w:tcPr>
            <w:tcW w:type="dxa" w:w="2044"/>
            <w:vAlign w:val="center"/>
          </w:tcPr>
          <w:p>
            <w:pPr>
              <w:spacing w:after="0" w:line="240" w:lineRule="auto"/>
              <w:jc w:val="left"/>
            </w:pPr>
            <w:r/>
            <w:r>
              <w:rPr>
                <w:rFonts w:ascii="Calibri" w:hAnsi="Calibri"/>
                <w:b w:val="0"/>
                <w:i w:val="0"/>
                <w:color w:val="000000"/>
                <w:sz w:val="14"/>
              </w:rPr>
              <w:t>VMD modes</w:t>
            </w:r>
          </w:p>
        </w:tc>
        <w:tc>
          <w:tcPr>
            <w:tcW w:type="dxa" w:w="3657"/>
            <w:vAlign w:val="center"/>
          </w:tcPr>
          <w:p>
            <w:pPr>
              <w:spacing w:after="0" w:line="240" w:lineRule="auto"/>
              <w:jc w:val="center"/>
            </w:pPr>
            <w:r/>
            <w:r>
              <w:rPr>
                <w:rFonts w:ascii="Calibri" w:hAnsi="Calibri"/>
                <w:b w:val="0"/>
                <w:i w:val="0"/>
                <w:color w:val="000000"/>
                <w:sz w:val="14"/>
              </w:rPr>
              <w:t>lithium_hydroxide: 9; lithium_carbonate: 8</w:t>
            </w:r>
          </w:p>
        </w:tc>
        <w:tc>
          <w:tcPr>
            <w:tcW w:type="dxa" w:w="3659"/>
            <w:vAlign w:val="center"/>
          </w:tcPr>
          <w:p>
            <w:pPr>
              <w:spacing w:after="0" w:line="240" w:lineRule="auto"/>
              <w:jc w:val="center"/>
            </w:pPr>
            <w:r/>
            <w:r>
              <w:rPr>
                <w:rFonts w:ascii="Calibri" w:hAnsi="Calibri"/>
                <w:b w:val="0"/>
                <w:i w:val="0"/>
                <w:color w:val="000000"/>
                <w:sz w:val="14"/>
              </w:rPr>
              <w:t>Target-specific decomposition</w:t>
            </w:r>
          </w:p>
        </w:tc>
      </w:tr>
      <w:tr>
        <w:tc>
          <w:tcPr>
            <w:tcW w:type="dxa" w:w="2044"/>
            <w:vAlign w:val="center"/>
          </w:tcPr>
          <w:p>
            <w:pPr>
              <w:spacing w:after="0" w:line="240" w:lineRule="auto"/>
              <w:jc w:val="left"/>
            </w:pPr>
            <w:r/>
            <w:r>
              <w:rPr>
                <w:rFonts w:ascii="Calibri" w:hAnsi="Calibri"/>
                <w:b w:val="0"/>
                <w:i w:val="0"/>
                <w:color w:val="000000"/>
                <w:sz w:val="14"/>
              </w:rPr>
              <w:t>LSTM hidden units</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One recurrent layer</w:t>
            </w:r>
          </w:p>
        </w:tc>
      </w:tr>
      <w:tr>
        <w:tc>
          <w:tcPr>
            <w:tcW w:type="dxa" w:w="2044"/>
            <w:vAlign w:val="center"/>
          </w:tcPr>
          <w:p>
            <w:pPr>
              <w:spacing w:after="0" w:line="240" w:lineRule="auto"/>
              <w:jc w:val="left"/>
            </w:pPr>
            <w:r/>
            <w:r>
              <w:rPr>
                <w:rFonts w:ascii="Calibri" w:hAnsi="Calibri"/>
                <w:b w:val="0"/>
                <w:i w:val="0"/>
                <w:color w:val="000000"/>
                <w:sz w:val="14"/>
              </w:rPr>
              <w:t>LSTM epochs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Training iterations</w:t>
            </w:r>
          </w:p>
        </w:tc>
      </w:tr>
      <w:tr>
        <w:tc>
          <w:tcPr>
            <w:tcW w:type="dxa" w:w="2044"/>
            <w:vAlign w:val="center"/>
          </w:tcPr>
          <w:p>
            <w:pPr>
              <w:spacing w:after="0" w:line="240" w:lineRule="auto"/>
              <w:jc w:val="left"/>
            </w:pPr>
            <w:r/>
            <w:r>
              <w:rPr>
                <w:rFonts w:ascii="Calibri" w:hAnsi="Calibri"/>
                <w:b w:val="0"/>
                <w:i w:val="0"/>
                <w:color w:val="000000"/>
                <w:sz w:val="14"/>
              </w:rPr>
              <w:t>LSTM batch size</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Mini-batch size</w:t>
            </w:r>
          </w:p>
        </w:tc>
      </w:tr>
      <w:tr>
        <w:tc>
          <w:tcPr>
            <w:tcW w:type="dxa" w:w="2044"/>
            <w:vAlign w:val="center"/>
          </w:tcPr>
          <w:p>
            <w:pPr>
              <w:spacing w:after="0" w:line="240" w:lineRule="auto"/>
              <w:jc w:val="left"/>
            </w:pPr>
            <w:r/>
            <w:r>
              <w:rPr>
                <w:rFonts w:ascii="Calibri" w:hAnsi="Calibri"/>
                <w:b w:val="0"/>
                <w:i w:val="0"/>
                <w:color w:val="000000"/>
                <w:sz w:val="14"/>
              </w:rPr>
              <w:t>RF estimators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SVR</w:t>
            </w:r>
          </w:p>
        </w:tc>
        <w:tc>
          <w:tcPr>
            <w:tcW w:type="dxa" w:w="3657"/>
            <w:vAlign w:val="center"/>
          </w:tcPr>
          <w:p>
            <w:pPr>
              <w:spacing w:after="0" w:line="240" w:lineRule="auto"/>
              <w:jc w:val="center"/>
            </w:pPr>
            <w:r/>
            <w:r>
              <w:rPr>
                <w:rFonts w:ascii="Calibri" w:hAnsi="Calibri"/>
                <w:b w:val="0"/>
                <w:i w:val="0"/>
                <w:color w:val="000000"/>
                <w:sz w:val="14"/>
              </w:rPr>
              <w:t>RBF; C=8.1; gamma=0.1</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Interval levels</w:t>
            </w:r>
          </w:p>
        </w:tc>
        <w:tc>
          <w:tcPr>
            <w:tcW w:type="dxa" w:w="3657"/>
            <w:vAlign w:val="center"/>
          </w:tcPr>
          <w:p>
            <w:pPr>
              <w:spacing w:after="0" w:line="240" w:lineRule="auto"/>
              <w:jc w:val="center"/>
            </w:pPr>
            <w:r/>
            <w:r>
              <w:rPr>
                <w:rFonts w:ascii="Calibri" w:hAnsi="Calibri"/>
                <w:b w:val="0"/>
                <w:i w:val="0"/>
                <w:color w:val="000000"/>
                <w:sz w:val="14"/>
              </w:rPr>
              <w:t>80%, 90%, 95%</w:t>
            </w:r>
          </w:p>
        </w:tc>
        <w:tc>
          <w:tcPr>
            <w:tcW w:type="dxa" w:w="3659"/>
            <w:vAlign w:val="center"/>
          </w:tcPr>
          <w:p>
            <w:pPr>
              <w:spacing w:after="0" w:line="240" w:lineRule="auto"/>
              <w:jc w:val="center"/>
            </w:pPr>
            <w:r/>
            <w:r>
              <w:rPr>
                <w:rFonts w:ascii="Calibri" w:hAnsi="Calibri"/>
                <w:b w:val="0"/>
                <w:i w:val="0"/>
                <w:color w:val="000000"/>
                <w:sz w:val="14"/>
              </w:rPr>
              <w:t>Residual-quantile intervals</w:t>
            </w:r>
          </w:p>
        </w:tc>
      </w:tr>
      <w:tr>
        <w:tc>
          <w:tcPr>
            <w:tcW w:type="dxa" w:w="2044"/>
            <w:vAlign w:val="center"/>
          </w:tcPr>
          <w:p>
            <w:pPr>
              <w:spacing w:after="0" w:line="240" w:lineRule="auto"/>
              <w:jc w:val="left"/>
            </w:pPr>
            <w:r/>
            <w:r>
              <w:rPr>
                <w:rFonts w:ascii="Calibri" w:hAnsi="Calibri"/>
                <w:b w:val="0"/>
                <w:i w:val="0"/>
                <w:color w:val="000000"/>
                <w:sz w:val="14"/>
              </w:rPr>
              <w:t>Random seed</w:t>
            </w:r>
          </w:p>
        </w:tc>
        <w:tc>
          <w:tcPr>
            <w:tcW w:type="dxa" w:w="3657"/>
            <w:vAlign w:val="center"/>
          </w:tcPr>
          <w:p>
            <w:pPr>
              <w:spacing w:after="0" w:line="240" w:lineRule="auto"/>
              <w:jc w:val="center"/>
            </w:pPr>
            <w:r/>
            <w:r>
              <w:rPr>
                <w:rFonts w:ascii="Calibri" w:hAnsi="Calibri"/>
                <w:b w:val="0"/>
                <w:i w:val="0"/>
                <w:color w:val="000000"/>
                <w:sz w:val="14"/>
              </w:rPr>
              <w:t>42</w:t>
            </w:r>
          </w:p>
        </w:tc>
        <w:tc>
          <w:tcPr>
            <w:tcW w:type="dxa" w:w="3659"/>
            <w:vAlign w:val="center"/>
          </w:tcPr>
          <w:p>
            <w:pPr>
              <w:spacing w:after="0" w:line="240" w:lineRule="auto"/>
              <w:jc w:val="center"/>
            </w:pPr>
            <w:r/>
            <w:r>
              <w:rPr>
                <w:rFonts w:ascii="Calibri" w:hAnsi="Calibri"/>
                <w:b w:val="0"/>
                <w:i w:val="0"/>
                <w:color w:val="000000"/>
                <w:sz w:val="14"/>
              </w:rPr>
              <w:t>Reproducibility</w:t>
            </w:r>
          </w:p>
        </w:tc>
      </w:tr>
    </w:tbl>
    <w:p>
      <w:pPr>
        <w:spacing w:after="60"/>
      </w:pPr>
    </w:p>
    <w:p>
      <w:r>
        <w:br w:type="page"/>
      </w:r>
    </w:p>
    <w:p>
      <w:pPr>
        <w:pStyle w:val="Heading3"/>
      </w:pPr>
      <w:r>
        <w:t>Interpretation of Table 2</w:t>
      </w:r>
    </w:p>
    <w:p>
      <w:pPr>
        <w:spacing w:after="160" w:line="320" w:lineRule="auto"/>
        <w:jc w:val="both"/>
      </w:pPr>
      <w:r>
        <w:rPr>
          <w:rFonts w:ascii="Calibri" w:hAnsi="Calibri"/>
          <w:b/>
          <w:i w:val="0"/>
          <w:color w:val="000000"/>
          <w:sz w:val="22"/>
        </w:rPr>
        <w:t>Design choices:</w:t>
      </w:r>
      <w:r>
        <w:rPr>
          <w:rFonts w:ascii="Calibri" w:hAnsi="Calibri"/>
          <w:b w:val="0"/>
          <w:i w:val="0"/>
          <w:color w:val="000000"/>
          <w:sz w:val="22"/>
        </w:rPr>
        <w:t xml:space="preserve"> Five lags provide short daily memory without exhausting a sample of fewer than 720 aligned observations. Hydroxide uses nine VMD modes and carbonate eight because the two price series have different decomposition structures.</w:t>
      </w:r>
    </w:p>
    <w:p>
      <w:pPr>
        <w:spacing w:after="160" w:line="320" w:lineRule="auto"/>
        <w:jc w:val="both"/>
      </w:pPr>
      <w:r>
        <w:rPr>
          <w:rFonts w:ascii="Calibri" w:hAnsi="Calibri"/>
          <w:b/>
          <w:i w:val="0"/>
          <w:color w:val="000000"/>
          <w:sz w:val="22"/>
        </w:rPr>
        <w:t>Model capacity:</w:t>
      </w:r>
      <w:r>
        <w:rPr>
          <w:rFonts w:ascii="Calibri" w:hAnsi="Calibri"/>
          <w:b w:val="0"/>
          <w:i w:val="0"/>
          <w:color w:val="000000"/>
          <w:sz w:val="22"/>
        </w:rPr>
        <w:t xml:space="preserve"> The modest LSTM, 100-tree RF, and pre-specified RBF-SVR settings limit unnecessary capacity in a short daily sample; seed 42 fixes stochastic initialization and supports exact reproducibility.</w:t>
      </w:r>
    </w:p>
    <w:p>
      <w:pPr>
        <w:spacing w:after="160" w:line="320" w:lineRule="auto"/>
        <w:jc w:val="both"/>
      </w:pPr>
      <w:r>
        <w:rPr>
          <w:rFonts w:ascii="Calibri" w:hAnsi="Calibri"/>
          <w:b/>
          <w:i w:val="0"/>
          <w:color w:val="000000"/>
          <w:sz w:val="22"/>
        </w:rPr>
        <w:t>Consequence for inference:</w:t>
      </w:r>
      <w:r>
        <w:rPr>
          <w:rFonts w:ascii="Calibri" w:hAnsi="Calibri"/>
          <w:b w:val="0"/>
          <w:i w:val="0"/>
          <w:color w:val="000000"/>
          <w:sz w:val="22"/>
        </w:rPr>
        <w:t xml:space="preserve"> The 80:20 split is chronological but static. Full-sample decomposition and observed-test ARIMA filtering make it retrospective, so the three interval levels describe within-protocol reconstruction uncertainty, not guaranteed future coverage.</w:t>
      </w:r>
    </w:p>
    <w:p>
      <w:pPr>
        <w:sectPr>
          <w:headerReference w:type="default" r:id="rId9"/>
          <w:footerReference w:type="default" r:id="rId10"/>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3. </w:t>
      </w:r>
      <w:r>
        <w:rPr>
          <w:rFonts w:ascii="Calibri" w:hAnsi="Calibri"/>
          <w:b w:val="0"/>
          <w:i/>
          <w:color w:val="000000"/>
          <w:sz w:val="18"/>
        </w:rPr>
        <w:t>Indicators used in this study.</w:t>
      </w:r>
    </w:p>
    <w:tbl>
      <w:tblPr>
        <w:tblStyle w:val="TableGrid"/>
        <w:tblW w:type="dxa" w:w="13680"/>
        <w:jc w:val="left"/>
        <w:tblLayout w:type="fixed"/>
        <w:tblLook w:firstColumn="1" w:firstRow="1" w:lastColumn="0" w:lastRow="0" w:noHBand="0" w:noVBand="1" w:val="04A0"/>
      </w:tblPr>
      <w:tblGrid>
        <w:gridCol w:w="3012"/>
        <w:gridCol w:w="4267"/>
        <w:gridCol w:w="2133"/>
        <w:gridCol w:w="4268"/>
      </w:tblGrid>
      <w:tr>
        <w:trPr>
          <w:tblHeader w:val="true"/>
        </w:trPr>
        <w:tc>
          <w:tcPr>
            <w:tcW w:type="dxa" w:w="3012"/>
            <w:shd w:fill="F4F6F9"/>
            <w:vAlign w:val="center"/>
          </w:tcPr>
          <w:p>
            <w:pPr>
              <w:jc w:val="center"/>
            </w:pPr>
            <w:r/>
            <w:r>
              <w:rPr>
                <w:rFonts w:ascii="Calibri" w:hAnsi="Calibri"/>
                <w:b/>
                <w:i w:val="0"/>
                <w:color w:val="0B2545"/>
                <w:sz w:val="12"/>
              </w:rPr>
              <w:t>Indicator</w:t>
            </w:r>
          </w:p>
        </w:tc>
        <w:tc>
          <w:tcPr>
            <w:tcW w:type="dxa" w:w="4267"/>
            <w:shd w:fill="F4F6F9"/>
            <w:vAlign w:val="center"/>
          </w:tcPr>
          <w:p>
            <w:pPr>
              <w:jc w:val="center"/>
            </w:pPr>
            <w:r/>
            <w:r>
              <w:rPr>
                <w:rFonts w:ascii="Calibri" w:hAnsi="Calibri"/>
                <w:b/>
                <w:i w:val="0"/>
                <w:color w:val="0B2545"/>
                <w:sz w:val="12"/>
              </w:rPr>
              <w:t>Definition</w:t>
            </w:r>
          </w:p>
        </w:tc>
        <w:tc>
          <w:tcPr>
            <w:tcW w:type="dxa" w:w="2133"/>
            <w:shd w:fill="F4F6F9"/>
            <w:vAlign w:val="center"/>
          </w:tcPr>
          <w:p>
            <w:pPr>
              <w:jc w:val="center"/>
            </w:pPr>
            <w:r/>
            <w:r>
              <w:rPr>
                <w:rFonts w:ascii="Calibri" w:hAnsi="Calibri"/>
                <w:b/>
                <w:i w:val="0"/>
                <w:color w:val="0B2545"/>
                <w:sz w:val="12"/>
              </w:rPr>
              <w:t>Data modality</w:t>
            </w:r>
          </w:p>
        </w:tc>
        <w:tc>
          <w:tcPr>
            <w:tcW w:type="dxa" w:w="4268"/>
            <w:shd w:fill="F4F6F9"/>
            <w:vAlign w:val="center"/>
          </w:tcPr>
          <w:p>
            <w:pPr>
              <w:jc w:val="center"/>
            </w:pPr>
            <w:r/>
            <w:r>
              <w:rPr>
                <w:rFonts w:ascii="Calibri" w:hAnsi="Calibri"/>
                <w:b/>
                <w:i w:val="0"/>
                <w:color w:val="0B2545"/>
                <w:sz w:val="12"/>
              </w:rPr>
              <w:t>Treatment</w:t>
            </w:r>
          </w:p>
        </w:tc>
      </w:tr>
      <w:tr>
        <w:tc>
          <w:tcPr>
            <w:tcW w:type="dxa" w:w="3012"/>
            <w:vAlign w:val="center"/>
          </w:tcPr>
          <w:p>
            <w:pPr>
              <w:spacing w:after="0" w:line="240" w:lineRule="auto"/>
              <w:jc w:val="left"/>
            </w:pPr>
            <w:r/>
            <w:r>
              <w:rPr>
                <w:rFonts w:ascii="Calibri" w:hAnsi="Calibri"/>
                <w:b w:val="0"/>
                <w:i w:val="0"/>
                <w:color w:val="000000"/>
                <w:sz w:val="12"/>
              </w:rPr>
              <w:t>Cross_Lithium_Close</w:t>
            </w:r>
          </w:p>
        </w:tc>
        <w:tc>
          <w:tcPr>
            <w:tcW w:type="dxa" w:w="4267"/>
            <w:vAlign w:val="center"/>
          </w:tcPr>
          <w:p>
            <w:pPr>
              <w:spacing w:after="0" w:line="240" w:lineRule="auto"/>
              <w:jc w:val="center"/>
            </w:pPr>
            <w:r/>
            <w:r>
              <w:rPr>
                <w:rFonts w:ascii="Calibri" w:hAnsi="Calibri"/>
                <w:b w:val="0"/>
                <w:i w:val="0"/>
                <w:color w:val="000000"/>
                <w:sz w:val="12"/>
              </w:rPr>
              <w:t>Price of the other lithium contract/spot target</w:t>
            </w:r>
          </w:p>
        </w:tc>
        <w:tc>
          <w:tcPr>
            <w:tcW w:type="dxa" w:w="2133"/>
            <w:vAlign w:val="center"/>
          </w:tcPr>
          <w:p>
            <w:pPr>
              <w:spacing w:after="0" w:line="240" w:lineRule="auto"/>
              <w:jc w:val="center"/>
            </w:pPr>
            <w:r/>
            <w:r>
              <w:rPr>
                <w:rFonts w:ascii="Calibri" w:hAnsi="Calibri"/>
                <w:b w:val="0"/>
                <w:i w:val="0"/>
                <w:color w:val="000000"/>
                <w:sz w:val="12"/>
              </w:rPr>
              <w:t>Cross Lithium</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Albemarle_Close</w:t>
            </w:r>
          </w:p>
        </w:tc>
        <w:tc>
          <w:tcPr>
            <w:tcW w:type="dxa" w:w="4267"/>
            <w:vAlign w:val="center"/>
          </w:tcPr>
          <w:p>
            <w:pPr>
              <w:spacing w:after="0" w:line="240" w:lineRule="auto"/>
              <w:jc w:val="center"/>
            </w:pPr>
            <w:r/>
            <w:r>
              <w:rPr>
                <w:rFonts w:ascii="Calibri" w:hAnsi="Calibri"/>
                <w:b w:val="0"/>
                <w:i w:val="0"/>
                <w:color w:val="000000"/>
                <w:sz w:val="12"/>
              </w:rPr>
              <w:t>Albemarle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Ganfeng_Lithium_Close</w:t>
            </w:r>
          </w:p>
        </w:tc>
        <w:tc>
          <w:tcPr>
            <w:tcW w:type="dxa" w:w="4267"/>
            <w:vAlign w:val="center"/>
          </w:tcPr>
          <w:p>
            <w:pPr>
              <w:spacing w:after="0" w:line="240" w:lineRule="auto"/>
              <w:jc w:val="center"/>
            </w:pPr>
            <w:r/>
            <w:r>
              <w:rPr>
                <w:rFonts w:ascii="Calibri" w:hAnsi="Calibri"/>
                <w:b w:val="0"/>
                <w:i w:val="0"/>
                <w:color w:val="000000"/>
                <w:sz w:val="12"/>
              </w:rPr>
              <w:t>Ganfeng Lithium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w:t>
            </w:r>
          </w:p>
        </w:tc>
        <w:tc>
          <w:tcPr>
            <w:tcW w:type="dxa" w:w="4267"/>
            <w:vAlign w:val="center"/>
          </w:tcPr>
          <w:p>
            <w:pPr>
              <w:spacing w:after="0" w:line="240" w:lineRule="auto"/>
              <w:jc w:val="center"/>
            </w:pPr>
            <w:r/>
            <w:r>
              <w:rPr>
                <w:rFonts w:ascii="Calibri" w:hAnsi="Calibri"/>
                <w:b w:val="0"/>
                <w:i w:val="0"/>
                <w:color w:val="000000"/>
                <w:sz w:val="12"/>
              </w:rPr>
              <w:t>Google Trends: lithium</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Trends_lithium_price</w:t>
            </w:r>
          </w:p>
        </w:tc>
        <w:tc>
          <w:tcPr>
            <w:tcW w:type="dxa" w:w="4267"/>
            <w:vAlign w:val="center"/>
          </w:tcPr>
          <w:p>
            <w:pPr>
              <w:spacing w:after="0" w:line="240" w:lineRule="auto"/>
              <w:jc w:val="center"/>
            </w:pPr>
            <w:r/>
            <w:r>
              <w:rPr>
                <w:rFonts w:ascii="Calibri" w:hAnsi="Calibri"/>
                <w:b w:val="0"/>
                <w:i w:val="0"/>
                <w:color w:val="000000"/>
                <w:sz w:val="12"/>
              </w:rPr>
              <w:t>Google Trends: lithium price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Trends_lithium_carbonate</w:t>
            </w:r>
          </w:p>
        </w:tc>
        <w:tc>
          <w:tcPr>
            <w:tcW w:type="dxa" w:w="4267"/>
            <w:vAlign w:val="center"/>
          </w:tcPr>
          <w:p>
            <w:pPr>
              <w:spacing w:after="0" w:line="240" w:lineRule="auto"/>
              <w:jc w:val="center"/>
            </w:pPr>
            <w:r/>
            <w:r>
              <w:rPr>
                <w:rFonts w:ascii="Calibri" w:hAnsi="Calibri"/>
                <w:b w:val="0"/>
                <w:i w:val="0"/>
                <w:color w:val="000000"/>
                <w:sz w:val="12"/>
              </w:rPr>
              <w:t>Google Trends: lithium carbonate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Trends_lithium_hydroxide</w:t>
            </w:r>
          </w:p>
        </w:tc>
        <w:tc>
          <w:tcPr>
            <w:tcW w:type="dxa" w:w="4267"/>
            <w:vAlign w:val="center"/>
          </w:tcPr>
          <w:p>
            <w:pPr>
              <w:spacing w:after="0" w:line="240" w:lineRule="auto"/>
              <w:jc w:val="center"/>
            </w:pPr>
            <w:r/>
            <w:r>
              <w:rPr>
                <w:rFonts w:ascii="Calibri" w:hAnsi="Calibri"/>
                <w:b w:val="0"/>
                <w:i w:val="0"/>
                <w:color w:val="000000"/>
                <w:sz w:val="12"/>
              </w:rPr>
              <w:t>Google Trends: lithium hydroxide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Trends_lithium_battery</w:t>
            </w:r>
          </w:p>
        </w:tc>
        <w:tc>
          <w:tcPr>
            <w:tcW w:type="dxa" w:w="4267"/>
            <w:vAlign w:val="center"/>
          </w:tcPr>
          <w:p>
            <w:pPr>
              <w:spacing w:after="0" w:line="240" w:lineRule="auto"/>
              <w:jc w:val="center"/>
            </w:pPr>
            <w:r/>
            <w:r>
              <w:rPr>
                <w:rFonts w:ascii="Calibri" w:hAnsi="Calibri"/>
                <w:b w:val="0"/>
                <w:i w:val="0"/>
                <w:color w:val="000000"/>
                <w:sz w:val="12"/>
              </w:rPr>
              <w:t>Google Trends: lithium battery</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News_Article_Count</w:t>
            </w:r>
          </w:p>
        </w:tc>
        <w:tc>
          <w:tcPr>
            <w:tcW w:type="dxa" w:w="4267"/>
            <w:vAlign w:val="center"/>
          </w:tcPr>
          <w:p>
            <w:pPr>
              <w:spacing w:after="0" w:line="240" w:lineRule="auto"/>
              <w:jc w:val="center"/>
            </w:pPr>
            <w:r/>
            <w:r>
              <w:rPr>
                <w:rFonts w:ascii="Calibri" w:hAnsi="Calibri"/>
                <w:b w:val="0"/>
                <w:i w:val="0"/>
                <w:color w:val="000000"/>
                <w:sz w:val="12"/>
              </w:rPr>
              <w:t>Lithium-headline volume</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News_TextBlob_Polarity</w:t>
            </w:r>
          </w:p>
        </w:tc>
        <w:tc>
          <w:tcPr>
            <w:tcW w:type="dxa" w:w="4267"/>
            <w:vAlign w:val="center"/>
          </w:tcPr>
          <w:p>
            <w:pPr>
              <w:spacing w:after="0" w:line="240" w:lineRule="auto"/>
              <w:jc w:val="center"/>
            </w:pPr>
            <w:r/>
            <w:r>
              <w:rPr>
                <w:rFonts w:ascii="Calibri" w:hAnsi="Calibri"/>
                <w:b w:val="0"/>
                <w:i w:val="0"/>
                <w:color w:val="000000"/>
                <w:sz w:val="12"/>
              </w:rPr>
              <w:t>Lexicon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News_FinBERT_Score</w:t>
            </w:r>
          </w:p>
        </w:tc>
        <w:tc>
          <w:tcPr>
            <w:tcW w:type="dxa" w:w="4267"/>
            <w:vAlign w:val="center"/>
          </w:tcPr>
          <w:p>
            <w:pPr>
              <w:spacing w:after="0" w:line="240" w:lineRule="auto"/>
              <w:jc w:val="center"/>
            </w:pPr>
            <w:r/>
            <w:r>
              <w:rPr>
                <w:rFonts w:ascii="Calibri" w:hAnsi="Calibri"/>
                <w:b w:val="0"/>
                <w:i w:val="0"/>
                <w:color w:val="000000"/>
                <w:sz w:val="12"/>
              </w:rPr>
              <w:t>Financial-language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SP500</w:t>
            </w:r>
          </w:p>
        </w:tc>
        <w:tc>
          <w:tcPr>
            <w:tcW w:type="dxa" w:w="4267"/>
            <w:vAlign w:val="center"/>
          </w:tcPr>
          <w:p>
            <w:pPr>
              <w:spacing w:after="0" w:line="240" w:lineRule="auto"/>
              <w:jc w:val="center"/>
            </w:pPr>
            <w:r/>
            <w:r>
              <w:rPr>
                <w:rFonts w:ascii="Calibri" w:hAnsi="Calibri"/>
                <w:b w:val="0"/>
                <w:i w:val="0"/>
                <w:color w:val="000000"/>
                <w:sz w:val="12"/>
              </w:rPr>
              <w:t>S&amp;P 500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VIX</w:t>
            </w:r>
          </w:p>
        </w:tc>
        <w:tc>
          <w:tcPr>
            <w:tcW w:type="dxa" w:w="4267"/>
            <w:vAlign w:val="center"/>
          </w:tcPr>
          <w:p>
            <w:pPr>
              <w:spacing w:after="0" w:line="240" w:lineRule="auto"/>
              <w:jc w:val="center"/>
            </w:pPr>
            <w:r/>
            <w:r>
              <w:rPr>
                <w:rFonts w:ascii="Calibri" w:hAnsi="Calibri"/>
                <w:b w:val="0"/>
                <w:i w:val="0"/>
                <w:color w:val="000000"/>
                <w:sz w:val="12"/>
              </w:rPr>
              <w:t>CBOE VIX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US_Dollar_Index</w:t>
            </w:r>
          </w:p>
        </w:tc>
        <w:tc>
          <w:tcPr>
            <w:tcW w:type="dxa" w:w="4267"/>
            <w:vAlign w:val="center"/>
          </w:tcPr>
          <w:p>
            <w:pPr>
              <w:spacing w:after="0" w:line="240" w:lineRule="auto"/>
              <w:jc w:val="center"/>
            </w:pPr>
            <w:r/>
            <w:r>
              <w:rPr>
                <w:rFonts w:ascii="Calibri" w:hAnsi="Calibri"/>
                <w:b w:val="0"/>
                <w:i w:val="0"/>
                <w:color w:val="000000"/>
                <w:sz w:val="12"/>
              </w:rPr>
              <w:t>US dollar index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MVIS_Critical_Minerals</w:t>
            </w:r>
          </w:p>
        </w:tc>
        <w:tc>
          <w:tcPr>
            <w:tcW w:type="dxa" w:w="4267"/>
            <w:vAlign w:val="center"/>
          </w:tcPr>
          <w:p>
            <w:pPr>
              <w:spacing w:after="0" w:line="240" w:lineRule="auto"/>
              <w:jc w:val="center"/>
            </w:pPr>
            <w:r/>
            <w:r>
              <w:rPr>
                <w:rFonts w:ascii="Calibri" w:hAnsi="Calibri"/>
                <w:b w:val="0"/>
                <w:i w:val="0"/>
                <w:color w:val="000000"/>
                <w:sz w:val="12"/>
              </w:rPr>
              <w:t>MVIS Global Rare Earth/Strategic Metals index</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bl>
    <w:p>
      <w:pPr>
        <w:spacing w:after="60"/>
      </w:pPr>
    </w:p>
    <w:p>
      <w:pPr>
        <w:pStyle w:val="Heading3"/>
      </w:pPr>
      <w:r>
        <w:t>Interpretation of Table 3</w:t>
      </w:r>
    </w:p>
    <w:p>
      <w:pPr>
        <w:spacing w:after="160" w:line="320" w:lineRule="auto"/>
        <w:jc w:val="both"/>
      </w:pPr>
      <w:r>
        <w:rPr>
          <w:rFonts w:ascii="Calibri" w:hAnsi="Calibri"/>
          <w:b/>
          <w:i w:val="0"/>
          <w:color w:val="000000"/>
          <w:sz w:val="22"/>
        </w:rPr>
        <w:t>Information architecture:</w:t>
      </w:r>
      <w:r>
        <w:rPr>
          <w:rFonts w:ascii="Calibri" w:hAnsi="Calibri"/>
          <w:b w:val="0"/>
          <w:i w:val="0"/>
          <w:color w:val="000000"/>
          <w:sz w:val="22"/>
        </w:rPr>
        <w:t xml:space="preserve"> The 15 indicators form five economically distinct blocks: one cross-lithium price, two lithium-equity signals, five Google Trends attention series, three lithium-news variables, and four market controls. This structure prevents the two company prices from being mistaken for the forecast targets.</w:t>
      </w:r>
    </w:p>
    <w:p>
      <w:pPr>
        <w:spacing w:after="160" w:line="320" w:lineRule="auto"/>
        <w:jc w:val="both"/>
      </w:pPr>
      <w:r>
        <w:rPr>
          <w:rFonts w:ascii="Calibri" w:hAnsi="Calibri"/>
          <w:b/>
          <w:i w:val="0"/>
          <w:color w:val="000000"/>
          <w:sz w:val="22"/>
        </w:rPr>
        <w:t>Economic interpretation:</w:t>
      </w:r>
      <w:r>
        <w:rPr>
          <w:rFonts w:ascii="Calibri" w:hAnsi="Calibri"/>
          <w:b w:val="0"/>
          <w:i w:val="0"/>
          <w:color w:val="000000"/>
          <w:sz w:val="22"/>
        </w:rPr>
        <w:t xml:space="preserve"> Cross-lithium price captures linkage between hydroxide and carbonate; Albemarle and Ganfeng proxy listed-market expectations; attention and news variables capture information demand and tone; and the S&amp;P 500, VIX, dollar, and MVIS variables capture broad risk and sector conditions.</w:t>
      </w:r>
    </w:p>
    <w:p>
      <w:pPr>
        <w:spacing w:after="160" w:line="320" w:lineRule="auto"/>
        <w:jc w:val="both"/>
      </w:pPr>
      <w:r>
        <w:rPr>
          <w:rFonts w:ascii="Calibri" w:hAnsi="Calibri"/>
          <w:b/>
          <w:i w:val="0"/>
          <w:color w:val="000000"/>
          <w:sz w:val="22"/>
        </w:rPr>
        <w:t>Timing qualification:</w:t>
      </w:r>
      <w:r>
        <w:rPr>
          <w:rFonts w:ascii="Calibri" w:hAnsi="Calibri"/>
          <w:b w:val="0"/>
          <w:i w:val="0"/>
          <w:color w:val="000000"/>
          <w:sz w:val="22"/>
        </w:rPr>
        <w:t xml:space="preserve"> Indicators are aligned to target dates and lagged in the model frame, but lagging alone does not make the overall experiment causal. Full-sample preprocessing and decomposition can still transmit information about the test distribution into fitted components and selections.</w:t>
      </w:r>
    </w:p>
    <w:p>
      <w:pPr>
        <w:sectPr>
          <w:pgSz w:w="15840" w:h="12240" w:orient="landscape"/>
          <w:pgMar w:top="1037" w:right="1037" w:bottom="1037" w:left="1037" w:header="605" w:footer="605" w:gutter="0"/>
          <w:cols w:space="720"/>
          <w:docGrid w:linePitch="360"/>
        </w:sectPr>
      </w:pPr>
    </w:p>
    <w:p>
      <w:pPr>
        <w:pStyle w:val="Heading1"/>
      </w:pPr>
      <w:r>
        <w:t>4. Data and descriptive evidence</w:t>
      </w:r>
    </w:p>
    <w:p>
      <w:pPr>
        <w:spacing w:after="160" w:line="320" w:lineRule="auto"/>
        <w:jc w:val="both"/>
      </w:pPr>
      <w:r>
        <w:rPr>
          <w:rFonts w:ascii="Calibri" w:hAnsi="Calibri"/>
          <w:b w:val="0"/>
          <w:i w:val="0"/>
          <w:color w:val="000000"/>
          <w:sz w:val="22"/>
        </w:rPr>
        <w:t>The targets are the COMEX lithium hydroxide CIF CJK electronic futures continuation and the SMM 99.5% battery-grade domestic lithium carbonate spot series. The common multimodal sample begins in May 2023 and ends in March 2026. Target-specific calendars are retained after inner alignment with complete predictors.</w:t>
      </w:r>
    </w:p>
    <w:p>
      <w:pPr>
        <w:spacing w:after="160" w:line="320" w:lineRule="auto"/>
        <w:jc w:val="both"/>
      </w:pPr>
      <w:r>
        <w:rPr>
          <w:rFonts w:ascii="Calibri" w:hAnsi="Calibri"/>
          <w:b w:val="0"/>
          <w:i w:val="0"/>
          <w:color w:val="000000"/>
          <w:sz w:val="22"/>
        </w:rPr>
        <w:t>The information set contains the other lithium price, Albemarle and Ganfeng equity closes, five jointly normalized Google Trends series, lithium-specific headline volume, TextBlob polarity, FinBERT sentiment, the S&amp;P 500, VIX, US dollar index, and MVIS critical-minerals index. Company prices are signals, not forecast targets. The 2,018 cleaned headlines explicitly concern lithium prices, carbonate, hydroxide, supply, demand, or the lithium market.</w:t>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4. </w:t>
      </w:r>
      <w:r>
        <w:rPr>
          <w:rFonts w:ascii="Calibri" w:hAnsi="Calibri"/>
          <w:b w:val="0"/>
          <w:i/>
          <w:color w:val="000000"/>
          <w:sz w:val="18"/>
        </w:rPr>
        <w:t>Statistical information for the forecasting targets and multimodal indicators.</w:t>
      </w:r>
    </w:p>
    <w:tbl>
      <w:tblPr>
        <w:tblStyle w:val="TableGrid"/>
        <w:tblW w:type="dxa" w:w="13680"/>
        <w:jc w:val="left"/>
        <w:tblLayout w:type="fixed"/>
        <w:tblLook w:firstColumn="1" w:firstRow="1" w:lastColumn="0" w:lastRow="0" w:noHBand="0" w:noVBand="1" w:val="04A0"/>
      </w:tblPr>
      <w:tblGrid>
        <w:gridCol w:w="4605"/>
        <w:gridCol w:w="2302"/>
        <w:gridCol w:w="1083"/>
        <w:gridCol w:w="1489"/>
        <w:gridCol w:w="1354"/>
        <w:gridCol w:w="1354"/>
        <w:gridCol w:w="1493"/>
      </w:tblGrid>
      <w:tr>
        <w:trPr>
          <w:tblHeader w:val="true"/>
        </w:trPr>
        <w:tc>
          <w:tcPr>
            <w:tcW w:type="dxa" w:w="4605"/>
            <w:shd w:fill="F4F6F9"/>
            <w:vAlign w:val="center"/>
          </w:tcPr>
          <w:p>
            <w:pPr>
              <w:jc w:val="center"/>
            </w:pPr>
            <w:r/>
            <w:r>
              <w:rPr>
                <w:rFonts w:ascii="Calibri" w:hAnsi="Calibri"/>
                <w:b/>
                <w:i w:val="0"/>
                <w:color w:val="0B2545"/>
                <w:sz w:val="11"/>
              </w:rPr>
              <w:t>Series</w:t>
            </w:r>
          </w:p>
        </w:tc>
        <w:tc>
          <w:tcPr>
            <w:tcW w:type="dxa" w:w="2302"/>
            <w:shd w:fill="F4F6F9"/>
            <w:vAlign w:val="center"/>
          </w:tcPr>
          <w:p>
            <w:pPr>
              <w:jc w:val="center"/>
            </w:pPr>
            <w:r/>
            <w:r>
              <w:rPr>
                <w:rFonts w:ascii="Calibri" w:hAnsi="Calibri"/>
                <w:b/>
                <w:i w:val="0"/>
                <w:color w:val="0B2545"/>
                <w:sz w:val="11"/>
              </w:rPr>
              <w:t>Panel</w:t>
            </w:r>
          </w:p>
        </w:tc>
        <w:tc>
          <w:tcPr>
            <w:tcW w:type="dxa" w:w="1083"/>
            <w:shd w:fill="F4F6F9"/>
            <w:vAlign w:val="center"/>
          </w:tcPr>
          <w:p>
            <w:pPr>
              <w:jc w:val="center"/>
            </w:pPr>
            <w:r/>
            <w:r>
              <w:rPr>
                <w:rFonts w:ascii="Calibri" w:hAnsi="Calibri"/>
                <w:b/>
                <w:i w:val="0"/>
                <w:color w:val="0B2545"/>
                <w:sz w:val="11"/>
              </w:rPr>
              <w:t>N</w:t>
            </w:r>
          </w:p>
        </w:tc>
        <w:tc>
          <w:tcPr>
            <w:tcW w:type="dxa" w:w="1489"/>
            <w:shd w:fill="F4F6F9"/>
            <w:vAlign w:val="center"/>
          </w:tcPr>
          <w:p>
            <w:pPr>
              <w:jc w:val="center"/>
            </w:pPr>
            <w:r/>
            <w:r>
              <w:rPr>
                <w:rFonts w:ascii="Calibri" w:hAnsi="Calibri"/>
                <w:b/>
                <w:i w:val="0"/>
                <w:color w:val="0B2545"/>
                <w:sz w:val="11"/>
              </w:rPr>
              <w:t>Mean</w:t>
            </w:r>
          </w:p>
        </w:tc>
        <w:tc>
          <w:tcPr>
            <w:tcW w:type="dxa" w:w="1354"/>
            <w:shd w:fill="F4F6F9"/>
            <w:vAlign w:val="center"/>
          </w:tcPr>
          <w:p>
            <w:pPr>
              <w:jc w:val="center"/>
            </w:pPr>
            <w:r/>
            <w:r>
              <w:rPr>
                <w:rFonts w:ascii="Calibri" w:hAnsi="Calibri"/>
                <w:b/>
                <w:i w:val="0"/>
                <w:color w:val="0B2545"/>
                <w:sz w:val="11"/>
              </w:rPr>
              <w:t>Std. dev.</w:t>
            </w:r>
          </w:p>
        </w:tc>
        <w:tc>
          <w:tcPr>
            <w:tcW w:type="dxa" w:w="1354"/>
            <w:shd w:fill="F4F6F9"/>
            <w:vAlign w:val="center"/>
          </w:tcPr>
          <w:p>
            <w:pPr>
              <w:jc w:val="center"/>
            </w:pPr>
            <w:r/>
            <w:r>
              <w:rPr>
                <w:rFonts w:ascii="Calibri" w:hAnsi="Calibri"/>
                <w:b/>
                <w:i w:val="0"/>
                <w:color w:val="0B2545"/>
                <w:sz w:val="11"/>
              </w:rPr>
              <w:t>Minimum</w:t>
            </w:r>
          </w:p>
        </w:tc>
        <w:tc>
          <w:tcPr>
            <w:tcW w:type="dxa" w:w="1493"/>
            <w:shd w:fill="F4F6F9"/>
            <w:vAlign w:val="center"/>
          </w:tcPr>
          <w:p>
            <w:pPr>
              <w:jc w:val="center"/>
            </w:pPr>
            <w:r/>
            <w:r>
              <w:rPr>
                <w:rFonts w:ascii="Calibri" w:hAnsi="Calibri"/>
                <w:b/>
                <w:i w:val="0"/>
                <w:color w:val="0B2545"/>
                <w:sz w:val="11"/>
              </w:rPr>
              <w:t>Maximum</w:t>
            </w:r>
          </w:p>
        </w:tc>
      </w:tr>
      <w:tr>
        <w:tc>
          <w:tcPr>
            <w:tcW w:type="dxa" w:w="4605"/>
            <w:vAlign w:val="center"/>
          </w:tcPr>
          <w:p>
            <w:pPr>
              <w:spacing w:after="0" w:line="240" w:lineRule="auto"/>
              <w:jc w:val="left"/>
            </w:pPr>
            <w:r/>
            <w:r>
              <w:rPr>
                <w:rFonts w:ascii="Calibri" w:hAnsi="Calibri"/>
                <w:b w:val="0"/>
                <w:i w:val="0"/>
                <w:color w:val="000000"/>
                <w:sz w:val="11"/>
              </w:rPr>
              <w:t>COMEX lithium hydroxide CIF CJK futures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16.1793</w:t>
            </w:r>
          </w:p>
        </w:tc>
        <w:tc>
          <w:tcPr>
            <w:tcW w:type="dxa" w:w="1354"/>
            <w:vAlign w:val="center"/>
          </w:tcPr>
          <w:p>
            <w:pPr>
              <w:spacing w:after="0" w:line="240" w:lineRule="auto"/>
              <w:jc w:val="center"/>
            </w:pPr>
            <w:r/>
            <w:r>
              <w:rPr>
                <w:rFonts w:ascii="Calibri" w:hAnsi="Calibri"/>
                <w:b w:val="0"/>
                <w:i w:val="0"/>
                <w:color w:val="000000"/>
                <w:sz w:val="11"/>
              </w:rPr>
              <w:t>10.6226</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117847.7654</w:t>
            </w:r>
          </w:p>
        </w:tc>
        <w:tc>
          <w:tcPr>
            <w:tcW w:type="dxa" w:w="1354"/>
            <w:vAlign w:val="center"/>
          </w:tcPr>
          <w:p>
            <w:pPr>
              <w:spacing w:after="0" w:line="240" w:lineRule="auto"/>
              <w:jc w:val="center"/>
            </w:pPr>
            <w:r/>
            <w:r>
              <w:rPr>
                <w:rFonts w:ascii="Calibri" w:hAnsi="Calibri"/>
                <w:b w:val="0"/>
                <w:i w:val="0"/>
                <w:color w:val="000000"/>
                <w:sz w:val="11"/>
              </w:rPr>
              <w:t>65912.1252</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119.4812</w:t>
            </w:r>
          </w:p>
        </w:tc>
        <w:tc>
          <w:tcPr>
            <w:tcW w:type="dxa" w:w="1354"/>
            <w:vAlign w:val="center"/>
          </w:tcPr>
          <w:p>
            <w:pPr>
              <w:spacing w:after="0" w:line="240" w:lineRule="auto"/>
              <w:jc w:val="center"/>
            </w:pPr>
            <w:r/>
            <w:r>
              <w:rPr>
                <w:rFonts w:ascii="Calibri" w:hAnsi="Calibri"/>
                <w:b w:val="0"/>
                <w:i w:val="0"/>
                <w:color w:val="000000"/>
                <w:sz w:val="11"/>
              </w:rPr>
              <w:t>45.8361</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6.1056</w:t>
            </w:r>
          </w:p>
        </w:tc>
        <w:tc>
          <w:tcPr>
            <w:tcW w:type="dxa" w:w="1354"/>
            <w:vAlign w:val="center"/>
          </w:tcPr>
          <w:p>
            <w:pPr>
              <w:spacing w:after="0" w:line="240" w:lineRule="auto"/>
              <w:jc w:val="center"/>
            </w:pPr>
            <w:r/>
            <w:r>
              <w:rPr>
                <w:rFonts w:ascii="Calibri" w:hAnsi="Calibri"/>
                <w:b w:val="0"/>
                <w:i w:val="0"/>
                <w:color w:val="000000"/>
                <w:sz w:val="11"/>
              </w:rPr>
              <w:t>1.9515</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56.7283</w:t>
            </w:r>
          </w:p>
        </w:tc>
        <w:tc>
          <w:tcPr>
            <w:tcW w:type="dxa" w:w="1354"/>
            <w:vAlign w:val="center"/>
          </w:tcPr>
          <w:p>
            <w:pPr>
              <w:spacing w:after="0" w:line="240" w:lineRule="auto"/>
              <w:jc w:val="center"/>
            </w:pPr>
            <w:r/>
            <w:r>
              <w:rPr>
                <w:rFonts w:ascii="Calibri" w:hAnsi="Calibri"/>
                <w:b w:val="0"/>
                <w:i w:val="0"/>
                <w:color w:val="000000"/>
                <w:sz w:val="11"/>
              </w:rPr>
              <w:t>14.0280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4.0056</w:t>
            </w:r>
          </w:p>
        </w:tc>
        <w:tc>
          <w:tcPr>
            <w:tcW w:type="dxa" w:w="1354"/>
            <w:vAlign w:val="center"/>
          </w:tcPr>
          <w:p>
            <w:pPr>
              <w:spacing w:after="0" w:line="240" w:lineRule="auto"/>
              <w:jc w:val="center"/>
            </w:pPr>
            <w:r/>
            <w:r>
              <w:rPr>
                <w:rFonts w:ascii="Calibri" w:hAnsi="Calibri"/>
                <w:b w:val="0"/>
                <w:i w:val="0"/>
                <w:color w:val="000000"/>
                <w:sz w:val="11"/>
              </w:rPr>
              <w:t>3.7882</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1.0616</w:t>
            </w:r>
          </w:p>
        </w:tc>
        <w:tc>
          <w:tcPr>
            <w:tcW w:type="dxa" w:w="1354"/>
            <w:vAlign w:val="center"/>
          </w:tcPr>
          <w:p>
            <w:pPr>
              <w:spacing w:after="0" w:line="240" w:lineRule="auto"/>
              <w:jc w:val="center"/>
            </w:pPr>
            <w:r/>
            <w:r>
              <w:rPr>
                <w:rFonts w:ascii="Calibri" w:hAnsi="Calibri"/>
                <w:b w:val="0"/>
                <w:i w:val="0"/>
                <w:color w:val="000000"/>
                <w:sz w:val="11"/>
              </w:rPr>
              <w:t>0.3694</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0.1933</w:t>
            </w:r>
          </w:p>
        </w:tc>
        <w:tc>
          <w:tcPr>
            <w:tcW w:type="dxa" w:w="1354"/>
            <w:vAlign w:val="center"/>
          </w:tcPr>
          <w:p>
            <w:pPr>
              <w:spacing w:after="0" w:line="240" w:lineRule="auto"/>
              <w:jc w:val="center"/>
            </w:pPr>
            <w:r/>
            <w:r>
              <w:rPr>
                <w:rFonts w:ascii="Calibri" w:hAnsi="Calibri"/>
                <w:b w:val="0"/>
                <w:i w:val="0"/>
                <w:color w:val="000000"/>
                <w:sz w:val="11"/>
              </w:rPr>
              <w:t>0.3951</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17.8291</w:t>
            </w:r>
          </w:p>
        </w:tc>
        <w:tc>
          <w:tcPr>
            <w:tcW w:type="dxa" w:w="1354"/>
            <w:vAlign w:val="center"/>
          </w:tcPr>
          <w:p>
            <w:pPr>
              <w:spacing w:after="0" w:line="240" w:lineRule="auto"/>
              <w:jc w:val="center"/>
            </w:pPr>
            <w:r/>
            <w:r>
              <w:rPr>
                <w:rFonts w:ascii="Calibri" w:hAnsi="Calibri"/>
                <w:b w:val="0"/>
                <w:i w:val="0"/>
                <w:color w:val="000000"/>
                <w:sz w:val="11"/>
              </w:rPr>
              <w:t>5.2784</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2.6383</w:t>
            </w:r>
          </w:p>
        </w:tc>
        <w:tc>
          <w:tcPr>
            <w:tcW w:type="dxa" w:w="1354"/>
            <w:vAlign w:val="center"/>
          </w:tcPr>
          <w:p>
            <w:pPr>
              <w:spacing w:after="0" w:line="240" w:lineRule="auto"/>
              <w:jc w:val="center"/>
            </w:pPr>
            <w:r/>
            <w:r>
              <w:rPr>
                <w:rFonts w:ascii="Calibri" w:hAnsi="Calibri"/>
                <w:b w:val="0"/>
                <w:i w:val="0"/>
                <w:color w:val="000000"/>
                <w:sz w:val="11"/>
              </w:rPr>
              <w:t>2.6123</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0.0521</w:t>
            </w:r>
          </w:p>
        </w:tc>
        <w:tc>
          <w:tcPr>
            <w:tcW w:type="dxa" w:w="1354"/>
            <w:vAlign w:val="center"/>
          </w:tcPr>
          <w:p>
            <w:pPr>
              <w:spacing w:after="0" w:line="240" w:lineRule="auto"/>
              <w:jc w:val="center"/>
            </w:pPr>
            <w:r/>
            <w:r>
              <w:rPr>
                <w:rFonts w:ascii="Calibri" w:hAnsi="Calibri"/>
                <w:b w:val="0"/>
                <w:i w:val="0"/>
                <w:color w:val="000000"/>
                <w:sz w:val="11"/>
              </w:rPr>
              <w:t>0.1121</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0.2116</w:t>
            </w:r>
          </w:p>
        </w:tc>
        <w:tc>
          <w:tcPr>
            <w:tcW w:type="dxa" w:w="1354"/>
            <w:vAlign w:val="center"/>
          </w:tcPr>
          <w:p>
            <w:pPr>
              <w:spacing w:after="0" w:line="240" w:lineRule="auto"/>
              <w:jc w:val="center"/>
            </w:pPr>
            <w:r/>
            <w:r>
              <w:rPr>
                <w:rFonts w:ascii="Calibri" w:hAnsi="Calibri"/>
                <w:b w:val="0"/>
                <w:i w:val="0"/>
                <w:color w:val="000000"/>
                <w:sz w:val="11"/>
              </w:rPr>
              <w:t>0.3766</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5564.4447</w:t>
            </w:r>
          </w:p>
        </w:tc>
        <w:tc>
          <w:tcPr>
            <w:tcW w:type="dxa" w:w="1354"/>
            <w:vAlign w:val="center"/>
          </w:tcPr>
          <w:p>
            <w:pPr>
              <w:spacing w:after="0" w:line="240" w:lineRule="auto"/>
              <w:jc w:val="center"/>
            </w:pPr>
            <w:r/>
            <w:r>
              <w:rPr>
                <w:rFonts w:ascii="Calibri" w:hAnsi="Calibri"/>
                <w:b w:val="0"/>
                <w:i w:val="0"/>
                <w:color w:val="000000"/>
                <w:sz w:val="11"/>
              </w:rPr>
              <w:t>841.7402</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16.9312</w:t>
            </w:r>
          </w:p>
        </w:tc>
        <w:tc>
          <w:tcPr>
            <w:tcW w:type="dxa" w:w="1354"/>
            <w:vAlign w:val="center"/>
          </w:tcPr>
          <w:p>
            <w:pPr>
              <w:spacing w:after="0" w:line="240" w:lineRule="auto"/>
              <w:jc w:val="center"/>
            </w:pPr>
            <w:r/>
            <w:r>
              <w:rPr>
                <w:rFonts w:ascii="Calibri" w:hAnsi="Calibri"/>
                <w:b w:val="0"/>
                <w:i w:val="0"/>
                <w:color w:val="000000"/>
                <w:sz w:val="11"/>
              </w:rPr>
              <w:t>4.3308</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102.4844</w:t>
            </w:r>
          </w:p>
        </w:tc>
        <w:tc>
          <w:tcPr>
            <w:tcW w:type="dxa" w:w="1354"/>
            <w:vAlign w:val="center"/>
          </w:tcPr>
          <w:p>
            <w:pPr>
              <w:spacing w:after="0" w:line="240" w:lineRule="auto"/>
              <w:jc w:val="center"/>
            </w:pPr>
            <w:r/>
            <w:r>
              <w:rPr>
                <w:rFonts w:ascii="Calibri" w:hAnsi="Calibri"/>
                <w:b w:val="0"/>
                <w:i w:val="0"/>
                <w:color w:val="000000"/>
                <w:sz w:val="11"/>
              </w:rPr>
              <w:t>3.1993</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370.5107</w:t>
            </w:r>
          </w:p>
        </w:tc>
        <w:tc>
          <w:tcPr>
            <w:tcW w:type="dxa" w:w="1354"/>
            <w:vAlign w:val="center"/>
          </w:tcPr>
          <w:p>
            <w:pPr>
              <w:spacing w:after="0" w:line="240" w:lineRule="auto"/>
              <w:jc w:val="center"/>
            </w:pPr>
            <w:r/>
            <w:r>
              <w:rPr>
                <w:rFonts w:ascii="Calibri" w:hAnsi="Calibri"/>
                <w:b w:val="0"/>
                <w:i w:val="0"/>
                <w:color w:val="000000"/>
                <w:sz w:val="11"/>
              </w:rPr>
              <w:t>109.0520</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r>
        <w:tc>
          <w:tcPr>
            <w:tcW w:type="dxa" w:w="4605"/>
            <w:vAlign w:val="center"/>
          </w:tcPr>
          <w:p>
            <w:pPr>
              <w:spacing w:after="0" w:line="240" w:lineRule="auto"/>
              <w:jc w:val="left"/>
            </w:pPr>
            <w:r/>
            <w:r>
              <w:rPr>
                <w:rFonts w:ascii="Calibri" w:hAnsi="Calibri"/>
                <w:b w:val="0"/>
                <w:i w:val="0"/>
                <w:color w:val="000000"/>
                <w:sz w:val="11"/>
              </w:rPr>
              <w:t>SMM battery-grade lithium carbonate spot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118615.8598</w:t>
            </w:r>
          </w:p>
        </w:tc>
        <w:tc>
          <w:tcPr>
            <w:tcW w:type="dxa" w:w="1354"/>
            <w:vAlign w:val="center"/>
          </w:tcPr>
          <w:p>
            <w:pPr>
              <w:spacing w:after="0" w:line="240" w:lineRule="auto"/>
              <w:jc w:val="center"/>
            </w:pPr>
            <w:r/>
            <w:r>
              <w:rPr>
                <w:rFonts w:ascii="Calibri" w:hAnsi="Calibri"/>
                <w:b w:val="0"/>
                <w:i w:val="0"/>
                <w:color w:val="000000"/>
                <w:sz w:val="11"/>
              </w:rPr>
              <w:t>67022.4813</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16.3008</w:t>
            </w:r>
          </w:p>
        </w:tc>
        <w:tc>
          <w:tcPr>
            <w:tcW w:type="dxa" w:w="1354"/>
            <w:vAlign w:val="center"/>
          </w:tcPr>
          <w:p>
            <w:pPr>
              <w:spacing w:after="0" w:line="240" w:lineRule="auto"/>
              <w:jc w:val="center"/>
            </w:pPr>
            <w:r/>
            <w:r>
              <w:rPr>
                <w:rFonts w:ascii="Calibri" w:hAnsi="Calibri"/>
                <w:b w:val="0"/>
                <w:i w:val="0"/>
                <w:color w:val="000000"/>
                <w:sz w:val="11"/>
              </w:rPr>
              <w:t>10.7891</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119.8822</w:t>
            </w:r>
          </w:p>
        </w:tc>
        <w:tc>
          <w:tcPr>
            <w:tcW w:type="dxa" w:w="1354"/>
            <w:vAlign w:val="center"/>
          </w:tcPr>
          <w:p>
            <w:pPr>
              <w:spacing w:after="0" w:line="240" w:lineRule="auto"/>
              <w:jc w:val="center"/>
            </w:pPr>
            <w:r/>
            <w:r>
              <w:rPr>
                <w:rFonts w:ascii="Calibri" w:hAnsi="Calibri"/>
                <w:b w:val="0"/>
                <w:i w:val="0"/>
                <w:color w:val="000000"/>
                <w:sz w:val="11"/>
              </w:rPr>
              <w:t>46.3719</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6.1115</w:t>
            </w:r>
          </w:p>
        </w:tc>
        <w:tc>
          <w:tcPr>
            <w:tcW w:type="dxa" w:w="1354"/>
            <w:vAlign w:val="center"/>
          </w:tcPr>
          <w:p>
            <w:pPr>
              <w:spacing w:after="0" w:line="240" w:lineRule="auto"/>
              <w:jc w:val="center"/>
            </w:pPr>
            <w:r/>
            <w:r>
              <w:rPr>
                <w:rFonts w:ascii="Calibri" w:hAnsi="Calibri"/>
                <w:b w:val="0"/>
                <w:i w:val="0"/>
                <w:color w:val="000000"/>
                <w:sz w:val="11"/>
              </w:rPr>
              <w:t>1.9561</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56.4362</w:t>
            </w:r>
          </w:p>
        </w:tc>
        <w:tc>
          <w:tcPr>
            <w:tcW w:type="dxa" w:w="1354"/>
            <w:vAlign w:val="center"/>
          </w:tcPr>
          <w:p>
            <w:pPr>
              <w:spacing w:after="0" w:line="240" w:lineRule="auto"/>
              <w:jc w:val="center"/>
            </w:pPr>
            <w:r/>
            <w:r>
              <w:rPr>
                <w:rFonts w:ascii="Calibri" w:hAnsi="Calibri"/>
                <w:b w:val="0"/>
                <w:i w:val="0"/>
                <w:color w:val="000000"/>
                <w:sz w:val="11"/>
              </w:rPr>
              <w:t>13.8250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3.9841</w:t>
            </w:r>
          </w:p>
        </w:tc>
        <w:tc>
          <w:tcPr>
            <w:tcW w:type="dxa" w:w="1354"/>
            <w:vAlign w:val="center"/>
          </w:tcPr>
          <w:p>
            <w:pPr>
              <w:spacing w:after="0" w:line="240" w:lineRule="auto"/>
              <w:jc w:val="center"/>
            </w:pPr>
            <w:r/>
            <w:r>
              <w:rPr>
                <w:rFonts w:ascii="Calibri" w:hAnsi="Calibri"/>
                <w:b w:val="0"/>
                <w:i w:val="0"/>
                <w:color w:val="000000"/>
                <w:sz w:val="11"/>
              </w:rPr>
              <w:t>3.7685</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1.0580</w:t>
            </w:r>
          </w:p>
        </w:tc>
        <w:tc>
          <w:tcPr>
            <w:tcW w:type="dxa" w:w="1354"/>
            <w:vAlign w:val="center"/>
          </w:tcPr>
          <w:p>
            <w:pPr>
              <w:spacing w:after="0" w:line="240" w:lineRule="auto"/>
              <w:jc w:val="center"/>
            </w:pPr>
            <w:r/>
            <w:r>
              <w:rPr>
                <w:rFonts w:ascii="Calibri" w:hAnsi="Calibri"/>
                <w:b w:val="0"/>
                <w:i w:val="0"/>
                <w:color w:val="000000"/>
                <w:sz w:val="11"/>
              </w:rPr>
              <w:t>0.3687</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0.1899</w:t>
            </w:r>
          </w:p>
        </w:tc>
        <w:tc>
          <w:tcPr>
            <w:tcW w:type="dxa" w:w="1354"/>
            <w:vAlign w:val="center"/>
          </w:tcPr>
          <w:p>
            <w:pPr>
              <w:spacing w:after="0" w:line="240" w:lineRule="auto"/>
              <w:jc w:val="center"/>
            </w:pPr>
            <w:r/>
            <w:r>
              <w:rPr>
                <w:rFonts w:ascii="Calibri" w:hAnsi="Calibri"/>
                <w:b w:val="0"/>
                <w:i w:val="0"/>
                <w:color w:val="000000"/>
                <w:sz w:val="11"/>
              </w:rPr>
              <w:t>0.3925</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17.7667</w:t>
            </w:r>
          </w:p>
        </w:tc>
        <w:tc>
          <w:tcPr>
            <w:tcW w:type="dxa" w:w="1354"/>
            <w:vAlign w:val="center"/>
          </w:tcPr>
          <w:p>
            <w:pPr>
              <w:spacing w:after="0" w:line="240" w:lineRule="auto"/>
              <w:jc w:val="center"/>
            </w:pPr>
            <w:r/>
            <w:r>
              <w:rPr>
                <w:rFonts w:ascii="Calibri" w:hAnsi="Calibri"/>
                <w:b w:val="0"/>
                <w:i w:val="0"/>
                <w:color w:val="000000"/>
                <w:sz w:val="11"/>
              </w:rPr>
              <w:t>5.1881</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2.6214</w:t>
            </w:r>
          </w:p>
        </w:tc>
        <w:tc>
          <w:tcPr>
            <w:tcW w:type="dxa" w:w="1354"/>
            <w:vAlign w:val="center"/>
          </w:tcPr>
          <w:p>
            <w:pPr>
              <w:spacing w:after="0" w:line="240" w:lineRule="auto"/>
              <w:jc w:val="center"/>
            </w:pPr>
            <w:r/>
            <w:r>
              <w:rPr>
                <w:rFonts w:ascii="Calibri" w:hAnsi="Calibri"/>
                <w:b w:val="0"/>
                <w:i w:val="0"/>
                <w:color w:val="000000"/>
                <w:sz w:val="11"/>
              </w:rPr>
              <w:t>2.6298</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0.0522</w:t>
            </w:r>
          </w:p>
        </w:tc>
        <w:tc>
          <w:tcPr>
            <w:tcW w:type="dxa" w:w="1354"/>
            <w:vAlign w:val="center"/>
          </w:tcPr>
          <w:p>
            <w:pPr>
              <w:spacing w:after="0" w:line="240" w:lineRule="auto"/>
              <w:jc w:val="center"/>
            </w:pPr>
            <w:r/>
            <w:r>
              <w:rPr>
                <w:rFonts w:ascii="Calibri" w:hAnsi="Calibri"/>
                <w:b w:val="0"/>
                <w:i w:val="0"/>
                <w:color w:val="000000"/>
                <w:sz w:val="11"/>
              </w:rPr>
              <w:t>0.1114</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0.2077</w:t>
            </w:r>
          </w:p>
        </w:tc>
        <w:tc>
          <w:tcPr>
            <w:tcW w:type="dxa" w:w="1354"/>
            <w:vAlign w:val="center"/>
          </w:tcPr>
          <w:p>
            <w:pPr>
              <w:spacing w:after="0" w:line="240" w:lineRule="auto"/>
              <w:jc w:val="center"/>
            </w:pPr>
            <w:r/>
            <w:r>
              <w:rPr>
                <w:rFonts w:ascii="Calibri" w:hAnsi="Calibri"/>
                <w:b w:val="0"/>
                <w:i w:val="0"/>
                <w:color w:val="000000"/>
                <w:sz w:val="11"/>
              </w:rPr>
              <w:t>0.3783</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5561.6697</w:t>
            </w:r>
          </w:p>
        </w:tc>
        <w:tc>
          <w:tcPr>
            <w:tcW w:type="dxa" w:w="1354"/>
            <w:vAlign w:val="center"/>
          </w:tcPr>
          <w:p>
            <w:pPr>
              <w:spacing w:after="0" w:line="240" w:lineRule="auto"/>
              <w:jc w:val="center"/>
            </w:pPr>
            <w:r/>
            <w:r>
              <w:rPr>
                <w:rFonts w:ascii="Calibri" w:hAnsi="Calibri"/>
                <w:b w:val="0"/>
                <w:i w:val="0"/>
                <w:color w:val="000000"/>
                <w:sz w:val="11"/>
              </w:rPr>
              <w:t>840.7653</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16.8099</w:t>
            </w:r>
          </w:p>
        </w:tc>
        <w:tc>
          <w:tcPr>
            <w:tcW w:type="dxa" w:w="1354"/>
            <w:vAlign w:val="center"/>
          </w:tcPr>
          <w:p>
            <w:pPr>
              <w:spacing w:after="0" w:line="240" w:lineRule="auto"/>
              <w:jc w:val="center"/>
            </w:pPr>
            <w:r/>
            <w:r>
              <w:rPr>
                <w:rFonts w:ascii="Calibri" w:hAnsi="Calibri"/>
                <w:b w:val="0"/>
                <w:i w:val="0"/>
                <w:color w:val="000000"/>
                <w:sz w:val="11"/>
              </w:rPr>
              <w:t>4.2760</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102.4637</w:t>
            </w:r>
          </w:p>
        </w:tc>
        <w:tc>
          <w:tcPr>
            <w:tcW w:type="dxa" w:w="1354"/>
            <w:vAlign w:val="center"/>
          </w:tcPr>
          <w:p>
            <w:pPr>
              <w:spacing w:after="0" w:line="240" w:lineRule="auto"/>
              <w:jc w:val="center"/>
            </w:pPr>
            <w:r/>
            <w:r>
              <w:rPr>
                <w:rFonts w:ascii="Calibri" w:hAnsi="Calibri"/>
                <w:b w:val="0"/>
                <w:i w:val="0"/>
                <w:color w:val="000000"/>
                <w:sz w:val="11"/>
              </w:rPr>
              <w:t>3.1759</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370.9414</w:t>
            </w:r>
          </w:p>
        </w:tc>
        <w:tc>
          <w:tcPr>
            <w:tcW w:type="dxa" w:w="1354"/>
            <w:vAlign w:val="center"/>
          </w:tcPr>
          <w:p>
            <w:pPr>
              <w:spacing w:after="0" w:line="240" w:lineRule="auto"/>
              <w:jc w:val="center"/>
            </w:pPr>
            <w:r/>
            <w:r>
              <w:rPr>
                <w:rFonts w:ascii="Calibri" w:hAnsi="Calibri"/>
                <w:b w:val="0"/>
                <w:i w:val="0"/>
                <w:color w:val="000000"/>
                <w:sz w:val="11"/>
              </w:rPr>
              <w:t>109.4896</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bl>
    <w:p>
      <w:pPr>
        <w:spacing w:after="60"/>
      </w:pPr>
    </w:p>
    <w:p>
      <w:pPr>
        <w:pStyle w:val="Heading3"/>
      </w:pPr>
      <w:r>
        <w:t>Interpretation of Table 4</w:t>
      </w:r>
    </w:p>
    <w:p>
      <w:pPr>
        <w:spacing w:after="160" w:line="320" w:lineRule="auto"/>
        <w:jc w:val="both"/>
      </w:pPr>
      <w:r>
        <w:rPr>
          <w:rFonts w:ascii="Calibri" w:hAnsi="Calibri"/>
          <w:b/>
          <w:i w:val="0"/>
          <w:color w:val="000000"/>
          <w:sz w:val="22"/>
        </w:rPr>
        <w:t>Target coverage:</w:t>
      </w:r>
      <w:r>
        <w:rPr>
          <w:rFonts w:ascii="Calibri" w:hAnsi="Calibri"/>
          <w:b w:val="0"/>
          <w:i w:val="0"/>
          <w:color w:val="000000"/>
          <w:sz w:val="22"/>
        </w:rPr>
        <w:t xml:space="preserve"> The hydroxide panel contains 716 aligned observations, with prices ranging from 7.95 to 47.31 and a mean of 16.18. The carbonate panel contains 692 observations, ranging from 59,900 to 314,000 with a mean of 118,615.86. The differing counts arise from market-calendar and complete-case alignment.</w:t>
      </w:r>
    </w:p>
    <w:p>
      <w:pPr>
        <w:spacing w:after="160" w:line="320" w:lineRule="auto"/>
        <w:jc w:val="both"/>
      </w:pPr>
      <w:r>
        <w:rPr>
          <w:rFonts w:ascii="Calibri" w:hAnsi="Calibri"/>
          <w:b/>
          <w:i w:val="0"/>
          <w:color w:val="000000"/>
          <w:sz w:val="22"/>
        </w:rPr>
        <w:t>Scale and volatility:</w:t>
      </w:r>
      <w:r>
        <w:rPr>
          <w:rFonts w:ascii="Calibri" w:hAnsi="Calibri"/>
          <w:b w:val="0"/>
          <w:i w:val="0"/>
          <w:color w:val="000000"/>
          <w:sz w:val="22"/>
        </w:rPr>
        <w:t xml:space="preserve"> Hydroxide's standard deviation of 10.62 is about 66% of its mean, while carbonate's standard deviation of 67,022.48 is about 57% of its mean. Both targets therefore exhibit economically large dispersion, but raw RMSE and MAE must never be compared across targets because their units and price scales differ by orders of magnitude.</w:t>
      </w:r>
    </w:p>
    <w:p>
      <w:pPr>
        <w:spacing w:after="160" w:line="320" w:lineRule="auto"/>
        <w:jc w:val="both"/>
      </w:pPr>
      <w:r>
        <w:rPr>
          <w:rFonts w:ascii="Calibri" w:hAnsi="Calibri"/>
          <w:b/>
          <w:i w:val="0"/>
          <w:color w:val="000000"/>
          <w:sz w:val="22"/>
        </w:rPr>
        <w:t>Modelling implication:</w:t>
      </w:r>
      <w:r>
        <w:rPr>
          <w:rFonts w:ascii="Calibri" w:hAnsi="Calibri"/>
          <w:b w:val="0"/>
          <w:i w:val="0"/>
          <w:color w:val="000000"/>
          <w:sz w:val="22"/>
        </w:rPr>
        <w:t xml:space="preserve"> The broad min-max ranges and high relative dispersion explain why percentage, scaled, and directional metrics are reported beside absolute errors. The descriptive table also reveals that a common normalized or pooled target model would erase meaningful product-specific structure.</w:t>
      </w:r>
    </w:p>
    <w:p>
      <w:pPr>
        <w:sectPr>
          <w:pgSz w:w="15840" w:h="12240" w:orient="landscape"/>
          <w:pgMar w:top="1037" w:right="1037" w:bottom="1037" w:left="1037" w:header="605" w:footer="605" w:gutter="0"/>
          <w:cols w:space="720"/>
          <w:docGrid w:linePitch="360"/>
        </w:sectPr>
      </w:pPr>
    </w:p>
    <w:p>
      <w:pPr>
        <w:keepNext/>
        <w:spacing w:before="100" w:after="80"/>
      </w:pPr>
      <w:r>
        <w:rPr>
          <w:rFonts w:ascii="Calibri" w:hAnsi="Calibri"/>
          <w:b/>
          <w:i w:val="0"/>
          <w:color w:val="1F4D78"/>
          <w:sz w:val="18"/>
        </w:rPr>
        <w:t xml:space="preserve">Figure 4. </w:t>
      </w:r>
      <w:r>
        <w:rPr>
          <w:rFonts w:ascii="Calibri" w:hAnsi="Calibri"/>
          <w:b w:val="0"/>
          <w:i/>
          <w:color w:val="000000"/>
          <w:sz w:val="18"/>
        </w:rPr>
        <w:t>Lithium-price series used as forecasting targets.</w:t>
      </w:r>
    </w:p>
    <w:p>
      <w:pPr>
        <w:spacing w:after="180"/>
        <w:jc w:val="center"/>
      </w:pPr>
      <w:r>
        <w:drawing>
          <wp:inline xmlns:a="http://schemas.openxmlformats.org/drawingml/2006/main" xmlns:pic="http://schemas.openxmlformats.org/drawingml/2006/picture">
            <wp:extent cx="5760720" cy="3766525"/>
            <wp:docPr id="4" name="Picture 4"/>
            <wp:cNvGraphicFramePr>
              <a:graphicFrameLocks noChangeAspect="1"/>
            </wp:cNvGraphicFramePr>
            <a:graphic>
              <a:graphicData uri="http://schemas.openxmlformats.org/drawingml/2006/picture">
                <pic:pic>
                  <pic:nvPicPr>
                    <pic:cNvPr id="0" name="fig4_price_series.png"/>
                    <pic:cNvPicPr/>
                  </pic:nvPicPr>
                  <pic:blipFill>
                    <a:blip r:embed="rId14"/>
                    <a:stretch>
                      <a:fillRect/>
                    </a:stretch>
                  </pic:blipFill>
                  <pic:spPr>
                    <a:xfrm>
                      <a:off x="0" y="0"/>
                      <a:ext cx="5760720" cy="3766525"/>
                    </a:xfrm>
                    <a:prstGeom prst="rect"/>
                  </pic:spPr>
                </pic:pic>
              </a:graphicData>
            </a:graphic>
          </wp:inline>
        </w:drawing>
      </w:r>
    </w:p>
    <w:p>
      <w:pPr>
        <w:keepNext/>
        <w:spacing w:before="100" w:after="80"/>
      </w:pPr>
      <w:r>
        <w:rPr>
          <w:rFonts w:ascii="Calibri" w:hAnsi="Calibri"/>
          <w:b/>
          <w:i w:val="0"/>
          <w:color w:val="1F4D78"/>
          <w:sz w:val="18"/>
        </w:rPr>
        <w:t xml:space="preserve">Figure 5. </w:t>
      </w:r>
      <w:r>
        <w:rPr>
          <w:rFonts w:ascii="Calibri" w:hAnsi="Calibri"/>
          <w:b w:val="0"/>
          <w:i/>
          <w:color w:val="000000"/>
          <w:sz w:val="18"/>
        </w:rPr>
        <w:t>Word cloud of the collected lithium-specific news headlines.</w:t>
      </w:r>
    </w:p>
    <w:p>
      <w:pPr>
        <w:spacing w:after="180"/>
        <w:jc w:val="center"/>
      </w:pPr>
      <w:r>
        <w:drawing>
          <wp:inline xmlns:a="http://schemas.openxmlformats.org/drawingml/2006/main" xmlns:pic="http://schemas.openxmlformats.org/drawingml/2006/picture">
            <wp:extent cx="5760720" cy="2659588"/>
            <wp:docPr id="5" name="Picture 5"/>
            <wp:cNvGraphicFramePr>
              <a:graphicFrameLocks noChangeAspect="1"/>
            </wp:cNvGraphicFramePr>
            <a:graphic>
              <a:graphicData uri="http://schemas.openxmlformats.org/drawingml/2006/picture">
                <pic:pic>
                  <pic:nvPicPr>
                    <pic:cNvPr id="0" name="fig5_wordcloud.png"/>
                    <pic:cNvPicPr/>
                  </pic:nvPicPr>
                  <pic:blipFill>
                    <a:blip r:embed="rId15"/>
                    <a:stretch>
                      <a:fillRect/>
                    </a:stretch>
                  </pic:blipFill>
                  <pic:spPr>
                    <a:xfrm>
                      <a:off x="0" y="0"/>
                      <a:ext cx="5760720" cy="2659588"/>
                    </a:xfrm>
                    <a:prstGeom prst="rect"/>
                  </pic:spPr>
                </pic:pic>
              </a:graphicData>
            </a:graphic>
          </wp:inline>
        </w:drawing>
      </w:r>
    </w:p>
    <w:p>
      <w:pPr>
        <w:keepNext/>
        <w:spacing w:before="100" w:after="80"/>
      </w:pPr>
      <w:r>
        <w:rPr>
          <w:rFonts w:ascii="Calibri" w:hAnsi="Calibri"/>
          <w:b/>
          <w:i w:val="0"/>
          <w:color w:val="1F4D78"/>
          <w:sz w:val="18"/>
        </w:rPr>
        <w:t xml:space="preserve">Figure 6. </w:t>
      </w:r>
      <w:r>
        <w:rPr>
          <w:rFonts w:ascii="Calibri" w:hAnsi="Calibri"/>
          <w:b w:val="0"/>
          <w:i/>
          <w:color w:val="000000"/>
          <w:sz w:val="18"/>
        </w:rPr>
        <w:t>TextBlob and FinBERT sentiment scores extracted from lithium-specific headlines.</w:t>
      </w:r>
    </w:p>
    <w:p>
      <w:pPr>
        <w:spacing w:after="180"/>
        <w:jc w:val="center"/>
      </w:pPr>
      <w:r>
        <w:drawing>
          <wp:inline xmlns:a="http://schemas.openxmlformats.org/drawingml/2006/main" xmlns:pic="http://schemas.openxmlformats.org/drawingml/2006/picture">
            <wp:extent cx="5760720" cy="3631311"/>
            <wp:docPr id="6" name="Picture 6"/>
            <wp:cNvGraphicFramePr>
              <a:graphicFrameLocks noChangeAspect="1"/>
            </wp:cNvGraphicFramePr>
            <a:graphic>
              <a:graphicData uri="http://schemas.openxmlformats.org/drawingml/2006/picture">
                <pic:pic>
                  <pic:nvPicPr>
                    <pic:cNvPr id="0" name="fig6_sentiment.png"/>
                    <pic:cNvPicPr/>
                  </pic:nvPicPr>
                  <pic:blipFill>
                    <a:blip r:embed="rId16"/>
                    <a:stretch>
                      <a:fillRect/>
                    </a:stretch>
                  </pic:blipFill>
                  <pic:spPr>
                    <a:xfrm>
                      <a:off x="0" y="0"/>
                      <a:ext cx="5760720" cy="3631311"/>
                    </a:xfrm>
                    <a:prstGeom prst="rect"/>
                  </pic:spPr>
                </pic:pic>
              </a:graphicData>
            </a:graphic>
          </wp:inline>
        </w:drawing>
      </w:r>
    </w:p>
    <w:p>
      <w:pPr>
        <w:pStyle w:val="Heading1"/>
      </w:pPr>
      <w:r>
        <w:t>5. Decomposition and feature selection</w:t>
      </w:r>
    </w:p>
    <w:p>
      <w:pPr>
        <w:keepNext/>
        <w:spacing w:before="100" w:after="80"/>
      </w:pPr>
      <w:r>
        <w:rPr>
          <w:rFonts w:ascii="Calibri" w:hAnsi="Calibri"/>
          <w:b/>
          <w:i w:val="0"/>
          <w:color w:val="1F4D78"/>
          <w:sz w:val="18"/>
        </w:rPr>
        <w:t xml:space="preserve">Figure 7. </w:t>
      </w:r>
      <w:r>
        <w:rPr>
          <w:rFonts w:ascii="Calibri" w:hAnsi="Calibri"/>
          <w:b w:val="0"/>
          <w:i/>
          <w:color w:val="000000"/>
          <w:sz w:val="18"/>
        </w:rPr>
        <w:t>Full-sample VMD modes of the two lithium-price targets.</w:t>
      </w:r>
    </w:p>
    <w:p>
      <w:pPr>
        <w:spacing w:after="180"/>
        <w:jc w:val="center"/>
      </w:pPr>
      <w:r>
        <w:drawing>
          <wp:inline xmlns:a="http://schemas.openxmlformats.org/drawingml/2006/main" xmlns:pic="http://schemas.openxmlformats.org/drawingml/2006/picture">
            <wp:extent cx="5760720" cy="4385680"/>
            <wp:docPr id="7" name="Picture 7"/>
            <wp:cNvGraphicFramePr>
              <a:graphicFrameLocks noChangeAspect="1"/>
            </wp:cNvGraphicFramePr>
            <a:graphic>
              <a:graphicData uri="http://schemas.openxmlformats.org/drawingml/2006/picture">
                <pic:pic>
                  <pic:nvPicPr>
                    <pic:cNvPr id="0" name="fig7_vmd_modes.png"/>
                    <pic:cNvPicPr/>
                  </pic:nvPicPr>
                  <pic:blipFill>
                    <a:blip r:embed="rId17"/>
                    <a:stretch>
                      <a:fillRect/>
                    </a:stretch>
                  </pic:blipFill>
                  <pic:spPr>
                    <a:xfrm>
                      <a:off x="0" y="0"/>
                      <a:ext cx="5760720" cy="4385680"/>
                    </a:xfrm>
                    <a:prstGeom prst="rect"/>
                  </pic:spPr>
                </pic:pic>
              </a:graphicData>
            </a:graphic>
          </wp:inline>
        </w:drawing>
      </w:r>
    </w:p>
    <w:p>
      <w:pPr>
        <w:keepNext/>
        <w:spacing w:before="100" w:after="80"/>
      </w:pPr>
      <w:r>
        <w:rPr>
          <w:rFonts w:ascii="Calibri" w:hAnsi="Calibri"/>
          <w:b/>
          <w:i w:val="0"/>
          <w:color w:val="1F4D78"/>
          <w:sz w:val="18"/>
        </w:rPr>
        <w:t xml:space="preserve">Figure 8. </w:t>
      </w:r>
      <w:r>
        <w:rPr>
          <w:rFonts w:ascii="Calibri" w:hAnsi="Calibri"/>
          <w:b w:val="0"/>
          <w:i/>
          <w:color w:val="000000"/>
          <w:sz w:val="18"/>
        </w:rPr>
        <w:t>Approximate-entropy values of the decomposed VMD modes.</w:t>
      </w:r>
    </w:p>
    <w:p>
      <w:pPr>
        <w:spacing w:after="180"/>
        <w:jc w:val="center"/>
      </w:pPr>
      <w:r>
        <w:drawing>
          <wp:inline xmlns:a="http://schemas.openxmlformats.org/drawingml/2006/main" xmlns:pic="http://schemas.openxmlformats.org/drawingml/2006/picture">
            <wp:extent cx="5760720" cy="2705081"/>
            <wp:docPr id="8" name="Picture 8"/>
            <wp:cNvGraphicFramePr>
              <a:graphicFrameLocks noChangeAspect="1"/>
            </wp:cNvGraphicFramePr>
            <a:graphic>
              <a:graphicData uri="http://schemas.openxmlformats.org/drawingml/2006/picture">
                <pic:pic>
                  <pic:nvPicPr>
                    <pic:cNvPr id="0" name="fig8_entropy.png"/>
                    <pic:cNvPicPr/>
                  </pic:nvPicPr>
                  <pic:blipFill>
                    <a:blip r:embed="rId18"/>
                    <a:stretch>
                      <a:fillRect/>
                    </a:stretch>
                  </pic:blipFill>
                  <pic:spPr>
                    <a:xfrm>
                      <a:off x="0" y="0"/>
                      <a:ext cx="5760720" cy="270508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5. </w:t>
      </w:r>
      <w:r>
        <w:rPr>
          <w:rFonts w:ascii="Calibri" w:hAnsi="Calibri"/>
          <w:b w:val="0"/>
          <w:i/>
          <w:color w:val="000000"/>
          <w:sz w:val="18"/>
        </w:rPr>
        <w:t>Information on the decomposed lithium-price modes.</w:t>
      </w:r>
    </w:p>
    <w:tbl>
      <w:tblPr>
        <w:tblStyle w:val="TableGrid"/>
        <w:tblW w:type="dxa" w:w="13680"/>
        <w:jc w:val="left"/>
        <w:tblLayout w:type="fixed"/>
        <w:tblLook w:firstColumn="1" w:firstRow="1" w:lastColumn="0" w:lastRow="0" w:noHBand="0" w:noVBand="1" w:val="04A0"/>
      </w:tblPr>
      <w:tblGrid>
        <w:gridCol w:w="2373"/>
        <w:gridCol w:w="977"/>
        <w:gridCol w:w="977"/>
        <w:gridCol w:w="1256"/>
        <w:gridCol w:w="1954"/>
        <w:gridCol w:w="1954"/>
        <w:gridCol w:w="1535"/>
        <w:gridCol w:w="2654"/>
      </w:tblGrid>
      <w:tr>
        <w:trPr>
          <w:tblHeader w:val="true"/>
        </w:trPr>
        <w:tc>
          <w:tcPr>
            <w:tcW w:type="dxa" w:w="2373"/>
            <w:shd w:fill="F4F6F9"/>
            <w:vAlign w:val="center"/>
          </w:tcPr>
          <w:p>
            <w:pPr>
              <w:jc w:val="center"/>
            </w:pPr>
            <w:r/>
            <w:r>
              <w:rPr>
                <w:rFonts w:ascii="Calibri" w:hAnsi="Calibri"/>
                <w:b/>
                <w:i w:val="0"/>
                <w:color w:val="0B2545"/>
                <w:sz w:val="11"/>
              </w:rPr>
              <w:t>Panel</w:t>
            </w:r>
          </w:p>
        </w:tc>
        <w:tc>
          <w:tcPr>
            <w:tcW w:type="dxa" w:w="977"/>
            <w:shd w:fill="F4F6F9"/>
            <w:vAlign w:val="center"/>
          </w:tcPr>
          <w:p>
            <w:pPr>
              <w:jc w:val="center"/>
            </w:pPr>
            <w:r/>
            <w:r>
              <w:rPr>
                <w:rFonts w:ascii="Calibri" w:hAnsi="Calibri"/>
                <w:b/>
                <w:i w:val="0"/>
                <w:color w:val="0B2545"/>
                <w:sz w:val="11"/>
              </w:rPr>
              <w:t>Method</w:t>
            </w:r>
          </w:p>
        </w:tc>
        <w:tc>
          <w:tcPr>
            <w:tcW w:type="dxa" w:w="977"/>
            <w:shd w:fill="F4F6F9"/>
            <w:vAlign w:val="center"/>
          </w:tcPr>
          <w:p>
            <w:pPr>
              <w:jc w:val="center"/>
            </w:pPr>
            <w:r/>
            <w:r>
              <w:rPr>
                <w:rFonts w:ascii="Calibri" w:hAnsi="Calibri"/>
                <w:b/>
                <w:i w:val="0"/>
                <w:color w:val="0B2545"/>
                <w:sz w:val="11"/>
              </w:rPr>
              <w:t>Mode</w:t>
            </w:r>
          </w:p>
        </w:tc>
        <w:tc>
          <w:tcPr>
            <w:tcW w:type="dxa" w:w="1256"/>
            <w:shd w:fill="F4F6F9"/>
            <w:vAlign w:val="center"/>
          </w:tcPr>
          <w:p>
            <w:pPr>
              <w:jc w:val="center"/>
            </w:pPr>
            <w:r/>
            <w:r>
              <w:rPr>
                <w:rFonts w:ascii="Calibri" w:hAnsi="Calibri"/>
                <w:b/>
                <w:i w:val="0"/>
                <w:color w:val="0B2545"/>
                <w:sz w:val="11"/>
              </w:rPr>
              <w:t>Frequency</w:t>
            </w:r>
          </w:p>
        </w:tc>
        <w:tc>
          <w:tcPr>
            <w:tcW w:type="dxa" w:w="1954"/>
            <w:shd w:fill="F4F6F9"/>
            <w:vAlign w:val="center"/>
          </w:tcPr>
          <w:p>
            <w:pPr>
              <w:jc w:val="center"/>
            </w:pPr>
            <w:r/>
            <w:r>
              <w:rPr>
                <w:rFonts w:ascii="Calibri" w:hAnsi="Calibri"/>
                <w:b/>
                <w:i w:val="0"/>
                <w:color w:val="0B2545"/>
                <w:sz w:val="11"/>
              </w:rPr>
              <w:t>Average period</w:t>
            </w:r>
          </w:p>
        </w:tc>
        <w:tc>
          <w:tcPr>
            <w:tcW w:type="dxa" w:w="1954"/>
            <w:shd w:fill="F4F6F9"/>
            <w:vAlign w:val="center"/>
          </w:tcPr>
          <w:p>
            <w:pPr>
              <w:jc w:val="center"/>
            </w:pPr>
            <w:r/>
            <w:r>
              <w:rPr>
                <w:rFonts w:ascii="Calibri" w:hAnsi="Calibri"/>
                <w:b/>
                <w:i w:val="0"/>
                <w:color w:val="0B2545"/>
                <w:sz w:val="11"/>
              </w:rPr>
              <w:t>Variance share</w:t>
            </w:r>
          </w:p>
        </w:tc>
        <w:tc>
          <w:tcPr>
            <w:tcW w:type="dxa" w:w="1535"/>
            <w:shd w:fill="F4F6F9"/>
            <w:vAlign w:val="center"/>
          </w:tcPr>
          <w:p>
            <w:pPr>
              <w:jc w:val="center"/>
            </w:pPr>
            <w:r/>
            <w:r>
              <w:rPr>
                <w:rFonts w:ascii="Calibri" w:hAnsi="Calibri"/>
                <w:b/>
                <w:i w:val="0"/>
                <w:color w:val="0B2545"/>
                <w:sz w:val="11"/>
              </w:rPr>
              <w:t>Correlation</w:t>
            </w:r>
          </w:p>
        </w:tc>
        <w:tc>
          <w:tcPr>
            <w:tcW w:type="dxa" w:w="2654"/>
            <w:shd w:fill="F4F6F9"/>
            <w:vAlign w:val="center"/>
          </w:tcPr>
          <w:p>
            <w:pPr>
              <w:jc w:val="center"/>
            </w:pPr>
            <w:r/>
            <w:r>
              <w:rPr>
                <w:rFonts w:ascii="Calibri" w:hAnsi="Calibri"/>
                <w:b/>
                <w:i w:val="0"/>
                <w:color w:val="0B2545"/>
                <w:sz w:val="11"/>
              </w:rPr>
              <w:t>Approximate Entropy</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0.3273</w:t>
            </w:r>
          </w:p>
        </w:tc>
        <w:tc>
          <w:tcPr>
            <w:tcW w:type="dxa" w:w="1535"/>
            <w:vAlign w:val="center"/>
          </w:tcPr>
          <w:p>
            <w:pPr>
              <w:spacing w:after="0" w:line="240" w:lineRule="auto"/>
              <w:jc w:val="center"/>
            </w:pPr>
            <w:r/>
            <w:r>
              <w:rPr>
                <w:rFonts w:ascii="Calibri" w:hAnsi="Calibri"/>
                <w:b w:val="0"/>
                <w:i w:val="0"/>
                <w:color w:val="000000"/>
                <w:sz w:val="11"/>
              </w:rPr>
              <w:t>0.8212</w:t>
            </w:r>
          </w:p>
        </w:tc>
        <w:tc>
          <w:tcPr>
            <w:tcW w:type="dxa" w:w="2654"/>
            <w:vAlign w:val="center"/>
          </w:tcPr>
          <w:p>
            <w:pPr>
              <w:spacing w:after="0" w:line="240" w:lineRule="auto"/>
              <w:jc w:val="center"/>
            </w:pPr>
            <w:r/>
            <w:r>
              <w:rPr>
                <w:rFonts w:ascii="Calibri" w:hAnsi="Calibri"/>
                <w:b w:val="0"/>
                <w:i w:val="0"/>
                <w:color w:val="000000"/>
                <w:sz w:val="11"/>
              </w:rPr>
              <w:t>0.0053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0.3651</w:t>
            </w:r>
          </w:p>
        </w:tc>
        <w:tc>
          <w:tcPr>
            <w:tcW w:type="dxa" w:w="1535"/>
            <w:vAlign w:val="center"/>
          </w:tcPr>
          <w:p>
            <w:pPr>
              <w:spacing w:after="0" w:line="240" w:lineRule="auto"/>
              <w:jc w:val="center"/>
            </w:pPr>
            <w:r/>
            <w:r>
              <w:rPr>
                <w:rFonts w:ascii="Calibri" w:hAnsi="Calibri"/>
                <w:b w:val="0"/>
                <w:i w:val="0"/>
                <w:color w:val="000000"/>
                <w:sz w:val="11"/>
              </w:rPr>
              <w:t>0.8439</w:t>
            </w:r>
          </w:p>
        </w:tc>
        <w:tc>
          <w:tcPr>
            <w:tcW w:type="dxa" w:w="2654"/>
            <w:vAlign w:val="center"/>
          </w:tcPr>
          <w:p>
            <w:pPr>
              <w:spacing w:after="0" w:line="240" w:lineRule="auto"/>
              <w:jc w:val="center"/>
            </w:pPr>
            <w:r/>
            <w:r>
              <w:rPr>
                <w:rFonts w:ascii="Calibri" w:hAnsi="Calibri"/>
                <w:b w:val="0"/>
                <w:i w:val="0"/>
                <w:color w:val="000000"/>
                <w:sz w:val="11"/>
              </w:rPr>
              <w:t>0.0220</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0.0126</w:t>
            </w:r>
          </w:p>
        </w:tc>
        <w:tc>
          <w:tcPr>
            <w:tcW w:type="dxa" w:w="1954"/>
            <w:vAlign w:val="center"/>
          </w:tcPr>
          <w:p>
            <w:pPr>
              <w:spacing w:after="0" w:line="240" w:lineRule="auto"/>
              <w:jc w:val="center"/>
            </w:pPr>
            <w:r/>
            <w:r>
              <w:rPr>
                <w:rFonts w:ascii="Calibri" w:hAnsi="Calibri"/>
                <w:b w:val="0"/>
                <w:i w:val="0"/>
                <w:color w:val="000000"/>
                <w:sz w:val="11"/>
              </w:rPr>
              <w:t>79.3333</w:t>
            </w:r>
          </w:p>
        </w:tc>
        <w:tc>
          <w:tcPr>
            <w:tcW w:type="dxa" w:w="1954"/>
            <w:vAlign w:val="center"/>
          </w:tcPr>
          <w:p>
            <w:pPr>
              <w:spacing w:after="0" w:line="240" w:lineRule="auto"/>
              <w:jc w:val="center"/>
            </w:pPr>
            <w:r/>
            <w:r>
              <w:rPr>
                <w:rFonts w:ascii="Calibri" w:hAnsi="Calibri"/>
                <w:b w:val="0"/>
                <w:i w:val="0"/>
                <w:color w:val="000000"/>
                <w:sz w:val="11"/>
              </w:rPr>
              <w:t>0.0089</w:t>
            </w:r>
          </w:p>
        </w:tc>
        <w:tc>
          <w:tcPr>
            <w:tcW w:type="dxa" w:w="1535"/>
            <w:vAlign w:val="center"/>
          </w:tcPr>
          <w:p>
            <w:pPr>
              <w:spacing w:after="0" w:line="240" w:lineRule="auto"/>
              <w:jc w:val="center"/>
            </w:pPr>
            <w:r/>
            <w:r>
              <w:rPr>
                <w:rFonts w:ascii="Calibri" w:hAnsi="Calibri"/>
                <w:b w:val="0"/>
                <w:i w:val="0"/>
                <w:color w:val="000000"/>
                <w:sz w:val="11"/>
              </w:rPr>
              <w:t>0.1657</w:t>
            </w:r>
          </w:p>
        </w:tc>
        <w:tc>
          <w:tcPr>
            <w:tcW w:type="dxa" w:w="2654"/>
            <w:vAlign w:val="center"/>
          </w:tcPr>
          <w:p>
            <w:pPr>
              <w:spacing w:after="0" w:line="240" w:lineRule="auto"/>
              <w:jc w:val="center"/>
            </w:pPr>
            <w:r/>
            <w:r>
              <w:rPr>
                <w:rFonts w:ascii="Calibri" w:hAnsi="Calibri"/>
                <w:b w:val="0"/>
                <w:i w:val="0"/>
                <w:color w:val="000000"/>
                <w:sz w:val="11"/>
              </w:rPr>
              <w:t>0.2067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0.0490</w:t>
            </w:r>
          </w:p>
        </w:tc>
        <w:tc>
          <w:tcPr>
            <w:tcW w:type="dxa" w:w="1954"/>
            <w:vAlign w:val="center"/>
          </w:tcPr>
          <w:p>
            <w:pPr>
              <w:spacing w:after="0" w:line="240" w:lineRule="auto"/>
              <w:jc w:val="center"/>
            </w:pPr>
            <w:r/>
            <w:r>
              <w:rPr>
                <w:rFonts w:ascii="Calibri" w:hAnsi="Calibri"/>
                <w:b w:val="0"/>
                <w:i w:val="0"/>
                <w:color w:val="000000"/>
                <w:sz w:val="11"/>
              </w:rPr>
              <w:t>20.4000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0.0556</w:t>
            </w:r>
          </w:p>
        </w:tc>
        <w:tc>
          <w:tcPr>
            <w:tcW w:type="dxa" w:w="2654"/>
            <w:vAlign w:val="center"/>
          </w:tcPr>
          <w:p>
            <w:pPr>
              <w:spacing w:after="0" w:line="240" w:lineRule="auto"/>
              <w:jc w:val="center"/>
            </w:pPr>
            <w:r/>
            <w:r>
              <w:rPr>
                <w:rFonts w:ascii="Calibri" w:hAnsi="Calibri"/>
                <w:b w:val="0"/>
                <w:i w:val="0"/>
                <w:color w:val="000000"/>
                <w:sz w:val="11"/>
              </w:rPr>
              <w:t>0.4323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0.1359</w:t>
            </w:r>
          </w:p>
        </w:tc>
        <w:tc>
          <w:tcPr>
            <w:tcW w:type="dxa" w:w="1954"/>
            <w:vAlign w:val="center"/>
          </w:tcPr>
          <w:p>
            <w:pPr>
              <w:spacing w:after="0" w:line="240" w:lineRule="auto"/>
              <w:jc w:val="center"/>
            </w:pPr>
            <w:r/>
            <w:r>
              <w:rPr>
                <w:rFonts w:ascii="Calibri" w:hAnsi="Calibri"/>
                <w:b w:val="0"/>
                <w:i w:val="0"/>
                <w:color w:val="000000"/>
                <w:sz w:val="11"/>
              </w:rPr>
              <w:t>7.3608</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0.0234</w:t>
            </w:r>
          </w:p>
        </w:tc>
        <w:tc>
          <w:tcPr>
            <w:tcW w:type="dxa" w:w="2654"/>
            <w:vAlign w:val="center"/>
          </w:tcPr>
          <w:p>
            <w:pPr>
              <w:spacing w:after="0" w:line="240" w:lineRule="auto"/>
              <w:jc w:val="center"/>
            </w:pPr>
            <w:r/>
            <w:r>
              <w:rPr>
                <w:rFonts w:ascii="Calibri" w:hAnsi="Calibri"/>
                <w:b w:val="0"/>
                <w:i w:val="0"/>
                <w:color w:val="000000"/>
                <w:sz w:val="11"/>
              </w:rPr>
              <w:t>0.3845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0.2535</w:t>
            </w:r>
          </w:p>
        </w:tc>
        <w:tc>
          <w:tcPr>
            <w:tcW w:type="dxa" w:w="1954"/>
            <w:vAlign w:val="center"/>
          </w:tcPr>
          <w:p>
            <w:pPr>
              <w:spacing w:after="0" w:line="240" w:lineRule="auto"/>
              <w:jc w:val="center"/>
            </w:pPr>
            <w:r/>
            <w:r>
              <w:rPr>
                <w:rFonts w:ascii="Calibri" w:hAnsi="Calibri"/>
                <w:b w:val="0"/>
                <w:i w:val="0"/>
                <w:color w:val="000000"/>
                <w:sz w:val="11"/>
              </w:rPr>
              <w:t>3.9448</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0.0148</w:t>
            </w:r>
          </w:p>
        </w:tc>
        <w:tc>
          <w:tcPr>
            <w:tcW w:type="dxa" w:w="2654"/>
            <w:vAlign w:val="center"/>
          </w:tcPr>
          <w:p>
            <w:pPr>
              <w:spacing w:after="0" w:line="240" w:lineRule="auto"/>
              <w:jc w:val="center"/>
            </w:pPr>
            <w:r/>
            <w:r>
              <w:rPr>
                <w:rFonts w:ascii="Calibri" w:hAnsi="Calibri"/>
                <w:b w:val="0"/>
                <w:i w:val="0"/>
                <w:color w:val="000000"/>
                <w:sz w:val="11"/>
              </w:rPr>
              <w:t>0.2372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0.3403</w:t>
            </w:r>
          </w:p>
        </w:tc>
        <w:tc>
          <w:tcPr>
            <w:tcW w:type="dxa" w:w="1954"/>
            <w:vAlign w:val="center"/>
          </w:tcPr>
          <w:p>
            <w:pPr>
              <w:spacing w:after="0" w:line="240" w:lineRule="auto"/>
              <w:jc w:val="center"/>
            </w:pPr>
            <w:r/>
            <w:r>
              <w:rPr>
                <w:rFonts w:ascii="Calibri" w:hAnsi="Calibri"/>
                <w:b w:val="0"/>
                <w:i w:val="0"/>
                <w:color w:val="000000"/>
                <w:sz w:val="11"/>
              </w:rPr>
              <w:t>2.9383</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0.0118</w:t>
            </w:r>
          </w:p>
        </w:tc>
        <w:tc>
          <w:tcPr>
            <w:tcW w:type="dxa" w:w="2654"/>
            <w:vAlign w:val="center"/>
          </w:tcPr>
          <w:p>
            <w:pPr>
              <w:spacing w:after="0" w:line="240" w:lineRule="auto"/>
              <w:jc w:val="center"/>
            </w:pPr>
            <w:r/>
            <w:r>
              <w:rPr>
                <w:rFonts w:ascii="Calibri" w:hAnsi="Calibri"/>
                <w:b w:val="0"/>
                <w:i w:val="0"/>
                <w:color w:val="000000"/>
                <w:sz w:val="11"/>
              </w:rPr>
              <w:t>0.3481</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0.3978</w:t>
            </w:r>
          </w:p>
        </w:tc>
        <w:tc>
          <w:tcPr>
            <w:tcW w:type="dxa" w:w="1954"/>
            <w:vAlign w:val="center"/>
          </w:tcPr>
          <w:p>
            <w:pPr>
              <w:spacing w:after="0" w:line="240" w:lineRule="auto"/>
              <w:jc w:val="center"/>
            </w:pPr>
            <w:r/>
            <w:r>
              <w:rPr>
                <w:rFonts w:ascii="Calibri" w:hAnsi="Calibri"/>
                <w:b w:val="0"/>
                <w:i w:val="0"/>
                <w:color w:val="000000"/>
                <w:sz w:val="11"/>
              </w:rPr>
              <w:t>2.5141</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0.0117</w:t>
            </w:r>
          </w:p>
        </w:tc>
        <w:tc>
          <w:tcPr>
            <w:tcW w:type="dxa" w:w="2654"/>
            <w:vAlign w:val="center"/>
          </w:tcPr>
          <w:p>
            <w:pPr>
              <w:spacing w:after="0" w:line="240" w:lineRule="auto"/>
              <w:jc w:val="center"/>
            </w:pPr>
            <w:r/>
            <w:r>
              <w:rPr>
                <w:rFonts w:ascii="Calibri" w:hAnsi="Calibri"/>
                <w:b w:val="0"/>
                <w:i w:val="0"/>
                <w:color w:val="000000"/>
                <w:sz w:val="11"/>
              </w:rPr>
              <w:t>0.4197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9.0000</w:t>
            </w:r>
          </w:p>
        </w:tc>
        <w:tc>
          <w:tcPr>
            <w:tcW w:type="dxa" w:w="1256"/>
            <w:vAlign w:val="center"/>
          </w:tcPr>
          <w:p>
            <w:pPr>
              <w:spacing w:after="0" w:line="240" w:lineRule="auto"/>
              <w:jc w:val="center"/>
            </w:pPr>
            <w:r/>
            <w:r>
              <w:rPr>
                <w:rFonts w:ascii="Calibri" w:hAnsi="Calibri"/>
                <w:b w:val="0"/>
                <w:i w:val="0"/>
                <w:color w:val="000000"/>
                <w:sz w:val="11"/>
              </w:rPr>
              <w:t>0.4468</w:t>
            </w:r>
          </w:p>
        </w:tc>
        <w:tc>
          <w:tcPr>
            <w:tcW w:type="dxa" w:w="1954"/>
            <w:vAlign w:val="center"/>
          </w:tcPr>
          <w:p>
            <w:pPr>
              <w:spacing w:after="0" w:line="240" w:lineRule="auto"/>
              <w:jc w:val="center"/>
            </w:pPr>
            <w:r/>
            <w:r>
              <w:rPr>
                <w:rFonts w:ascii="Calibri" w:hAnsi="Calibri"/>
                <w:b w:val="0"/>
                <w:i w:val="0"/>
                <w:color w:val="000000"/>
                <w:sz w:val="11"/>
              </w:rPr>
              <w:t>2.2382</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0.0104</w:t>
            </w:r>
          </w:p>
        </w:tc>
        <w:tc>
          <w:tcPr>
            <w:tcW w:type="dxa" w:w="2654"/>
            <w:vAlign w:val="center"/>
          </w:tcPr>
          <w:p>
            <w:pPr>
              <w:spacing w:after="0" w:line="240" w:lineRule="auto"/>
              <w:jc w:val="center"/>
            </w:pPr>
            <w:r/>
            <w:r>
              <w:rPr>
                <w:rFonts w:ascii="Calibri" w:hAnsi="Calibri"/>
                <w:b w:val="0"/>
                <w:i w:val="0"/>
                <w:color w:val="000000"/>
                <w:sz w:val="11"/>
              </w:rPr>
              <w:t>0.5442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0.3375</w:t>
            </w:r>
          </w:p>
        </w:tc>
        <w:tc>
          <w:tcPr>
            <w:tcW w:type="dxa" w:w="1954"/>
            <w:vAlign w:val="center"/>
          </w:tcPr>
          <w:p>
            <w:pPr>
              <w:spacing w:after="0" w:line="240" w:lineRule="auto"/>
              <w:jc w:val="center"/>
            </w:pPr>
            <w:r/>
            <w:r>
              <w:rPr>
                <w:rFonts w:ascii="Calibri" w:hAnsi="Calibri"/>
                <w:b w:val="0"/>
                <w:i w:val="0"/>
                <w:color w:val="000000"/>
                <w:sz w:val="11"/>
              </w:rPr>
              <w:t>2.9627</w:t>
            </w:r>
          </w:p>
        </w:tc>
        <w:tc>
          <w:tcPr>
            <w:tcW w:type="dxa" w:w="1954"/>
            <w:vAlign w:val="center"/>
          </w:tcPr>
          <w:p>
            <w:pPr>
              <w:spacing w:after="0" w:line="240" w:lineRule="auto"/>
              <w:jc w:val="center"/>
            </w:pPr>
            <w:r/>
            <w:r>
              <w:rPr>
                <w:rFonts w:ascii="Calibri" w:hAnsi="Calibri"/>
                <w:b w:val="0"/>
                <w:i w:val="0"/>
                <w:color w:val="000000"/>
                <w:sz w:val="11"/>
              </w:rPr>
              <w:t>0.0006</w:t>
            </w:r>
          </w:p>
        </w:tc>
        <w:tc>
          <w:tcPr>
            <w:tcW w:type="dxa" w:w="1535"/>
            <w:vAlign w:val="center"/>
          </w:tcPr>
          <w:p>
            <w:pPr>
              <w:spacing w:after="0" w:line="240" w:lineRule="auto"/>
              <w:jc w:val="center"/>
            </w:pPr>
            <w:r/>
            <w:r>
              <w:rPr>
                <w:rFonts w:ascii="Calibri" w:hAnsi="Calibri"/>
                <w:b w:val="0"/>
                <w:i w:val="0"/>
                <w:color w:val="000000"/>
                <w:sz w:val="11"/>
              </w:rPr>
              <w:t>-0.0045</w:t>
            </w:r>
          </w:p>
        </w:tc>
        <w:tc>
          <w:tcPr>
            <w:tcW w:type="dxa" w:w="2654"/>
            <w:vAlign w:val="center"/>
          </w:tcPr>
          <w:p>
            <w:pPr>
              <w:spacing w:after="0" w:line="240" w:lineRule="auto"/>
              <w:jc w:val="center"/>
            </w:pPr>
            <w:r/>
            <w:r>
              <w:rPr>
                <w:rFonts w:ascii="Calibri" w:hAnsi="Calibri"/>
                <w:b w:val="0"/>
                <w:i w:val="0"/>
                <w:color w:val="000000"/>
                <w:sz w:val="11"/>
              </w:rPr>
              <w:t>0.7875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0.2381</w:t>
            </w:r>
          </w:p>
        </w:tc>
        <w:tc>
          <w:tcPr>
            <w:tcW w:type="dxa" w:w="1954"/>
            <w:vAlign w:val="center"/>
          </w:tcPr>
          <w:p>
            <w:pPr>
              <w:spacing w:after="0" w:line="240" w:lineRule="auto"/>
              <w:jc w:val="center"/>
            </w:pPr>
            <w:r/>
            <w:r>
              <w:rPr>
                <w:rFonts w:ascii="Calibri" w:hAnsi="Calibri"/>
                <w:b w:val="0"/>
                <w:i w:val="0"/>
                <w:color w:val="000000"/>
                <w:sz w:val="11"/>
              </w:rPr>
              <w:t>4.2000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-0.0290</w:t>
            </w:r>
          </w:p>
        </w:tc>
        <w:tc>
          <w:tcPr>
            <w:tcW w:type="dxa" w:w="2654"/>
            <w:vAlign w:val="center"/>
          </w:tcPr>
          <w:p>
            <w:pPr>
              <w:spacing w:after="0" w:line="240" w:lineRule="auto"/>
              <w:jc w:val="center"/>
            </w:pPr>
            <w:r/>
            <w:r>
              <w:rPr>
                <w:rFonts w:ascii="Calibri" w:hAnsi="Calibri"/>
                <w:b w:val="0"/>
                <w:i w:val="0"/>
                <w:color w:val="000000"/>
                <w:sz w:val="11"/>
              </w:rPr>
              <w:t>0.5324</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0.0812</w:t>
            </w:r>
          </w:p>
        </w:tc>
        <w:tc>
          <w:tcPr>
            <w:tcW w:type="dxa" w:w="1954"/>
            <w:vAlign w:val="center"/>
          </w:tcPr>
          <w:p>
            <w:pPr>
              <w:spacing w:after="0" w:line="240" w:lineRule="auto"/>
              <w:jc w:val="center"/>
            </w:pPr>
            <w:r/>
            <w:r>
              <w:rPr>
                <w:rFonts w:ascii="Calibri" w:hAnsi="Calibri"/>
                <w:b w:val="0"/>
                <w:i w:val="0"/>
                <w:color w:val="000000"/>
                <w:sz w:val="11"/>
              </w:rPr>
              <w:t>12.3103</w:t>
            </w:r>
          </w:p>
        </w:tc>
        <w:tc>
          <w:tcPr>
            <w:tcW w:type="dxa" w:w="1954"/>
            <w:vAlign w:val="center"/>
          </w:tcPr>
          <w:p>
            <w:pPr>
              <w:spacing w:after="0" w:line="240" w:lineRule="auto"/>
              <w:jc w:val="center"/>
            </w:pPr>
            <w:r/>
            <w:r>
              <w:rPr>
                <w:rFonts w:ascii="Calibri" w:hAnsi="Calibri"/>
                <w:b w:val="0"/>
                <w:i w:val="0"/>
                <w:color w:val="000000"/>
                <w:sz w:val="11"/>
              </w:rPr>
              <w:t>0.0015</w:t>
            </w:r>
          </w:p>
        </w:tc>
        <w:tc>
          <w:tcPr>
            <w:tcW w:type="dxa" w:w="1535"/>
            <w:vAlign w:val="center"/>
          </w:tcPr>
          <w:p>
            <w:pPr>
              <w:spacing w:after="0" w:line="240" w:lineRule="auto"/>
              <w:jc w:val="center"/>
            </w:pPr>
            <w:r/>
            <w:r>
              <w:rPr>
                <w:rFonts w:ascii="Calibri" w:hAnsi="Calibri"/>
                <w:b w:val="0"/>
                <w:i w:val="0"/>
                <w:color w:val="000000"/>
                <w:sz w:val="11"/>
              </w:rPr>
              <w:t>0.0683</w:t>
            </w:r>
          </w:p>
        </w:tc>
        <w:tc>
          <w:tcPr>
            <w:tcW w:type="dxa" w:w="2654"/>
            <w:vAlign w:val="center"/>
          </w:tcPr>
          <w:p>
            <w:pPr>
              <w:spacing w:after="0" w:line="240" w:lineRule="auto"/>
              <w:jc w:val="center"/>
            </w:pPr>
            <w:r/>
            <w:r>
              <w:rPr>
                <w:rFonts w:ascii="Calibri" w:hAnsi="Calibri"/>
                <w:b w:val="0"/>
                <w:i w:val="0"/>
                <w:color w:val="000000"/>
                <w:sz w:val="11"/>
              </w:rPr>
              <w:t>0.3999</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0.0322</w:t>
            </w:r>
          </w:p>
        </w:tc>
        <w:tc>
          <w:tcPr>
            <w:tcW w:type="dxa" w:w="1954"/>
            <w:vAlign w:val="center"/>
          </w:tcPr>
          <w:p>
            <w:pPr>
              <w:spacing w:after="0" w:line="240" w:lineRule="auto"/>
              <w:jc w:val="center"/>
            </w:pPr>
            <w:r/>
            <w:r>
              <w:rPr>
                <w:rFonts w:ascii="Calibri" w:hAnsi="Calibri"/>
                <w:b w:val="0"/>
                <w:i w:val="0"/>
                <w:color w:val="000000"/>
                <w:sz w:val="11"/>
              </w:rPr>
              <w:t>31.0435</w:t>
            </w:r>
          </w:p>
        </w:tc>
        <w:tc>
          <w:tcPr>
            <w:tcW w:type="dxa" w:w="1954"/>
            <w:vAlign w:val="center"/>
          </w:tcPr>
          <w:p>
            <w:pPr>
              <w:spacing w:after="0" w:line="240" w:lineRule="auto"/>
              <w:jc w:val="center"/>
            </w:pPr>
            <w:r/>
            <w:r>
              <w:rPr>
                <w:rFonts w:ascii="Calibri" w:hAnsi="Calibri"/>
                <w:b w:val="0"/>
                <w:i w:val="0"/>
                <w:color w:val="000000"/>
                <w:sz w:val="11"/>
              </w:rPr>
              <w:t>0.0068</w:t>
            </w:r>
          </w:p>
        </w:tc>
        <w:tc>
          <w:tcPr>
            <w:tcW w:type="dxa" w:w="1535"/>
            <w:vAlign w:val="center"/>
          </w:tcPr>
          <w:p>
            <w:pPr>
              <w:spacing w:after="0" w:line="240" w:lineRule="auto"/>
              <w:jc w:val="center"/>
            </w:pPr>
            <w:r/>
            <w:r>
              <w:rPr>
                <w:rFonts w:ascii="Calibri" w:hAnsi="Calibri"/>
                <w:b w:val="0"/>
                <w:i w:val="0"/>
                <w:color w:val="000000"/>
                <w:sz w:val="11"/>
              </w:rPr>
              <w:t>0.1861</w:t>
            </w:r>
          </w:p>
        </w:tc>
        <w:tc>
          <w:tcPr>
            <w:tcW w:type="dxa" w:w="2654"/>
            <w:vAlign w:val="center"/>
          </w:tcPr>
          <w:p>
            <w:pPr>
              <w:spacing w:after="0" w:line="240" w:lineRule="auto"/>
              <w:jc w:val="center"/>
            </w:pPr>
            <w:r/>
            <w:r>
              <w:rPr>
                <w:rFonts w:ascii="Calibri" w:hAnsi="Calibri"/>
                <w:b w:val="0"/>
                <w:i w:val="0"/>
                <w:color w:val="000000"/>
                <w:sz w:val="11"/>
              </w:rPr>
              <w:t>0.2353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0.0098</w:t>
            </w:r>
          </w:p>
        </w:tc>
        <w:tc>
          <w:tcPr>
            <w:tcW w:type="dxa" w:w="1954"/>
            <w:vAlign w:val="center"/>
          </w:tcPr>
          <w:p>
            <w:pPr>
              <w:spacing w:after="0" w:line="240" w:lineRule="auto"/>
              <w:jc w:val="center"/>
            </w:pPr>
            <w:r/>
            <w:r>
              <w:rPr>
                <w:rFonts w:ascii="Calibri" w:hAnsi="Calibri"/>
                <w:b w:val="0"/>
                <w:i w:val="0"/>
                <w:color w:val="000000"/>
                <w:sz w:val="11"/>
              </w:rPr>
              <w:t>102.0000</w:t>
            </w:r>
          </w:p>
        </w:tc>
        <w:tc>
          <w:tcPr>
            <w:tcW w:type="dxa" w:w="1954"/>
            <w:vAlign w:val="center"/>
          </w:tcPr>
          <w:p>
            <w:pPr>
              <w:spacing w:after="0" w:line="240" w:lineRule="auto"/>
              <w:jc w:val="center"/>
            </w:pPr>
            <w:r/>
            <w:r>
              <w:rPr>
                <w:rFonts w:ascii="Calibri" w:hAnsi="Calibri"/>
                <w:b w:val="0"/>
                <w:i w:val="0"/>
                <w:color w:val="000000"/>
                <w:sz w:val="11"/>
              </w:rPr>
              <w:t>0.0542</w:t>
            </w:r>
          </w:p>
        </w:tc>
        <w:tc>
          <w:tcPr>
            <w:tcW w:type="dxa" w:w="1535"/>
            <w:vAlign w:val="center"/>
          </w:tcPr>
          <w:p>
            <w:pPr>
              <w:spacing w:after="0" w:line="240" w:lineRule="auto"/>
              <w:jc w:val="center"/>
            </w:pPr>
            <w:r/>
            <w:r>
              <w:rPr>
                <w:rFonts w:ascii="Calibri" w:hAnsi="Calibri"/>
                <w:b w:val="0"/>
                <w:i w:val="0"/>
                <w:color w:val="000000"/>
                <w:sz w:val="11"/>
              </w:rPr>
              <w:t>0.4401</w:t>
            </w:r>
          </w:p>
        </w:tc>
        <w:tc>
          <w:tcPr>
            <w:tcW w:type="dxa" w:w="2654"/>
            <w:vAlign w:val="center"/>
          </w:tcPr>
          <w:p>
            <w:pPr>
              <w:spacing w:after="0" w:line="240" w:lineRule="auto"/>
              <w:jc w:val="center"/>
            </w:pPr>
            <w:r/>
            <w:r>
              <w:rPr>
                <w:rFonts w:ascii="Calibri" w:hAnsi="Calibri"/>
                <w:b w:val="0"/>
                <w:i w:val="0"/>
                <w:color w:val="000000"/>
                <w:sz w:val="11"/>
              </w:rPr>
              <w:t>0.0716</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0.0042</w:t>
            </w:r>
          </w:p>
        </w:tc>
        <w:tc>
          <w:tcPr>
            <w:tcW w:type="dxa" w:w="1954"/>
            <w:vAlign w:val="center"/>
          </w:tcPr>
          <w:p>
            <w:pPr>
              <w:spacing w:after="0" w:line="240" w:lineRule="auto"/>
              <w:jc w:val="center"/>
            </w:pPr>
            <w:r/>
            <w:r>
              <w:rPr>
                <w:rFonts w:ascii="Calibri" w:hAnsi="Calibri"/>
                <w:b w:val="0"/>
                <w:i w:val="0"/>
                <w:color w:val="000000"/>
                <w:sz w:val="11"/>
              </w:rPr>
              <w:t>238.0000</w:t>
            </w:r>
          </w:p>
        </w:tc>
        <w:tc>
          <w:tcPr>
            <w:tcW w:type="dxa" w:w="1954"/>
            <w:vAlign w:val="center"/>
          </w:tcPr>
          <w:p>
            <w:pPr>
              <w:spacing w:after="0" w:line="240" w:lineRule="auto"/>
              <w:jc w:val="center"/>
            </w:pPr>
            <w:r/>
            <w:r>
              <w:rPr>
                <w:rFonts w:ascii="Calibri" w:hAnsi="Calibri"/>
                <w:b w:val="0"/>
                <w:i w:val="0"/>
                <w:color w:val="000000"/>
                <w:sz w:val="11"/>
              </w:rPr>
              <w:t>0.0617</w:t>
            </w:r>
          </w:p>
        </w:tc>
        <w:tc>
          <w:tcPr>
            <w:tcW w:type="dxa" w:w="1535"/>
            <w:vAlign w:val="center"/>
          </w:tcPr>
          <w:p>
            <w:pPr>
              <w:spacing w:after="0" w:line="240" w:lineRule="auto"/>
              <w:jc w:val="center"/>
            </w:pPr>
            <w:r/>
            <w:r>
              <w:rPr>
                <w:rFonts w:ascii="Calibri" w:hAnsi="Calibri"/>
                <w:b w:val="0"/>
                <w:i w:val="0"/>
                <w:color w:val="000000"/>
                <w:sz w:val="11"/>
              </w:rPr>
              <w:t>0.6934</w:t>
            </w:r>
          </w:p>
        </w:tc>
        <w:tc>
          <w:tcPr>
            <w:tcW w:type="dxa" w:w="2654"/>
            <w:vAlign w:val="center"/>
          </w:tcPr>
          <w:p>
            <w:pPr>
              <w:spacing w:after="0" w:line="240" w:lineRule="auto"/>
              <w:jc w:val="center"/>
            </w:pPr>
            <w:r/>
            <w:r>
              <w:rPr>
                <w:rFonts w:ascii="Calibri" w:hAnsi="Calibri"/>
                <w:b w:val="0"/>
                <w:i w:val="0"/>
                <w:color w:val="000000"/>
                <w:sz w:val="11"/>
              </w:rPr>
              <w:t>0.0342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0.0000</w:t>
            </w:r>
          </w:p>
        </w:tc>
        <w:tc>
          <w:tcPr>
            <w:tcW w:type="dxa" w:w="1954"/>
            <w:vAlign w:val="center"/>
          </w:tcPr>
          <w:p>
            <w:pPr>
              <w:spacing w:after="0" w:line="240" w:lineRule="auto"/>
              <w:jc w:val="center"/>
            </w:pPr>
            <w:r/>
            <w:r>
              <w:rPr>
                <w:rFonts w:ascii="Calibri" w:hAnsi="Calibri"/>
                <w:b w:val="0"/>
                <w:i w:val="0"/>
                <w:color w:val="000000"/>
                <w:sz w:val="11"/>
              </w:rPr>
            </w:r>
          </w:p>
        </w:tc>
        <w:tc>
          <w:tcPr>
            <w:tcW w:type="dxa" w:w="1954"/>
            <w:vAlign w:val="center"/>
          </w:tcPr>
          <w:p>
            <w:pPr>
              <w:spacing w:after="0" w:line="240" w:lineRule="auto"/>
              <w:jc w:val="center"/>
            </w:pPr>
            <w:r/>
            <w:r>
              <w:rPr>
                <w:rFonts w:ascii="Calibri" w:hAnsi="Calibri"/>
                <w:b w:val="0"/>
                <w:i w:val="0"/>
                <w:color w:val="000000"/>
                <w:sz w:val="11"/>
              </w:rPr>
              <w:t>0.6059</w:t>
            </w:r>
          </w:p>
        </w:tc>
        <w:tc>
          <w:tcPr>
            <w:tcW w:type="dxa" w:w="1535"/>
            <w:vAlign w:val="center"/>
          </w:tcPr>
          <w:p>
            <w:pPr>
              <w:spacing w:after="0" w:line="240" w:lineRule="auto"/>
              <w:jc w:val="center"/>
            </w:pPr>
            <w:r/>
            <w:r>
              <w:rPr>
                <w:rFonts w:ascii="Calibri" w:hAnsi="Calibri"/>
                <w:b w:val="0"/>
                <w:i w:val="0"/>
                <w:color w:val="000000"/>
                <w:sz w:val="11"/>
              </w:rPr>
              <w:t>0.9098</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0.0072</w:t>
            </w:r>
          </w:p>
        </w:tc>
        <w:tc>
          <w:tcPr>
            <w:tcW w:type="dxa" w:w="1954"/>
            <w:vAlign w:val="center"/>
          </w:tcPr>
          <w:p>
            <w:pPr>
              <w:spacing w:after="0" w:line="240" w:lineRule="auto"/>
              <w:jc w:val="center"/>
            </w:pPr>
            <w:r/>
            <w:r>
              <w:rPr>
                <w:rFonts w:ascii="Calibri" w:hAnsi="Calibri"/>
                <w:b w:val="0"/>
                <w:i w:val="0"/>
                <w:color w:val="000000"/>
                <w:sz w:val="11"/>
              </w:rPr>
              <w:t>138.0000</w:t>
            </w:r>
          </w:p>
        </w:tc>
        <w:tc>
          <w:tcPr>
            <w:tcW w:type="dxa" w:w="1954"/>
            <w:vAlign w:val="center"/>
          </w:tcPr>
          <w:p>
            <w:pPr>
              <w:spacing w:after="0" w:line="240" w:lineRule="auto"/>
              <w:jc w:val="center"/>
            </w:pPr>
            <w:r/>
            <w:r>
              <w:rPr>
                <w:rFonts w:ascii="Calibri" w:hAnsi="Calibri"/>
                <w:b w:val="0"/>
                <w:i w:val="0"/>
                <w:color w:val="000000"/>
                <w:sz w:val="11"/>
              </w:rPr>
              <w:t>0.2786</w:t>
            </w:r>
          </w:p>
        </w:tc>
        <w:tc>
          <w:tcPr>
            <w:tcW w:type="dxa" w:w="1535"/>
            <w:vAlign w:val="center"/>
          </w:tcPr>
          <w:p>
            <w:pPr>
              <w:spacing w:after="0" w:line="240" w:lineRule="auto"/>
              <w:jc w:val="center"/>
            </w:pPr>
            <w:r/>
            <w:r>
              <w:rPr>
                <w:rFonts w:ascii="Calibri" w:hAnsi="Calibri"/>
                <w:b w:val="0"/>
                <w:i w:val="0"/>
                <w:color w:val="000000"/>
                <w:sz w:val="11"/>
              </w:rPr>
              <w:t>0.8026</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0.3836</w:t>
            </w:r>
          </w:p>
        </w:tc>
        <w:tc>
          <w:tcPr>
            <w:tcW w:type="dxa" w:w="1535"/>
            <w:vAlign w:val="center"/>
          </w:tcPr>
          <w:p>
            <w:pPr>
              <w:spacing w:after="0" w:line="240" w:lineRule="auto"/>
              <w:jc w:val="center"/>
            </w:pPr>
            <w:r/>
            <w:r>
              <w:rPr>
                <w:rFonts w:ascii="Calibri" w:hAnsi="Calibri"/>
                <w:b w:val="0"/>
                <w:i w:val="0"/>
                <w:color w:val="000000"/>
                <w:sz w:val="11"/>
              </w:rPr>
              <w:t>0.8602</w:t>
            </w:r>
          </w:p>
        </w:tc>
        <w:tc>
          <w:tcPr>
            <w:tcW w:type="dxa" w:w="2654"/>
            <w:vAlign w:val="center"/>
          </w:tcPr>
          <w:p>
            <w:pPr>
              <w:spacing w:after="0" w:line="240" w:lineRule="auto"/>
              <w:jc w:val="center"/>
            </w:pPr>
            <w:r/>
            <w:r>
              <w:rPr>
                <w:rFonts w:ascii="Calibri" w:hAnsi="Calibri"/>
                <w:b w:val="0"/>
                <w:i w:val="0"/>
                <w:color w:val="000000"/>
                <w:sz w:val="11"/>
              </w:rPr>
              <w:t>0.0265</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0.0101</w:t>
            </w:r>
          </w:p>
        </w:tc>
        <w:tc>
          <w:tcPr>
            <w:tcW w:type="dxa" w:w="1954"/>
            <w:vAlign w:val="center"/>
          </w:tcPr>
          <w:p>
            <w:pPr>
              <w:spacing w:after="0" w:line="240" w:lineRule="auto"/>
              <w:jc w:val="center"/>
            </w:pPr>
            <w:r/>
            <w:r>
              <w:rPr>
                <w:rFonts w:ascii="Calibri" w:hAnsi="Calibri"/>
                <w:b w:val="0"/>
                <w:i w:val="0"/>
                <w:color w:val="000000"/>
                <w:sz w:val="11"/>
              </w:rPr>
              <w:t>98.5714</w:t>
            </w:r>
          </w:p>
        </w:tc>
        <w:tc>
          <w:tcPr>
            <w:tcW w:type="dxa" w:w="1954"/>
            <w:vAlign w:val="center"/>
          </w:tcPr>
          <w:p>
            <w:pPr>
              <w:spacing w:after="0" w:line="240" w:lineRule="auto"/>
              <w:jc w:val="center"/>
            </w:pPr>
            <w:r/>
            <w:r>
              <w:rPr>
                <w:rFonts w:ascii="Calibri" w:hAnsi="Calibri"/>
                <w:b w:val="0"/>
                <w:i w:val="0"/>
                <w:color w:val="000000"/>
                <w:sz w:val="11"/>
              </w:rPr>
              <w:t>0.0213</w:t>
            </w:r>
          </w:p>
        </w:tc>
        <w:tc>
          <w:tcPr>
            <w:tcW w:type="dxa" w:w="1535"/>
            <w:vAlign w:val="center"/>
          </w:tcPr>
          <w:p>
            <w:pPr>
              <w:spacing w:after="0" w:line="240" w:lineRule="auto"/>
              <w:jc w:val="center"/>
            </w:pPr>
            <w:r/>
            <w:r>
              <w:rPr>
                <w:rFonts w:ascii="Calibri" w:hAnsi="Calibri"/>
                <w:b w:val="0"/>
                <w:i w:val="0"/>
                <w:color w:val="000000"/>
                <w:sz w:val="11"/>
              </w:rPr>
              <w:t>0.2181</w:t>
            </w:r>
          </w:p>
        </w:tc>
        <w:tc>
          <w:tcPr>
            <w:tcW w:type="dxa" w:w="2654"/>
            <w:vAlign w:val="center"/>
          </w:tcPr>
          <w:p>
            <w:pPr>
              <w:spacing w:after="0" w:line="240" w:lineRule="auto"/>
              <w:jc w:val="center"/>
            </w:pPr>
            <w:r/>
            <w:r>
              <w:rPr>
                <w:rFonts w:ascii="Calibri" w:hAnsi="Calibri"/>
                <w:b w:val="0"/>
                <w:i w:val="0"/>
                <w:color w:val="000000"/>
                <w:sz w:val="11"/>
              </w:rPr>
              <w:t>0.2060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0.0304</w:t>
            </w:r>
          </w:p>
        </w:tc>
        <w:tc>
          <w:tcPr>
            <w:tcW w:type="dxa" w:w="1954"/>
            <w:vAlign w:val="center"/>
          </w:tcPr>
          <w:p>
            <w:pPr>
              <w:spacing w:after="0" w:line="240" w:lineRule="auto"/>
              <w:jc w:val="center"/>
            </w:pPr>
            <w:r/>
            <w:r>
              <w:rPr>
                <w:rFonts w:ascii="Calibri" w:hAnsi="Calibri"/>
                <w:b w:val="0"/>
                <w:i w:val="0"/>
                <w:color w:val="000000"/>
                <w:sz w:val="11"/>
              </w:rPr>
              <w:t>32.8571</w:t>
            </w:r>
          </w:p>
        </w:tc>
        <w:tc>
          <w:tcPr>
            <w:tcW w:type="dxa" w:w="1954"/>
            <w:vAlign w:val="center"/>
          </w:tcPr>
          <w:p>
            <w:pPr>
              <w:spacing w:after="0" w:line="240" w:lineRule="auto"/>
              <w:jc w:val="center"/>
            </w:pPr>
            <w:r/>
            <w:r>
              <w:rPr>
                <w:rFonts w:ascii="Calibri" w:hAnsi="Calibri"/>
                <w:b w:val="0"/>
                <w:i w:val="0"/>
                <w:color w:val="000000"/>
                <w:sz w:val="11"/>
              </w:rPr>
              <w:t>0.0040</w:t>
            </w:r>
          </w:p>
        </w:tc>
        <w:tc>
          <w:tcPr>
            <w:tcW w:type="dxa" w:w="1535"/>
            <w:vAlign w:val="center"/>
          </w:tcPr>
          <w:p>
            <w:pPr>
              <w:spacing w:after="0" w:line="240" w:lineRule="auto"/>
              <w:jc w:val="center"/>
            </w:pPr>
            <w:r/>
            <w:r>
              <w:rPr>
                <w:rFonts w:ascii="Calibri" w:hAnsi="Calibri"/>
                <w:b w:val="0"/>
                <w:i w:val="0"/>
                <w:color w:val="000000"/>
                <w:sz w:val="11"/>
              </w:rPr>
              <w:t>0.0977</w:t>
            </w:r>
          </w:p>
        </w:tc>
        <w:tc>
          <w:tcPr>
            <w:tcW w:type="dxa" w:w="2654"/>
            <w:vAlign w:val="center"/>
          </w:tcPr>
          <w:p>
            <w:pPr>
              <w:spacing w:after="0" w:line="240" w:lineRule="auto"/>
              <w:jc w:val="center"/>
            </w:pPr>
            <w:r/>
            <w:r>
              <w:rPr>
                <w:rFonts w:ascii="Calibri" w:hAnsi="Calibri"/>
                <w:b w:val="0"/>
                <w:i w:val="0"/>
                <w:color w:val="000000"/>
                <w:sz w:val="11"/>
              </w:rPr>
              <w:t>0.3076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0.0580</w:t>
            </w:r>
          </w:p>
        </w:tc>
        <w:tc>
          <w:tcPr>
            <w:tcW w:type="dxa" w:w="1954"/>
            <w:vAlign w:val="center"/>
          </w:tcPr>
          <w:p>
            <w:pPr>
              <w:spacing w:after="0" w:line="240" w:lineRule="auto"/>
              <w:jc w:val="center"/>
            </w:pPr>
            <w:r/>
            <w:r>
              <w:rPr>
                <w:rFonts w:ascii="Calibri" w:hAnsi="Calibri"/>
                <w:b w:val="0"/>
                <w:i w:val="0"/>
                <w:color w:val="000000"/>
                <w:sz w:val="11"/>
              </w:rPr>
              <w:t>17.2500</w:t>
            </w:r>
          </w:p>
        </w:tc>
        <w:tc>
          <w:tcPr>
            <w:tcW w:type="dxa" w:w="1954"/>
            <w:vAlign w:val="center"/>
          </w:tcPr>
          <w:p>
            <w:pPr>
              <w:spacing w:after="0" w:line="240" w:lineRule="auto"/>
              <w:jc w:val="center"/>
            </w:pPr>
            <w:r/>
            <w:r>
              <w:rPr>
                <w:rFonts w:ascii="Calibri" w:hAnsi="Calibri"/>
                <w:b w:val="0"/>
                <w:i w:val="0"/>
                <w:color w:val="000000"/>
                <w:sz w:val="11"/>
              </w:rPr>
              <w:t>0.0018</w:t>
            </w:r>
          </w:p>
        </w:tc>
        <w:tc>
          <w:tcPr>
            <w:tcW w:type="dxa" w:w="1535"/>
            <w:vAlign w:val="center"/>
          </w:tcPr>
          <w:p>
            <w:pPr>
              <w:spacing w:after="0" w:line="240" w:lineRule="auto"/>
              <w:jc w:val="center"/>
            </w:pPr>
            <w:r/>
            <w:r>
              <w:rPr>
                <w:rFonts w:ascii="Calibri" w:hAnsi="Calibri"/>
                <w:b w:val="0"/>
                <w:i w:val="0"/>
                <w:color w:val="000000"/>
                <w:sz w:val="11"/>
              </w:rPr>
              <w:t>0.0619</w:t>
            </w:r>
          </w:p>
        </w:tc>
        <w:tc>
          <w:tcPr>
            <w:tcW w:type="dxa" w:w="2654"/>
            <w:vAlign w:val="center"/>
          </w:tcPr>
          <w:p>
            <w:pPr>
              <w:spacing w:after="0" w:line="240" w:lineRule="auto"/>
              <w:jc w:val="center"/>
            </w:pPr>
            <w:r/>
            <w:r>
              <w:rPr>
                <w:rFonts w:ascii="Calibri" w:hAnsi="Calibri"/>
                <w:b w:val="0"/>
                <w:i w:val="0"/>
                <w:color w:val="000000"/>
                <w:sz w:val="11"/>
              </w:rPr>
              <w:t>0.2997</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0.3058</w:t>
            </w:r>
          </w:p>
        </w:tc>
        <w:tc>
          <w:tcPr>
            <w:tcW w:type="dxa" w:w="1954"/>
            <w:vAlign w:val="center"/>
          </w:tcPr>
          <w:p>
            <w:pPr>
              <w:spacing w:after="0" w:line="240" w:lineRule="auto"/>
              <w:jc w:val="center"/>
            </w:pPr>
            <w:r/>
            <w:r>
              <w:rPr>
                <w:rFonts w:ascii="Calibri" w:hAnsi="Calibri"/>
                <w:b w:val="0"/>
                <w:i w:val="0"/>
                <w:color w:val="000000"/>
                <w:sz w:val="11"/>
              </w:rPr>
              <w:t>3.2701</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0.0086</w:t>
            </w:r>
          </w:p>
        </w:tc>
        <w:tc>
          <w:tcPr>
            <w:tcW w:type="dxa" w:w="2654"/>
            <w:vAlign w:val="center"/>
          </w:tcPr>
          <w:p>
            <w:pPr>
              <w:spacing w:after="0" w:line="240" w:lineRule="auto"/>
              <w:jc w:val="center"/>
            </w:pPr>
            <w:r/>
            <w:r>
              <w:rPr>
                <w:rFonts w:ascii="Calibri" w:hAnsi="Calibri"/>
                <w:b w:val="0"/>
                <w:i w:val="0"/>
                <w:color w:val="000000"/>
                <w:sz w:val="11"/>
              </w:rPr>
              <w:t>0.2383</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0.3522</w:t>
            </w:r>
          </w:p>
        </w:tc>
        <w:tc>
          <w:tcPr>
            <w:tcW w:type="dxa" w:w="1954"/>
            <w:vAlign w:val="center"/>
          </w:tcPr>
          <w:p>
            <w:pPr>
              <w:spacing w:after="0" w:line="240" w:lineRule="auto"/>
              <w:jc w:val="center"/>
            </w:pPr>
            <w:r/>
            <w:r>
              <w:rPr>
                <w:rFonts w:ascii="Calibri" w:hAnsi="Calibri"/>
                <w:b w:val="0"/>
                <w:i w:val="0"/>
                <w:color w:val="000000"/>
                <w:sz w:val="11"/>
              </w:rPr>
              <w:t>2.8395</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0.0074</w:t>
            </w:r>
          </w:p>
        </w:tc>
        <w:tc>
          <w:tcPr>
            <w:tcW w:type="dxa" w:w="2654"/>
            <w:vAlign w:val="center"/>
          </w:tcPr>
          <w:p>
            <w:pPr>
              <w:spacing w:after="0" w:line="240" w:lineRule="auto"/>
              <w:jc w:val="center"/>
            </w:pPr>
            <w:r/>
            <w:r>
              <w:rPr>
                <w:rFonts w:ascii="Calibri" w:hAnsi="Calibri"/>
                <w:b w:val="0"/>
                <w:i w:val="0"/>
                <w:color w:val="000000"/>
                <w:sz w:val="11"/>
              </w:rPr>
              <w:t>0.3242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0.4029</w:t>
            </w:r>
          </w:p>
        </w:tc>
        <w:tc>
          <w:tcPr>
            <w:tcW w:type="dxa" w:w="1954"/>
            <w:vAlign w:val="center"/>
          </w:tcPr>
          <w:p>
            <w:pPr>
              <w:spacing w:after="0" w:line="240" w:lineRule="auto"/>
              <w:jc w:val="center"/>
            </w:pPr>
            <w:r/>
            <w:r>
              <w:rPr>
                <w:rFonts w:ascii="Calibri" w:hAnsi="Calibri"/>
                <w:b w:val="0"/>
                <w:i w:val="0"/>
                <w:color w:val="000000"/>
                <w:sz w:val="11"/>
              </w:rPr>
              <w:t>2.4820</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0.0068</w:t>
            </w:r>
          </w:p>
        </w:tc>
        <w:tc>
          <w:tcPr>
            <w:tcW w:type="dxa" w:w="2654"/>
            <w:vAlign w:val="center"/>
          </w:tcPr>
          <w:p>
            <w:pPr>
              <w:spacing w:after="0" w:line="240" w:lineRule="auto"/>
              <w:jc w:val="center"/>
            </w:pPr>
            <w:r/>
            <w:r>
              <w:rPr>
                <w:rFonts w:ascii="Calibri" w:hAnsi="Calibri"/>
                <w:b w:val="0"/>
                <w:i w:val="0"/>
                <w:color w:val="000000"/>
                <w:sz w:val="11"/>
              </w:rPr>
              <w:t>0.5062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0.3275</w:t>
            </w:r>
          </w:p>
        </w:tc>
        <w:tc>
          <w:tcPr>
            <w:tcW w:type="dxa" w:w="1954"/>
            <w:vAlign w:val="center"/>
          </w:tcPr>
          <w:p>
            <w:pPr>
              <w:spacing w:after="0" w:line="240" w:lineRule="auto"/>
              <w:jc w:val="center"/>
            </w:pPr>
            <w:r/>
            <w:r>
              <w:rPr>
                <w:rFonts w:ascii="Calibri" w:hAnsi="Calibri"/>
                <w:b w:val="0"/>
                <w:i w:val="0"/>
                <w:color w:val="000000"/>
                <w:sz w:val="11"/>
              </w:rPr>
              <w:t>3.0531</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-0.0179</w:t>
            </w:r>
          </w:p>
        </w:tc>
        <w:tc>
          <w:tcPr>
            <w:tcW w:type="dxa" w:w="2654"/>
            <w:vAlign w:val="center"/>
          </w:tcPr>
          <w:p>
            <w:pPr>
              <w:spacing w:after="0" w:line="240" w:lineRule="auto"/>
              <w:jc w:val="center"/>
            </w:pPr>
            <w:r/>
            <w:r>
              <w:rPr>
                <w:rFonts w:ascii="Calibri" w:hAnsi="Calibri"/>
                <w:b w:val="0"/>
                <w:i w:val="0"/>
                <w:color w:val="000000"/>
                <w:sz w:val="11"/>
              </w:rPr>
              <w:t>0.8096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0.2580</w:t>
            </w:r>
          </w:p>
        </w:tc>
        <w:tc>
          <w:tcPr>
            <w:tcW w:type="dxa" w:w="1954"/>
            <w:vAlign w:val="center"/>
          </w:tcPr>
          <w:p>
            <w:pPr>
              <w:spacing w:after="0" w:line="240" w:lineRule="auto"/>
              <w:jc w:val="center"/>
            </w:pPr>
            <w:r/>
            <w:r>
              <w:rPr>
                <w:rFonts w:ascii="Calibri" w:hAnsi="Calibri"/>
                <w:b w:val="0"/>
                <w:i w:val="0"/>
                <w:color w:val="000000"/>
                <w:sz w:val="11"/>
              </w:rPr>
              <w:t>3.8764</w:t>
            </w:r>
          </w:p>
        </w:tc>
        <w:tc>
          <w:tcPr>
            <w:tcW w:type="dxa" w:w="1954"/>
            <w:vAlign w:val="center"/>
          </w:tcPr>
          <w:p>
            <w:pPr>
              <w:spacing w:after="0" w:line="240" w:lineRule="auto"/>
              <w:jc w:val="center"/>
            </w:pPr>
            <w:r/>
            <w:r>
              <w:rPr>
                <w:rFonts w:ascii="Calibri" w:hAnsi="Calibri"/>
                <w:b w:val="0"/>
                <w:i w:val="0"/>
                <w:color w:val="000000"/>
                <w:sz w:val="11"/>
              </w:rPr>
              <w:t>0.0011</w:t>
            </w:r>
          </w:p>
        </w:tc>
        <w:tc>
          <w:tcPr>
            <w:tcW w:type="dxa" w:w="1535"/>
            <w:vAlign w:val="center"/>
          </w:tcPr>
          <w:p>
            <w:pPr>
              <w:spacing w:after="0" w:line="240" w:lineRule="auto"/>
              <w:jc w:val="center"/>
            </w:pPr>
            <w:r/>
            <w:r>
              <w:rPr>
                <w:rFonts w:ascii="Calibri" w:hAnsi="Calibri"/>
                <w:b w:val="0"/>
                <w:i w:val="0"/>
                <w:color w:val="000000"/>
                <w:sz w:val="11"/>
              </w:rPr>
              <w:t>0.0308</w:t>
            </w:r>
          </w:p>
        </w:tc>
        <w:tc>
          <w:tcPr>
            <w:tcW w:type="dxa" w:w="2654"/>
            <w:vAlign w:val="center"/>
          </w:tcPr>
          <w:p>
            <w:pPr>
              <w:spacing w:after="0" w:line="240" w:lineRule="auto"/>
              <w:jc w:val="center"/>
            </w:pPr>
            <w:r/>
            <w:r>
              <w:rPr>
                <w:rFonts w:ascii="Calibri" w:hAnsi="Calibri"/>
                <w:b w:val="0"/>
                <w:i w:val="0"/>
                <w:color w:val="000000"/>
                <w:sz w:val="11"/>
              </w:rPr>
              <w:t>0.2441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0.0710</w:t>
            </w:r>
          </w:p>
        </w:tc>
        <w:tc>
          <w:tcPr>
            <w:tcW w:type="dxa" w:w="1954"/>
            <w:vAlign w:val="center"/>
          </w:tcPr>
          <w:p>
            <w:pPr>
              <w:spacing w:after="0" w:line="240" w:lineRule="auto"/>
              <w:jc w:val="center"/>
            </w:pPr>
            <w:r/>
            <w:r>
              <w:rPr>
                <w:rFonts w:ascii="Calibri" w:hAnsi="Calibri"/>
                <w:b w:val="0"/>
                <w:i w:val="0"/>
                <w:color w:val="000000"/>
                <w:sz w:val="11"/>
              </w:rPr>
              <w:t>14.0816</w:t>
            </w:r>
          </w:p>
        </w:tc>
        <w:tc>
          <w:tcPr>
            <w:tcW w:type="dxa" w:w="1954"/>
            <w:vAlign w:val="center"/>
          </w:tcPr>
          <w:p>
            <w:pPr>
              <w:spacing w:after="0" w:line="240" w:lineRule="auto"/>
              <w:jc w:val="center"/>
            </w:pPr>
            <w:r/>
            <w:r>
              <w:rPr>
                <w:rFonts w:ascii="Calibri" w:hAnsi="Calibri"/>
                <w:b w:val="0"/>
                <w:i w:val="0"/>
                <w:color w:val="000000"/>
                <w:sz w:val="11"/>
              </w:rPr>
              <w:t>0.0029</w:t>
            </w:r>
          </w:p>
        </w:tc>
        <w:tc>
          <w:tcPr>
            <w:tcW w:type="dxa" w:w="1535"/>
            <w:vAlign w:val="center"/>
          </w:tcPr>
          <w:p>
            <w:pPr>
              <w:spacing w:after="0" w:line="240" w:lineRule="auto"/>
              <w:jc w:val="center"/>
            </w:pPr>
            <w:r/>
            <w:r>
              <w:rPr>
                <w:rFonts w:ascii="Calibri" w:hAnsi="Calibri"/>
                <w:b w:val="0"/>
                <w:i w:val="0"/>
                <w:color w:val="000000"/>
                <w:sz w:val="11"/>
              </w:rPr>
              <w:t>0.2553</w:t>
            </w:r>
          </w:p>
        </w:tc>
        <w:tc>
          <w:tcPr>
            <w:tcW w:type="dxa" w:w="2654"/>
            <w:vAlign w:val="center"/>
          </w:tcPr>
          <w:p>
            <w:pPr>
              <w:spacing w:after="0" w:line="240" w:lineRule="auto"/>
              <w:jc w:val="center"/>
            </w:pPr>
            <w:r/>
            <w:r>
              <w:rPr>
                <w:rFonts w:ascii="Calibri" w:hAnsi="Calibri"/>
                <w:b w:val="0"/>
                <w:i w:val="0"/>
                <w:color w:val="000000"/>
                <w:sz w:val="11"/>
              </w:rPr>
              <w:t>0.3550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0.0217</w:t>
            </w:r>
          </w:p>
        </w:tc>
        <w:tc>
          <w:tcPr>
            <w:tcW w:type="dxa" w:w="1954"/>
            <w:vAlign w:val="center"/>
          </w:tcPr>
          <w:p>
            <w:pPr>
              <w:spacing w:after="0" w:line="240" w:lineRule="auto"/>
              <w:jc w:val="center"/>
            </w:pPr>
            <w:r/>
            <w:r>
              <w:rPr>
                <w:rFonts w:ascii="Calibri" w:hAnsi="Calibri"/>
                <w:b w:val="0"/>
                <w:i w:val="0"/>
                <w:color w:val="000000"/>
                <w:sz w:val="11"/>
              </w:rPr>
              <w:t>46.0000</w:t>
            </w:r>
          </w:p>
        </w:tc>
        <w:tc>
          <w:tcPr>
            <w:tcW w:type="dxa" w:w="1954"/>
            <w:vAlign w:val="center"/>
          </w:tcPr>
          <w:p>
            <w:pPr>
              <w:spacing w:after="0" w:line="240" w:lineRule="auto"/>
              <w:jc w:val="center"/>
            </w:pPr>
            <w:r/>
            <w:r>
              <w:rPr>
                <w:rFonts w:ascii="Calibri" w:hAnsi="Calibri"/>
                <w:b w:val="0"/>
                <w:i w:val="0"/>
                <w:color w:val="000000"/>
                <w:sz w:val="11"/>
              </w:rPr>
              <w:t>0.0188</w:t>
            </w:r>
          </w:p>
        </w:tc>
        <w:tc>
          <w:tcPr>
            <w:tcW w:type="dxa" w:w="1535"/>
            <w:vAlign w:val="center"/>
          </w:tcPr>
          <w:p>
            <w:pPr>
              <w:spacing w:after="0" w:line="240" w:lineRule="auto"/>
              <w:jc w:val="center"/>
            </w:pPr>
            <w:r/>
            <w:r>
              <w:rPr>
                <w:rFonts w:ascii="Calibri" w:hAnsi="Calibri"/>
                <w:b w:val="0"/>
                <w:i w:val="0"/>
                <w:color w:val="000000"/>
                <w:sz w:val="11"/>
              </w:rPr>
              <w:t>0.3989</w:t>
            </w:r>
          </w:p>
        </w:tc>
        <w:tc>
          <w:tcPr>
            <w:tcW w:type="dxa" w:w="2654"/>
            <w:vAlign w:val="center"/>
          </w:tcPr>
          <w:p>
            <w:pPr>
              <w:spacing w:after="0" w:line="240" w:lineRule="auto"/>
              <w:jc w:val="center"/>
            </w:pPr>
            <w:r/>
            <w:r>
              <w:rPr>
                <w:rFonts w:ascii="Calibri" w:hAnsi="Calibri"/>
                <w:b w:val="0"/>
                <w:i w:val="0"/>
                <w:color w:val="000000"/>
                <w:sz w:val="11"/>
              </w:rPr>
              <w:t>0.2406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0.1555</w:t>
            </w:r>
          </w:p>
        </w:tc>
        <w:tc>
          <w:tcPr>
            <w:tcW w:type="dxa" w:w="1535"/>
            <w:vAlign w:val="center"/>
          </w:tcPr>
          <w:p>
            <w:pPr>
              <w:spacing w:after="0" w:line="240" w:lineRule="auto"/>
              <w:jc w:val="center"/>
            </w:pPr>
            <w:r/>
            <w:r>
              <w:rPr>
                <w:rFonts w:ascii="Calibri" w:hAnsi="Calibri"/>
                <w:b w:val="0"/>
                <w:i w:val="0"/>
                <w:color w:val="000000"/>
                <w:sz w:val="11"/>
              </w:rPr>
              <w:t>0.7532</w:t>
            </w:r>
          </w:p>
        </w:tc>
        <w:tc>
          <w:tcPr>
            <w:tcW w:type="dxa" w:w="2654"/>
            <w:vAlign w:val="center"/>
          </w:tcPr>
          <w:p>
            <w:pPr>
              <w:spacing w:after="0" w:line="240" w:lineRule="auto"/>
              <w:jc w:val="center"/>
            </w:pPr>
            <w:r/>
            <w:r>
              <w:rPr>
                <w:rFonts w:ascii="Calibri" w:hAnsi="Calibri"/>
                <w:b w:val="0"/>
                <w:i w:val="0"/>
                <w:color w:val="000000"/>
                <w:sz w:val="11"/>
              </w:rPr>
              <w:t>0.0664</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0.0029</w:t>
            </w:r>
          </w:p>
        </w:tc>
        <w:tc>
          <w:tcPr>
            <w:tcW w:type="dxa" w:w="1954"/>
            <w:vAlign w:val="center"/>
          </w:tcPr>
          <w:p>
            <w:pPr>
              <w:spacing w:after="0" w:line="240" w:lineRule="auto"/>
              <w:jc w:val="center"/>
            </w:pPr>
            <w:r/>
            <w:r>
              <w:rPr>
                <w:rFonts w:ascii="Calibri" w:hAnsi="Calibri"/>
                <w:b w:val="0"/>
                <w:i w:val="0"/>
                <w:color w:val="000000"/>
                <w:sz w:val="11"/>
              </w:rPr>
              <w:t>345.0000</w:t>
            </w:r>
          </w:p>
        </w:tc>
        <w:tc>
          <w:tcPr>
            <w:tcW w:type="dxa" w:w="1954"/>
            <w:vAlign w:val="center"/>
          </w:tcPr>
          <w:p>
            <w:pPr>
              <w:spacing w:after="0" w:line="240" w:lineRule="auto"/>
              <w:jc w:val="center"/>
            </w:pPr>
            <w:r/>
            <w:r>
              <w:rPr>
                <w:rFonts w:ascii="Calibri" w:hAnsi="Calibri"/>
                <w:b w:val="0"/>
                <w:i w:val="0"/>
                <w:color w:val="000000"/>
                <w:sz w:val="11"/>
              </w:rPr>
              <w:t>0.0065</w:t>
            </w:r>
          </w:p>
        </w:tc>
        <w:tc>
          <w:tcPr>
            <w:tcW w:type="dxa" w:w="1535"/>
            <w:vAlign w:val="center"/>
          </w:tcPr>
          <w:p>
            <w:pPr>
              <w:spacing w:after="0" w:line="240" w:lineRule="auto"/>
              <w:jc w:val="center"/>
            </w:pPr>
            <w:r/>
            <w:r>
              <w:rPr>
                <w:rFonts w:ascii="Calibri" w:hAnsi="Calibri"/>
                <w:b w:val="0"/>
                <w:i w:val="0"/>
                <w:color w:val="000000"/>
                <w:sz w:val="11"/>
              </w:rPr>
              <w:t>0.6613</w:t>
            </w:r>
          </w:p>
        </w:tc>
        <w:tc>
          <w:tcPr>
            <w:tcW w:type="dxa" w:w="2654"/>
            <w:vAlign w:val="center"/>
          </w:tcPr>
          <w:p>
            <w:pPr>
              <w:spacing w:after="0" w:line="240" w:lineRule="auto"/>
              <w:jc w:val="center"/>
            </w:pPr>
            <w:r/>
            <w:r>
              <w:rPr>
                <w:rFonts w:ascii="Calibri" w:hAnsi="Calibri"/>
                <w:b w:val="0"/>
                <w:i w:val="0"/>
                <w:color w:val="000000"/>
                <w:sz w:val="11"/>
              </w:rPr>
              <w:t>0.0281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0.0014</w:t>
            </w:r>
          </w:p>
        </w:tc>
        <w:tc>
          <w:tcPr>
            <w:tcW w:type="dxa" w:w="1954"/>
            <w:vAlign w:val="center"/>
          </w:tcPr>
          <w:p>
            <w:pPr>
              <w:spacing w:after="0" w:line="240" w:lineRule="auto"/>
              <w:jc w:val="center"/>
            </w:pPr>
            <w:r/>
            <w:r>
              <w:rPr>
                <w:rFonts w:ascii="Calibri" w:hAnsi="Calibri"/>
                <w:b w:val="0"/>
                <w:i w:val="0"/>
                <w:color w:val="000000"/>
                <w:sz w:val="11"/>
              </w:rPr>
              <w:t>690.0000</w:t>
            </w:r>
          </w:p>
        </w:tc>
        <w:tc>
          <w:tcPr>
            <w:tcW w:type="dxa" w:w="1954"/>
            <w:vAlign w:val="center"/>
          </w:tcPr>
          <w:p>
            <w:pPr>
              <w:spacing w:after="0" w:line="240" w:lineRule="auto"/>
              <w:jc w:val="center"/>
            </w:pPr>
            <w:r/>
            <w:r>
              <w:rPr>
                <w:rFonts w:ascii="Calibri" w:hAnsi="Calibri"/>
                <w:b w:val="0"/>
                <w:i w:val="0"/>
                <w:color w:val="000000"/>
                <w:sz w:val="11"/>
              </w:rPr>
              <w:t>0.4080</w:t>
            </w:r>
          </w:p>
        </w:tc>
        <w:tc>
          <w:tcPr>
            <w:tcW w:type="dxa" w:w="1535"/>
            <w:vAlign w:val="center"/>
          </w:tcPr>
          <w:p>
            <w:pPr>
              <w:spacing w:after="0" w:line="240" w:lineRule="auto"/>
              <w:jc w:val="center"/>
            </w:pPr>
            <w:r/>
            <w:r>
              <w:rPr>
                <w:rFonts w:ascii="Calibri" w:hAnsi="Calibri"/>
                <w:b w:val="0"/>
                <w:i w:val="0"/>
                <w:color w:val="000000"/>
                <w:sz w:val="11"/>
              </w:rPr>
              <w:t>0.9087</w:t>
            </w:r>
          </w:p>
        </w:tc>
        <w:tc>
          <w:tcPr>
            <w:tcW w:type="dxa" w:w="2654"/>
            <w:vAlign w:val="center"/>
          </w:tcPr>
          <w:p>
            <w:pPr>
              <w:spacing w:after="0" w:line="240" w:lineRule="auto"/>
              <w:jc w:val="center"/>
            </w:pPr>
            <w:r/>
            <w:r>
              <w:rPr>
                <w:rFonts w:ascii="Calibri" w:hAnsi="Calibri"/>
                <w:b w:val="0"/>
                <w:i w:val="0"/>
                <w:color w:val="000000"/>
                <w:sz w:val="11"/>
              </w:rPr>
              <w:t>0.0095</w:t>
            </w:r>
          </w:p>
        </w:tc>
      </w:tr>
    </w:tbl>
    <w:p>
      <w:pPr>
        <w:spacing w:after="60"/>
      </w:pPr>
    </w:p>
    <w:p>
      <w:pPr>
        <w:pStyle w:val="Heading3"/>
      </w:pPr>
      <w:r>
        <w:t>Interpretation of Table 5</w:t>
      </w:r>
    </w:p>
    <w:p>
      <w:pPr>
        <w:spacing w:after="160" w:line="320" w:lineRule="auto"/>
        <w:jc w:val="both"/>
      </w:pPr>
      <w:r>
        <w:rPr>
          <w:rFonts w:ascii="Calibri" w:hAnsi="Calibri"/>
          <w:b/>
          <w:i w:val="0"/>
          <w:color w:val="000000"/>
          <w:sz w:val="22"/>
        </w:rPr>
        <w:t>VMD structure:</w:t>
      </w:r>
      <w:r>
        <w:rPr>
          <w:rFonts w:ascii="Calibri" w:hAnsi="Calibri"/>
          <w:b w:val="0"/>
          <w:i w:val="0"/>
          <w:color w:val="000000"/>
          <w:sz w:val="22"/>
        </w:rPr>
        <w:t xml:space="preserve"> For hydroxide, VMD modes 1 and 2 carry variance shares of 0.3273 and 0.3651 and correlate 0.8212 and 0.8439 with the original series. For carbonate, the corresponding shares are 0.2786 and 0.3836 with correlations 0.8026 and 0.8602. Much of the smooth price path is therefore concentrated in the first two modes.</w:t>
      </w:r>
    </w:p>
    <w:p>
      <w:pPr>
        <w:spacing w:after="160" w:line="320" w:lineRule="auto"/>
        <w:jc w:val="both"/>
      </w:pPr>
      <w:r>
        <w:rPr>
          <w:rFonts w:ascii="Calibri" w:hAnsi="Calibri"/>
          <w:b/>
          <w:i w:val="0"/>
          <w:color w:val="000000"/>
          <w:sz w:val="22"/>
        </w:rPr>
        <w:t>CEEMDAN contrast:</w:t>
      </w:r>
      <w:r>
        <w:rPr>
          <w:rFonts w:ascii="Calibri" w:hAnsi="Calibri"/>
          <w:b w:val="0"/>
          <w:i w:val="0"/>
          <w:color w:val="000000"/>
          <w:sz w:val="22"/>
        </w:rPr>
        <w:t xml:space="preserve"> CEEMDAN concentrates its dominant low-frequency structure later: mode 7 accounts for 0.6059 of hydroxide variance and 0.4080 of carbonate variance, with correlations above 0.90 in both panels. Mode numbering is decomposition-specific, so VMD mode 1 cannot be interpreted as equivalent to CEEMDAN mode 1.</w:t>
      </w:r>
    </w:p>
    <w:p>
      <w:pPr>
        <w:spacing w:after="160" w:line="320" w:lineRule="auto"/>
        <w:jc w:val="both"/>
      </w:pPr>
      <w:r>
        <w:rPr>
          <w:rFonts w:ascii="Calibri" w:hAnsi="Calibri"/>
          <w:b/>
          <w:i w:val="0"/>
          <w:color w:val="000000"/>
          <w:sz w:val="22"/>
        </w:rPr>
        <w:t>Routing implication:</w:t>
      </w:r>
      <w:r>
        <w:rPr>
          <w:rFonts w:ascii="Calibri" w:hAnsi="Calibri"/>
          <w:b w:val="0"/>
          <w:i w:val="0"/>
          <w:color w:val="000000"/>
          <w:sz w:val="22"/>
        </w:rPr>
        <w:t xml:space="preserve"> Approximate entropy generally rises for faster modes, supporting different treatment of smooth and irregular components. The proposed method therefore assigns the first two smooth VMD modes to ARIMA and the remaining irregular modes to LSTM; Table 5 motivates but does not prove that this fixed routing is optimal.</w:t>
      </w:r>
    </w:p>
    <w:p>
      <w:pPr>
        <w:keepNext/>
        <w:spacing w:before="100" w:after="80"/>
      </w:pPr>
      <w:r>
        <w:rPr>
          <w:rFonts w:ascii="Calibri" w:hAnsi="Calibri"/>
          <w:b/>
          <w:i w:val="0"/>
          <w:color w:val="1F4D78"/>
          <w:sz w:val="18"/>
        </w:rPr>
        <w:t xml:space="preserve">Table 6. </w:t>
      </w:r>
      <w:r>
        <w:rPr>
          <w:rFonts w:ascii="Calibri" w:hAnsi="Calibri"/>
          <w:b w:val="0"/>
          <w:i/>
          <w:color w:val="000000"/>
          <w:sz w:val="18"/>
        </w:rPr>
        <w:t>Indicators selected for the decomposed modes using LASSO regression.</w:t>
      </w:r>
    </w:p>
    <w:tbl>
      <w:tblPr>
        <w:tblStyle w:val="TableGrid"/>
        <w:tblW w:type="dxa" w:w="13680"/>
        <w:jc w:val="left"/>
        <w:tblLayout w:type="fixed"/>
        <w:tblLook w:firstColumn="1" w:firstRow="1" w:lastColumn="0" w:lastRow="0" w:noHBand="0" w:noVBand="1" w:val="04A0"/>
      </w:tblPr>
      <w:tblGrid>
        <w:gridCol w:w="3020"/>
        <w:gridCol w:w="1421"/>
        <w:gridCol w:w="1243"/>
        <w:gridCol w:w="6040"/>
        <w:gridCol w:w="1956"/>
      </w:tblGrid>
      <w:tr>
        <w:trPr>
          <w:tblHeader w:val="true"/>
        </w:trPr>
        <w:tc>
          <w:tcPr>
            <w:tcW w:type="dxa" w:w="3020"/>
            <w:shd w:fill="F4F6F9"/>
            <w:vAlign w:val="center"/>
          </w:tcPr>
          <w:p>
            <w:pPr>
              <w:jc w:val="center"/>
            </w:pPr>
            <w:r/>
            <w:r>
              <w:rPr>
                <w:rFonts w:ascii="Calibri" w:hAnsi="Calibri"/>
                <w:b/>
                <w:i w:val="0"/>
                <w:color w:val="0B2545"/>
                <w:sz w:val="11"/>
              </w:rPr>
              <w:t>Panel</w:t>
            </w:r>
          </w:p>
        </w:tc>
        <w:tc>
          <w:tcPr>
            <w:tcW w:type="dxa" w:w="1421"/>
            <w:shd w:fill="F4F6F9"/>
            <w:vAlign w:val="center"/>
          </w:tcPr>
          <w:p>
            <w:pPr>
              <w:jc w:val="center"/>
            </w:pPr>
            <w:r/>
            <w:r>
              <w:rPr>
                <w:rFonts w:ascii="Calibri" w:hAnsi="Calibri"/>
                <w:b/>
                <w:i w:val="0"/>
                <w:color w:val="0B2545"/>
                <w:sz w:val="11"/>
              </w:rPr>
              <w:t>Mode</w:t>
            </w:r>
          </w:p>
        </w:tc>
        <w:tc>
          <w:tcPr>
            <w:tcW w:type="dxa" w:w="1243"/>
            <w:shd w:fill="F4F6F9"/>
            <w:vAlign w:val="center"/>
          </w:tcPr>
          <w:p>
            <w:pPr>
              <w:jc w:val="center"/>
            </w:pPr>
            <w:r/>
            <w:r>
              <w:rPr>
                <w:rFonts w:ascii="Calibri" w:hAnsi="Calibri"/>
                <w:b/>
                <w:i w:val="0"/>
                <w:color w:val="0B2545"/>
                <w:sz w:val="11"/>
              </w:rPr>
              <w:t>Route</w:t>
            </w:r>
          </w:p>
        </w:tc>
        <w:tc>
          <w:tcPr>
            <w:tcW w:type="dxa" w:w="6040"/>
            <w:shd w:fill="F4F6F9"/>
            <w:vAlign w:val="center"/>
          </w:tcPr>
          <w:p>
            <w:pPr>
              <w:jc w:val="center"/>
            </w:pPr>
            <w:r/>
            <w:r>
              <w:rPr>
                <w:rFonts w:ascii="Calibri" w:hAnsi="Calibri"/>
                <w:b/>
                <w:i w:val="0"/>
                <w:color w:val="0B2545"/>
                <w:sz w:val="11"/>
              </w:rPr>
              <w:t>Selected indicators</w:t>
            </w:r>
          </w:p>
        </w:tc>
        <w:tc>
          <w:tcPr>
            <w:tcW w:type="dxa" w:w="1956"/>
            <w:shd w:fill="F4F6F9"/>
            <w:vAlign w:val="center"/>
          </w:tcPr>
          <w:p>
            <w:pPr>
              <w:jc w:val="center"/>
            </w:pPr>
            <w:r/>
            <w:r>
              <w:rPr>
                <w:rFonts w:ascii="Calibri" w:hAnsi="Calibri"/>
                <w:b/>
                <w:i w:val="0"/>
                <w:color w:val="0B2545"/>
                <w:sz w:val="11"/>
              </w:rPr>
              <w:t>LASSO alpha</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w:t>
            </w:r>
          </w:p>
        </w:tc>
        <w:tc>
          <w:tcPr>
            <w:tcW w:type="dxa" w:w="1956"/>
            <w:vAlign w:val="center"/>
          </w:tcPr>
          <w:p>
            <w:pPr>
              <w:spacing w:after="0" w:line="240" w:lineRule="auto"/>
              <w:jc w:val="center"/>
            </w:pPr>
            <w:r/>
            <w:r>
              <w:rPr>
                <w:rFonts w:ascii="Calibri" w:hAnsi="Calibri"/>
                <w:b w:val="0"/>
                <w:i w:val="0"/>
                <w:color w:val="000000"/>
                <w:sz w:val="11"/>
              </w:rPr>
              <w:t>0.0013</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w:t>
            </w:r>
          </w:p>
        </w:tc>
        <w:tc>
          <w:tcPr>
            <w:tcW w:type="dxa" w:w="1956"/>
            <w:vAlign w:val="center"/>
          </w:tcPr>
          <w:p>
            <w:pPr>
              <w:spacing w:after="0" w:line="240" w:lineRule="auto"/>
              <w:jc w:val="center"/>
            </w:pPr>
            <w:r/>
            <w:r>
              <w:rPr>
                <w:rFonts w:ascii="Calibri" w:hAnsi="Calibri"/>
                <w:b w:val="0"/>
                <w:i w:val="0"/>
                <w:color w:val="000000"/>
                <w:sz w:val="11"/>
              </w:rPr>
              <w:t>0.0398</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target_5, News_FinBERT_Score, News_TextBlob_Polarity, News_Article_Count,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target_5, VIX, News_TextBlob_Polarity, Cross_Lithium_Close, News_FinBERT_Score</w:t>
            </w:r>
          </w:p>
        </w:tc>
        <w:tc>
          <w:tcPr>
            <w:tcW w:type="dxa" w:w="1956"/>
            <w:vAlign w:val="center"/>
          </w:tcPr>
          <w:p>
            <w:pPr>
              <w:spacing w:after="0" w:line="240" w:lineRule="auto"/>
              <w:jc w:val="center"/>
            </w:pPr>
            <w:r/>
            <w:r>
              <w:rPr>
                <w:rFonts w:ascii="Calibri" w:hAnsi="Calibri"/>
                <w:b w:val="0"/>
                <w:i w:val="0"/>
                <w:color w:val="000000"/>
                <w:sz w:val="11"/>
              </w:rPr>
              <w:t>0.0011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target_3, Cross_Lithium_Close, VIX, News_Article_Count, News_TextBlob_Polarity</w:t>
            </w:r>
          </w:p>
        </w:tc>
        <w:tc>
          <w:tcPr>
            <w:tcW w:type="dxa" w:w="1956"/>
            <w:vAlign w:val="center"/>
          </w:tcPr>
          <w:p>
            <w:pPr>
              <w:spacing w:after="0" w:line="240" w:lineRule="auto"/>
              <w:jc w:val="center"/>
            </w:pPr>
            <w:r/>
            <w:r>
              <w:rPr>
                <w:rFonts w:ascii="Calibri" w:hAnsi="Calibri"/>
                <w:b w:val="0"/>
                <w:i w:val="0"/>
                <w:color w:val="000000"/>
                <w:sz w:val="11"/>
              </w:rPr>
              <w:t>0.0026</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target_5, target_4, News_FinBERT_Score, VIX, Cross_Lithium_Close</w:t>
            </w:r>
          </w:p>
        </w:tc>
        <w:tc>
          <w:tcPr>
            <w:tcW w:type="dxa" w:w="1956"/>
            <w:vAlign w:val="center"/>
          </w:tcPr>
          <w:p>
            <w:pPr>
              <w:spacing w:after="0" w:line="240" w:lineRule="auto"/>
              <w:jc w:val="center"/>
            </w:pPr>
            <w:r/>
            <w:r>
              <w:rPr>
                <w:rFonts w:ascii="Calibri" w:hAnsi="Calibri"/>
                <w:b w:val="0"/>
                <w:i w:val="0"/>
                <w:color w:val="000000"/>
                <w:sz w:val="11"/>
              </w:rPr>
              <w:t>0.0021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News_FinBERT_Score, Cross_Lithium_Close, VIX, News_TextBlob_Polarity</w:t>
            </w:r>
          </w:p>
        </w:tc>
        <w:tc>
          <w:tcPr>
            <w:tcW w:type="dxa" w:w="1956"/>
            <w:vAlign w:val="center"/>
          </w:tcPr>
          <w:p>
            <w:pPr>
              <w:spacing w:after="0" w:line="240" w:lineRule="auto"/>
              <w:jc w:val="center"/>
            </w:pPr>
            <w:r/>
            <w:r>
              <w:rPr>
                <w:rFonts w:ascii="Calibri" w:hAnsi="Calibri"/>
                <w:b w:val="0"/>
                <w:i w:val="0"/>
                <w:color w:val="000000"/>
                <w:sz w:val="11"/>
              </w:rPr>
              <w:t>0.0015</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9</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target_2, target_5, News_FinBERT_Score, News_Article_Count,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target_3, target_2, target_4, Cross_Lithium_Close</w:t>
            </w:r>
          </w:p>
        </w:tc>
        <w:tc>
          <w:tcPr>
            <w:tcW w:type="dxa" w:w="1956"/>
            <w:vAlign w:val="center"/>
          </w:tcPr>
          <w:p>
            <w:pPr>
              <w:spacing w:after="0" w:line="240" w:lineRule="auto"/>
              <w:jc w:val="center"/>
            </w:pPr>
            <w:r/>
            <w:r>
              <w:rPr>
                <w:rFonts w:ascii="Calibri" w:hAnsi="Calibri"/>
                <w:b w:val="0"/>
                <w:i w:val="0"/>
                <w:color w:val="000000"/>
                <w:sz w:val="11"/>
              </w:rPr>
              <w:t>0.0395</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0.0014</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SP500</w:t>
            </w:r>
          </w:p>
        </w:tc>
        <w:tc>
          <w:tcPr>
            <w:tcW w:type="dxa" w:w="1956"/>
            <w:vAlign w:val="center"/>
          </w:tcPr>
          <w:p>
            <w:pPr>
              <w:spacing w:after="0" w:line="240" w:lineRule="auto"/>
              <w:jc w:val="center"/>
            </w:pPr>
            <w:r/>
            <w:r>
              <w:rPr>
                <w:rFonts w:ascii="Calibri" w:hAnsi="Calibri"/>
                <w:b w:val="0"/>
                <w:i w:val="0"/>
                <w:color w:val="000000"/>
                <w:sz w:val="11"/>
              </w:rPr>
              <w:t>0.0018</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News_TextBlob_Polarity</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target_4, target_3, Ganfeng_Lithium_Close, News_Article_Count, News_FinBERT_Score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target_1, target_5, target_3, Ganfeng_Lithium_Close, US_Dollar_Index, Cross_Lithium_Close,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target_4, target_5, Ganfeng_Lithium_Close, US_Dollar_Index, News_FinBERT_Score,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target_3, Ganfeng_Lithium_Close, US_Dollar_Index, News_TextBlob_Polarity,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target_5, target_4, Albemarle_Close, News_Article_Count, Ganfeng_Lithium_Close, US_Dollar_Index</w:t>
            </w:r>
          </w:p>
        </w:tc>
        <w:tc>
          <w:tcPr>
            <w:tcW w:type="dxa" w:w="1956"/>
            <w:vAlign w:val="center"/>
          </w:tcPr>
          <w:p>
            <w:pPr>
              <w:spacing w:after="0" w:line="240" w:lineRule="auto"/>
              <w:jc w:val="center"/>
            </w:pPr>
            <w:r/>
            <w:r>
              <w:rPr>
                <w:rFonts w:ascii="Calibri" w:hAnsi="Calibri"/>
                <w:b w:val="0"/>
                <w:i w:val="0"/>
                <w:color w:val="000000"/>
                <w:sz w:val="11"/>
              </w:rPr>
              <w:t>0.0153</w:t>
            </w:r>
          </w:p>
        </w:tc>
      </w:tr>
    </w:tbl>
    <w:p>
      <w:pPr>
        <w:spacing w:after="60"/>
      </w:pPr>
    </w:p>
    <w:p>
      <w:pPr>
        <w:pStyle w:val="Heading3"/>
      </w:pPr>
      <w:r>
        <w:t>Interpretation of Table 6</w:t>
      </w:r>
    </w:p>
    <w:p>
      <w:pPr>
        <w:spacing w:after="160" w:line="320" w:lineRule="auto"/>
        <w:jc w:val="both"/>
      </w:pPr>
      <w:r>
        <w:rPr>
          <w:rFonts w:ascii="Calibri" w:hAnsi="Calibri"/>
          <w:b/>
          <w:i w:val="0"/>
          <w:color w:val="000000"/>
          <w:sz w:val="22"/>
        </w:rPr>
        <w:t>Persistence dominates:</w:t>
      </w:r>
      <w:r>
        <w:rPr>
          <w:rFonts w:ascii="Calibri" w:hAnsi="Calibri"/>
          <w:b w:val="0"/>
          <w:i w:val="0"/>
          <w:color w:val="000000"/>
          <w:sz w:val="22"/>
        </w:rPr>
        <w:t xml:space="preserve"> The immediately lagged decomposed target, target_1, is selected in all nine target-specific mode rows for both panels. Longer lags also recur, showing that the decomposed components retain meaningful autoregressive memory after VMD.</w:t>
      </w:r>
    </w:p>
    <w:p>
      <w:pPr>
        <w:spacing w:after="160" w:line="320" w:lineRule="auto"/>
        <w:jc w:val="both"/>
      </w:pPr>
      <w:r>
        <w:rPr>
          <w:rFonts w:ascii="Calibri" w:hAnsi="Calibri"/>
          <w:b/>
          <w:i w:val="0"/>
          <w:color w:val="000000"/>
          <w:sz w:val="22"/>
        </w:rPr>
        <w:t>External-signal differences:</w:t>
      </w:r>
      <w:r>
        <w:rPr>
          <w:rFonts w:ascii="Calibri" w:hAnsi="Calibri"/>
          <w:b w:val="0"/>
          <w:i w:val="0"/>
          <w:color w:val="000000"/>
          <w:sz w:val="22"/>
        </w:rPr>
        <w:t xml:space="preserve"> Cross_Lithium_Close appears in eight hydroxide mode models, whereas Ganfeng_Lithium_Close appears in eight carbonate mode models. Hydroxide also selects FinBERT sentiment in five modes and TextBlob polarity in four; carbonate more often selects the US dollar index and Ganfeng equity signal.</w:t>
      </w:r>
    </w:p>
    <w:p>
      <w:pPr>
        <w:spacing w:after="160" w:line="320" w:lineRule="auto"/>
        <w:jc w:val="both"/>
      </w:pPr>
      <w:r>
        <w:rPr>
          <w:rFonts w:ascii="Calibri" w:hAnsi="Calibri"/>
          <w:b/>
          <w:i w:val="0"/>
          <w:color w:val="000000"/>
          <w:sz w:val="22"/>
        </w:rPr>
        <w:t>Interpretation:</w:t>
      </w:r>
      <w:r>
        <w:rPr>
          <w:rFonts w:ascii="Calibri" w:hAnsi="Calibri"/>
          <w:b w:val="0"/>
          <w:i w:val="0"/>
          <w:color w:val="000000"/>
          <w:sz w:val="22"/>
        </w:rPr>
        <w:t xml:space="preserve"> Selection frequency indicates predictive inclusion under this fitted sample, not structural causality. Correlated indicators can substitute for one another under LASSO, and the full-sample/static protocol can make the selected set look more stable than it would be in a rolling real-time experiment.</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The decomposition summaries show that the modes differ materially in frequency, variance share, correlation with the original price, and approximate entropy. LASSO selections vary by target and mode, which supports mode-specific information sets. Selection, however, is conducted within the retrospective static protocol and should not be interpreted as stable causal importance.</w:t>
      </w:r>
    </w:p>
    <w:p>
      <w:pPr>
        <w:pStyle w:val="Heading1"/>
      </w:pPr>
      <w:r>
        <w:t>6. Forecasting results</w:t>
      </w:r>
    </w:p>
    <w:p>
      <w:pPr>
        <w:keepNext/>
        <w:spacing w:before="100" w:after="80"/>
      </w:pPr>
      <w:r>
        <w:rPr>
          <w:rFonts w:ascii="Calibri" w:hAnsi="Calibri"/>
          <w:b/>
          <w:i w:val="0"/>
          <w:color w:val="1F4D78"/>
          <w:sz w:val="18"/>
        </w:rPr>
        <w:t xml:space="preserve">Figure 9. </w:t>
      </w:r>
      <w:r>
        <w:rPr>
          <w:rFonts w:ascii="Calibri" w:hAnsi="Calibri"/>
          <w:b w:val="0"/>
          <w:i/>
          <w:color w:val="000000"/>
          <w:sz w:val="18"/>
        </w:rPr>
        <w:t>Testing-set forecasts from representative single forecasting models.</w:t>
      </w:r>
    </w:p>
    <w:p>
      <w:pPr>
        <w:spacing w:after="180"/>
        <w:jc w:val="center"/>
      </w:pPr>
      <w:r>
        <w:drawing>
          <wp:inline xmlns:a="http://schemas.openxmlformats.org/drawingml/2006/main" xmlns:pic="http://schemas.openxmlformats.org/drawingml/2006/picture">
            <wp:extent cx="5760720" cy="3857534"/>
            <wp:docPr id="9" name="Picture 9"/>
            <wp:cNvGraphicFramePr>
              <a:graphicFrameLocks noChangeAspect="1"/>
            </wp:cNvGraphicFramePr>
            <a:graphic>
              <a:graphicData uri="http://schemas.openxmlformats.org/drawingml/2006/picture">
                <pic:pic>
                  <pic:nvPicPr>
                    <pic:cNvPr id="0" name="fig9_single_forecasts.png"/>
                    <pic:cNvPicPr/>
                  </pic:nvPicPr>
                  <pic:blipFill>
                    <a:blip r:embed="rId19"/>
                    <a:stretch>
                      <a:fillRect/>
                    </a:stretch>
                  </pic:blipFill>
                  <pic:spPr>
                    <a:xfrm>
                      <a:off x="0" y="0"/>
                      <a:ext cx="5760720" cy="3857534"/>
                    </a:xfrm>
                    <a:prstGeom prst="rect"/>
                  </pic:spPr>
                </pic:pic>
              </a:graphicData>
            </a:graphic>
          </wp:inline>
        </w:drawing>
      </w:r>
    </w:p>
    <w:p>
      <w:pPr>
        <w:keepNext/>
        <w:spacing w:before="100" w:after="80"/>
      </w:pPr>
      <w:r>
        <w:rPr>
          <w:rFonts w:ascii="Calibri" w:hAnsi="Calibri"/>
          <w:b/>
          <w:i w:val="0"/>
          <w:color w:val="1F4D78"/>
          <w:sz w:val="18"/>
        </w:rPr>
        <w:t xml:space="preserve">Figure 10. </w:t>
      </w:r>
      <w:r>
        <w:rPr>
          <w:rFonts w:ascii="Calibri" w:hAnsi="Calibri"/>
          <w:b w:val="0"/>
          <w:i/>
          <w:color w:val="000000"/>
          <w:sz w:val="18"/>
        </w:rPr>
        <w:t>Target-normalized forecasting errors across all evaluated models.</w:t>
      </w:r>
    </w:p>
    <w:p>
      <w:pPr>
        <w:spacing w:after="180"/>
        <w:jc w:val="center"/>
      </w:pPr>
      <w:r>
        <w:drawing>
          <wp:inline xmlns:a="http://schemas.openxmlformats.org/drawingml/2006/main" xmlns:pic="http://schemas.openxmlformats.org/drawingml/2006/picture">
            <wp:extent cx="5760720" cy="3089961"/>
            <wp:docPr id="10" name="Picture 10"/>
            <wp:cNvGraphicFramePr>
              <a:graphicFrameLocks noChangeAspect="1"/>
            </wp:cNvGraphicFramePr>
            <a:graphic>
              <a:graphicData uri="http://schemas.openxmlformats.org/drawingml/2006/picture">
                <pic:pic>
                  <pic:nvPicPr>
                    <pic:cNvPr id="0" name="fig10_errors.png"/>
                    <pic:cNvPicPr/>
                  </pic:nvPicPr>
                  <pic:blipFill>
                    <a:blip r:embed="rId20"/>
                    <a:stretch>
                      <a:fillRect/>
                    </a:stretch>
                  </pic:blipFill>
                  <pic:spPr>
                    <a:xfrm>
                      <a:off x="0" y="0"/>
                      <a:ext cx="5760720" cy="308996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7. </w:t>
      </w:r>
      <w:r>
        <w:rPr>
          <w:rFonts w:ascii="Calibri" w:hAnsi="Calibri"/>
          <w:b w:val="0"/>
          <w:i/>
          <w:color w:val="000000"/>
          <w:sz w:val="18"/>
        </w:rPr>
        <w:t>Forecasting errors on the testing sets for single models.</w:t>
      </w:r>
    </w:p>
    <w:tbl>
      <w:tblPr>
        <w:tblStyle w:val="TableGrid"/>
        <w:tblW w:type="dxa" w:w="13680"/>
        <w:jc w:val="left"/>
        <w:tblLayout w:type="fixed"/>
        <w:tblLook w:firstColumn="1" w:firstRow="1" w:lastColumn="0" w:lastRow="0" w:noHBand="0" w:noVBand="1" w:val="04A0"/>
      </w:tblPr>
      <w:tblGrid>
        <w:gridCol w:w="2673"/>
        <w:gridCol w:w="1100"/>
        <w:gridCol w:w="1729"/>
        <w:gridCol w:w="1729"/>
        <w:gridCol w:w="1100"/>
        <w:gridCol w:w="1100"/>
        <w:gridCol w:w="1100"/>
        <w:gridCol w:w="3149"/>
      </w:tblGrid>
      <w:tr>
        <w:trPr>
          <w:tblHeader w:val="true"/>
        </w:trPr>
        <w:tc>
          <w:tcPr>
            <w:tcW w:type="dxa" w:w="2673"/>
            <w:shd w:fill="F4F6F9"/>
            <w:vAlign w:val="center"/>
          </w:tcPr>
          <w:p>
            <w:pPr>
              <w:jc w:val="center"/>
            </w:pPr>
            <w:r/>
            <w:r>
              <w:rPr>
                <w:rFonts w:ascii="Calibri" w:hAnsi="Calibri"/>
                <w:b/>
                <w:i w:val="0"/>
                <w:color w:val="0B2545"/>
                <w:sz w:val="12"/>
              </w:rPr>
              <w:t>Target</w:t>
            </w:r>
          </w:p>
        </w:tc>
        <w:tc>
          <w:tcPr>
            <w:tcW w:type="dxa" w:w="1100"/>
            <w:shd w:fill="F4F6F9"/>
            <w:vAlign w:val="center"/>
          </w:tcPr>
          <w:p>
            <w:pPr>
              <w:jc w:val="center"/>
            </w:pPr>
            <w:r/>
            <w:r>
              <w:rPr>
                <w:rFonts w:ascii="Calibri" w:hAnsi="Calibri"/>
                <w:b/>
                <w:i w:val="0"/>
                <w:color w:val="0B2545"/>
                <w:sz w:val="12"/>
              </w:rPr>
              <w:t>Model</w:t>
            </w:r>
          </w:p>
        </w:tc>
        <w:tc>
          <w:tcPr>
            <w:tcW w:type="dxa" w:w="1729"/>
            <w:shd w:fill="F4F6F9"/>
            <w:vAlign w:val="center"/>
          </w:tcPr>
          <w:p>
            <w:pPr>
              <w:jc w:val="center"/>
            </w:pPr>
            <w:r/>
            <w:r>
              <w:rPr>
                <w:rFonts w:ascii="Calibri" w:hAnsi="Calibri"/>
                <w:b/>
                <w:i w:val="0"/>
                <w:color w:val="0B2545"/>
                <w:sz w:val="12"/>
              </w:rPr>
              <w:t>RMSE</w:t>
            </w:r>
          </w:p>
        </w:tc>
        <w:tc>
          <w:tcPr>
            <w:tcW w:type="dxa" w:w="1729"/>
            <w:shd w:fill="F4F6F9"/>
            <w:vAlign w:val="center"/>
          </w:tcPr>
          <w:p>
            <w:pPr>
              <w:jc w:val="center"/>
            </w:pPr>
            <w:r/>
            <w:r>
              <w:rPr>
                <w:rFonts w:ascii="Calibri" w:hAnsi="Calibri"/>
                <w:b/>
                <w:i w:val="0"/>
                <w:color w:val="0B2545"/>
                <w:sz w:val="12"/>
              </w:rPr>
              <w:t>MAE</w:t>
            </w:r>
          </w:p>
        </w:tc>
        <w:tc>
          <w:tcPr>
            <w:tcW w:type="dxa" w:w="1100"/>
            <w:shd w:fill="F4F6F9"/>
            <w:vAlign w:val="center"/>
          </w:tcPr>
          <w:p>
            <w:pPr>
              <w:jc w:val="center"/>
            </w:pPr>
            <w:r/>
            <w:r>
              <w:rPr>
                <w:rFonts w:ascii="Calibri" w:hAnsi="Calibri"/>
                <w:b/>
                <w:i w:val="0"/>
                <w:color w:val="0B2545"/>
                <w:sz w:val="12"/>
              </w:rPr>
              <w:t>MASE</w:t>
            </w:r>
          </w:p>
        </w:tc>
        <w:tc>
          <w:tcPr>
            <w:tcW w:type="dxa" w:w="1100"/>
            <w:shd w:fill="F4F6F9"/>
            <w:vAlign w:val="center"/>
          </w:tcPr>
          <w:p>
            <w:pPr>
              <w:jc w:val="center"/>
            </w:pPr>
            <w:r/>
            <w:r>
              <w:rPr>
                <w:rFonts w:ascii="Calibri" w:hAnsi="Calibri"/>
                <w:b/>
                <w:i w:val="0"/>
                <w:color w:val="0B2545"/>
                <w:sz w:val="12"/>
              </w:rPr>
              <w:t>MAPE</w:t>
            </w:r>
          </w:p>
        </w:tc>
        <w:tc>
          <w:tcPr>
            <w:tcW w:type="dxa" w:w="1100"/>
            <w:shd w:fill="F4F6F9"/>
            <w:vAlign w:val="center"/>
          </w:tcPr>
          <w:p>
            <w:pPr>
              <w:jc w:val="center"/>
            </w:pPr>
            <w:r/>
            <w:r>
              <w:rPr>
                <w:rFonts w:ascii="Calibri" w:hAnsi="Calibri"/>
                <w:b/>
                <w:i w:val="0"/>
                <w:color w:val="0B2545"/>
                <w:sz w:val="12"/>
              </w:rPr>
              <w:t>sMAPE</w:t>
            </w:r>
          </w:p>
        </w:tc>
        <w:tc>
          <w:tcPr>
            <w:tcW w:type="dxa" w:w="3149"/>
            <w:shd w:fill="F4F6F9"/>
            <w:vAlign w:val="center"/>
          </w:tcPr>
          <w:p>
            <w:pPr>
              <w:jc w:val="center"/>
            </w:pPr>
            <w:r/>
            <w:r>
              <w:rPr>
                <w:rFonts w:ascii="Calibri" w:hAnsi="Calibri"/>
                <w:b/>
                <w:i w:val="0"/>
                <w:color w:val="0B2545"/>
                <w:sz w:val="12"/>
              </w:rPr>
              <w:t>Directional Accuracy</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3612.1970</w:t>
            </w:r>
          </w:p>
        </w:tc>
        <w:tc>
          <w:tcPr>
            <w:tcW w:type="dxa" w:w="1729"/>
            <w:vAlign w:val="center"/>
          </w:tcPr>
          <w:p>
            <w:pPr>
              <w:spacing w:after="0" w:line="240" w:lineRule="auto"/>
              <w:jc w:val="center"/>
            </w:pPr>
            <w:r/>
            <w:r>
              <w:rPr>
                <w:rFonts w:ascii="Calibri" w:hAnsi="Calibri"/>
                <w:b w:val="0"/>
                <w:i w:val="0"/>
                <w:color w:val="000000"/>
                <w:sz w:val="12"/>
              </w:rPr>
              <w:t>1827.0413</w:t>
            </w:r>
          </w:p>
        </w:tc>
        <w:tc>
          <w:tcPr>
            <w:tcW w:type="dxa" w:w="1100"/>
            <w:vAlign w:val="center"/>
          </w:tcPr>
          <w:p>
            <w:pPr>
              <w:spacing w:after="0" w:line="240" w:lineRule="auto"/>
              <w:jc w:val="center"/>
            </w:pPr>
            <w:r/>
            <w:r>
              <w:rPr>
                <w:rFonts w:ascii="Calibri" w:hAnsi="Calibri"/>
                <w:b w:val="0"/>
                <w:i w:val="0"/>
                <w:color w:val="000000"/>
                <w:sz w:val="12"/>
              </w:rPr>
              <w:t>0.9132</w:t>
            </w:r>
          </w:p>
        </w:tc>
        <w:tc>
          <w:tcPr>
            <w:tcW w:type="dxa" w:w="1100"/>
            <w:vAlign w:val="center"/>
          </w:tcPr>
          <w:p>
            <w:pPr>
              <w:spacing w:after="0" w:line="240" w:lineRule="auto"/>
              <w:jc w:val="center"/>
            </w:pPr>
            <w:r/>
            <w:r>
              <w:rPr>
                <w:rFonts w:ascii="Calibri" w:hAnsi="Calibri"/>
                <w:b w:val="0"/>
                <w:i w:val="0"/>
                <w:color w:val="000000"/>
                <w:sz w:val="12"/>
              </w:rPr>
              <w:t>1.43</w:t>
            </w:r>
          </w:p>
        </w:tc>
        <w:tc>
          <w:tcPr>
            <w:tcW w:type="dxa" w:w="1100"/>
            <w:vAlign w:val="center"/>
          </w:tcPr>
          <w:p>
            <w:pPr>
              <w:spacing w:after="0" w:line="240" w:lineRule="auto"/>
              <w:jc w:val="center"/>
            </w:pPr>
            <w:r/>
            <w:r>
              <w:rPr>
                <w:rFonts w:ascii="Calibri" w:hAnsi="Calibri"/>
                <w:b w:val="0"/>
                <w:i w:val="0"/>
                <w:color w:val="000000"/>
                <w:sz w:val="12"/>
              </w:rPr>
              <w:t>1.46</w:t>
            </w:r>
          </w:p>
        </w:tc>
        <w:tc>
          <w:tcPr>
            <w:tcW w:type="dxa" w:w="3149"/>
            <w:vAlign w:val="center"/>
          </w:tcPr>
          <w:p>
            <w:pPr>
              <w:spacing w:after="0" w:line="240" w:lineRule="auto"/>
              <w:jc w:val="center"/>
            </w:pPr>
            <w:r/>
            <w:r>
              <w:rPr>
                <w:rFonts w:ascii="Calibri" w:hAnsi="Calibri"/>
                <w:b w:val="0"/>
                <w:i w:val="0"/>
                <w:color w:val="000000"/>
                <w:sz w:val="12"/>
              </w:rPr>
              <w:t>69.63</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5380.3212</w:t>
            </w:r>
          </w:p>
        </w:tc>
        <w:tc>
          <w:tcPr>
            <w:tcW w:type="dxa" w:w="1729"/>
            <w:vAlign w:val="center"/>
          </w:tcPr>
          <w:p>
            <w:pPr>
              <w:spacing w:after="0" w:line="240" w:lineRule="auto"/>
              <w:jc w:val="center"/>
            </w:pPr>
            <w:r/>
            <w:r>
              <w:rPr>
                <w:rFonts w:ascii="Calibri" w:hAnsi="Calibri"/>
                <w:b w:val="0"/>
                <w:i w:val="0"/>
                <w:color w:val="000000"/>
                <w:sz w:val="12"/>
              </w:rPr>
              <w:t>3231.2770</w:t>
            </w:r>
          </w:p>
        </w:tc>
        <w:tc>
          <w:tcPr>
            <w:tcW w:type="dxa" w:w="1100"/>
            <w:vAlign w:val="center"/>
          </w:tcPr>
          <w:p>
            <w:pPr>
              <w:spacing w:after="0" w:line="240" w:lineRule="auto"/>
              <w:jc w:val="center"/>
            </w:pPr>
            <w:r/>
            <w:r>
              <w:rPr>
                <w:rFonts w:ascii="Calibri" w:hAnsi="Calibri"/>
                <w:b w:val="0"/>
                <w:i w:val="0"/>
                <w:color w:val="000000"/>
                <w:sz w:val="12"/>
              </w:rPr>
              <w:t>1.6150</w:t>
            </w:r>
          </w:p>
        </w:tc>
        <w:tc>
          <w:tcPr>
            <w:tcW w:type="dxa" w:w="1100"/>
            <w:vAlign w:val="center"/>
          </w:tcPr>
          <w:p>
            <w:pPr>
              <w:spacing w:after="0" w:line="240" w:lineRule="auto"/>
              <w:jc w:val="center"/>
            </w:pPr>
            <w:r/>
            <w:r>
              <w:rPr>
                <w:rFonts w:ascii="Calibri" w:hAnsi="Calibri"/>
                <w:b w:val="0"/>
                <w:i w:val="0"/>
                <w:color w:val="000000"/>
                <w:sz w:val="12"/>
              </w:rPr>
              <w:t>2.55</w:t>
            </w:r>
          </w:p>
        </w:tc>
        <w:tc>
          <w:tcPr>
            <w:tcW w:type="dxa" w:w="1100"/>
            <w:vAlign w:val="center"/>
          </w:tcPr>
          <w:p>
            <w:pPr>
              <w:spacing w:after="0" w:line="240" w:lineRule="auto"/>
              <w:jc w:val="center"/>
            </w:pPr>
            <w:r/>
            <w:r>
              <w:rPr>
                <w:rFonts w:ascii="Calibri" w:hAnsi="Calibri"/>
                <w:b w:val="0"/>
                <w:i w:val="0"/>
                <w:color w:val="000000"/>
                <w:sz w:val="12"/>
              </w:rPr>
              <w:t>2.59</w:t>
            </w:r>
          </w:p>
        </w:tc>
        <w:tc>
          <w:tcPr>
            <w:tcW w:type="dxa" w:w="3149"/>
            <w:vAlign w:val="center"/>
          </w:tcPr>
          <w:p>
            <w:pPr>
              <w:spacing w:after="0" w:line="240" w:lineRule="auto"/>
              <w:jc w:val="center"/>
            </w:pPr>
            <w:r/>
            <w:r>
              <w:rPr>
                <w:rFonts w:ascii="Calibri" w:hAnsi="Calibri"/>
                <w:b w:val="0"/>
                <w:i w:val="0"/>
                <w:color w:val="000000"/>
                <w:sz w:val="12"/>
              </w:rPr>
              <w:t>72.59</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11222.0126</w:t>
            </w:r>
          </w:p>
        </w:tc>
        <w:tc>
          <w:tcPr>
            <w:tcW w:type="dxa" w:w="1729"/>
            <w:vAlign w:val="center"/>
          </w:tcPr>
          <w:p>
            <w:pPr>
              <w:spacing w:after="0" w:line="240" w:lineRule="auto"/>
              <w:jc w:val="center"/>
            </w:pPr>
            <w:r/>
            <w:r>
              <w:rPr>
                <w:rFonts w:ascii="Calibri" w:hAnsi="Calibri"/>
                <w:b w:val="0"/>
                <w:i w:val="0"/>
                <w:color w:val="000000"/>
                <w:sz w:val="12"/>
              </w:rPr>
              <w:t>9516.7432</w:t>
            </w:r>
          </w:p>
        </w:tc>
        <w:tc>
          <w:tcPr>
            <w:tcW w:type="dxa" w:w="1100"/>
            <w:vAlign w:val="center"/>
          </w:tcPr>
          <w:p>
            <w:pPr>
              <w:spacing w:after="0" w:line="240" w:lineRule="auto"/>
              <w:jc w:val="center"/>
            </w:pPr>
            <w:r/>
            <w:r>
              <w:rPr>
                <w:rFonts w:ascii="Calibri" w:hAnsi="Calibri"/>
                <w:b w:val="0"/>
                <w:i w:val="0"/>
                <w:color w:val="000000"/>
                <w:sz w:val="12"/>
              </w:rPr>
              <w:t>4.7566</w:t>
            </w:r>
          </w:p>
        </w:tc>
        <w:tc>
          <w:tcPr>
            <w:tcW w:type="dxa" w:w="1100"/>
            <w:vAlign w:val="center"/>
          </w:tcPr>
          <w:p>
            <w:pPr>
              <w:spacing w:after="0" w:line="240" w:lineRule="auto"/>
              <w:jc w:val="center"/>
            </w:pPr>
            <w:r/>
            <w:r>
              <w:rPr>
                <w:rFonts w:ascii="Calibri" w:hAnsi="Calibri"/>
                <w:b w:val="0"/>
                <w:i w:val="0"/>
                <w:color w:val="000000"/>
                <w:sz w:val="12"/>
              </w:rPr>
              <w:t>9.56</w:t>
            </w:r>
          </w:p>
        </w:tc>
        <w:tc>
          <w:tcPr>
            <w:tcW w:type="dxa" w:w="1100"/>
            <w:vAlign w:val="center"/>
          </w:tcPr>
          <w:p>
            <w:pPr>
              <w:spacing w:after="0" w:line="240" w:lineRule="auto"/>
              <w:jc w:val="center"/>
            </w:pPr>
            <w:r/>
            <w:r>
              <w:rPr>
                <w:rFonts w:ascii="Calibri" w:hAnsi="Calibri"/>
                <w:b w:val="0"/>
                <w:i w:val="0"/>
                <w:color w:val="000000"/>
                <w:sz w:val="12"/>
              </w:rPr>
              <w:t>9.04</w:t>
            </w:r>
          </w:p>
        </w:tc>
        <w:tc>
          <w:tcPr>
            <w:tcW w:type="dxa" w:w="3149"/>
            <w:vAlign w:val="center"/>
          </w:tcPr>
          <w:p>
            <w:pPr>
              <w:spacing w:after="0" w:line="240" w:lineRule="auto"/>
              <w:jc w:val="center"/>
            </w:pPr>
            <w:r/>
            <w:r>
              <w:rPr>
                <w:rFonts w:ascii="Calibri" w:hAnsi="Calibri"/>
                <w:b w:val="0"/>
                <w:i w:val="0"/>
                <w:color w:val="000000"/>
                <w:sz w:val="12"/>
              </w:rPr>
              <w:t>54.81</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24629.9992</w:t>
            </w:r>
          </w:p>
        </w:tc>
        <w:tc>
          <w:tcPr>
            <w:tcW w:type="dxa" w:w="1729"/>
            <w:vAlign w:val="center"/>
          </w:tcPr>
          <w:p>
            <w:pPr>
              <w:spacing w:after="0" w:line="240" w:lineRule="auto"/>
              <w:jc w:val="center"/>
            </w:pPr>
            <w:r/>
            <w:r>
              <w:rPr>
                <w:rFonts w:ascii="Calibri" w:hAnsi="Calibri"/>
                <w:b w:val="0"/>
                <w:i w:val="0"/>
                <w:color w:val="000000"/>
                <w:sz w:val="12"/>
              </w:rPr>
              <w:t>18864.5712</w:t>
            </w:r>
          </w:p>
        </w:tc>
        <w:tc>
          <w:tcPr>
            <w:tcW w:type="dxa" w:w="1100"/>
            <w:vAlign w:val="center"/>
          </w:tcPr>
          <w:p>
            <w:pPr>
              <w:spacing w:after="0" w:line="240" w:lineRule="auto"/>
              <w:jc w:val="center"/>
            </w:pPr>
            <w:r/>
            <w:r>
              <w:rPr>
                <w:rFonts w:ascii="Calibri" w:hAnsi="Calibri"/>
                <w:b w:val="0"/>
                <w:i w:val="0"/>
                <w:color w:val="000000"/>
                <w:sz w:val="12"/>
              </w:rPr>
              <w:t>9.4288</w:t>
            </w:r>
          </w:p>
        </w:tc>
        <w:tc>
          <w:tcPr>
            <w:tcW w:type="dxa" w:w="1100"/>
            <w:vAlign w:val="center"/>
          </w:tcPr>
          <w:p>
            <w:pPr>
              <w:spacing w:after="0" w:line="240" w:lineRule="auto"/>
              <w:jc w:val="center"/>
            </w:pPr>
            <w:r/>
            <w:r>
              <w:rPr>
                <w:rFonts w:ascii="Calibri" w:hAnsi="Calibri"/>
                <w:b w:val="0"/>
                <w:i w:val="0"/>
                <w:color w:val="000000"/>
                <w:sz w:val="12"/>
              </w:rPr>
              <w:t>21.87</w:t>
            </w:r>
          </w:p>
        </w:tc>
        <w:tc>
          <w:tcPr>
            <w:tcW w:type="dxa" w:w="1100"/>
            <w:vAlign w:val="center"/>
          </w:tcPr>
          <w:p>
            <w:pPr>
              <w:spacing w:after="0" w:line="240" w:lineRule="auto"/>
              <w:jc w:val="center"/>
            </w:pPr>
            <w:r/>
            <w:r>
              <w:rPr>
                <w:rFonts w:ascii="Calibri" w:hAnsi="Calibri"/>
                <w:b w:val="0"/>
                <w:i w:val="0"/>
                <w:color w:val="000000"/>
                <w:sz w:val="12"/>
              </w:rPr>
              <w:t>18.25</w:t>
            </w:r>
          </w:p>
        </w:tc>
        <w:tc>
          <w:tcPr>
            <w:tcW w:type="dxa" w:w="3149"/>
            <w:vAlign w:val="center"/>
          </w:tcPr>
          <w:p>
            <w:pPr>
              <w:spacing w:after="0" w:line="240" w:lineRule="auto"/>
              <w:jc w:val="center"/>
            </w:pPr>
            <w:r/>
            <w:r>
              <w:rPr>
                <w:rFonts w:ascii="Calibri" w:hAnsi="Calibri"/>
                <w:b w:val="0"/>
                <w:i w:val="0"/>
                <w:color w:val="000000"/>
                <w:sz w:val="12"/>
              </w:rPr>
              <w:t>56.30</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41457.7667</w:t>
            </w:r>
          </w:p>
        </w:tc>
        <w:tc>
          <w:tcPr>
            <w:tcW w:type="dxa" w:w="1729"/>
            <w:vAlign w:val="center"/>
          </w:tcPr>
          <w:p>
            <w:pPr>
              <w:spacing w:after="0" w:line="240" w:lineRule="auto"/>
              <w:jc w:val="center"/>
            </w:pPr>
            <w:r/>
            <w:r>
              <w:rPr>
                <w:rFonts w:ascii="Calibri" w:hAnsi="Calibri"/>
                <w:b w:val="0"/>
                <w:i w:val="0"/>
                <w:color w:val="000000"/>
                <w:sz w:val="12"/>
              </w:rPr>
              <w:t>34950.9727</w:t>
            </w:r>
          </w:p>
        </w:tc>
        <w:tc>
          <w:tcPr>
            <w:tcW w:type="dxa" w:w="1100"/>
            <w:vAlign w:val="center"/>
          </w:tcPr>
          <w:p>
            <w:pPr>
              <w:spacing w:after="0" w:line="240" w:lineRule="auto"/>
              <w:jc w:val="center"/>
            </w:pPr>
            <w:r/>
            <w:r>
              <w:rPr>
                <w:rFonts w:ascii="Calibri" w:hAnsi="Calibri"/>
                <w:b w:val="0"/>
                <w:i w:val="0"/>
                <w:color w:val="000000"/>
                <w:sz w:val="12"/>
              </w:rPr>
              <w:t>17.4690</w:t>
            </w:r>
          </w:p>
        </w:tc>
        <w:tc>
          <w:tcPr>
            <w:tcW w:type="dxa" w:w="1100"/>
            <w:vAlign w:val="center"/>
          </w:tcPr>
          <w:p>
            <w:pPr>
              <w:spacing w:after="0" w:line="240" w:lineRule="auto"/>
              <w:jc w:val="center"/>
            </w:pPr>
            <w:r/>
            <w:r>
              <w:rPr>
                <w:rFonts w:ascii="Calibri" w:hAnsi="Calibri"/>
                <w:b w:val="0"/>
                <w:i w:val="0"/>
                <w:color w:val="000000"/>
                <w:sz w:val="12"/>
              </w:rPr>
              <w:t>36.01</w:t>
            </w:r>
          </w:p>
        </w:tc>
        <w:tc>
          <w:tcPr>
            <w:tcW w:type="dxa" w:w="1100"/>
            <w:vAlign w:val="center"/>
          </w:tcPr>
          <w:p>
            <w:pPr>
              <w:spacing w:after="0" w:line="240" w:lineRule="auto"/>
              <w:jc w:val="center"/>
            </w:pPr>
            <w:r/>
            <w:r>
              <w:rPr>
                <w:rFonts w:ascii="Calibri" w:hAnsi="Calibri"/>
                <w:b w:val="0"/>
                <w:i w:val="0"/>
                <w:color w:val="000000"/>
                <w:sz w:val="12"/>
              </w:rPr>
              <w:t>28.29</w:t>
            </w:r>
          </w:p>
        </w:tc>
        <w:tc>
          <w:tcPr>
            <w:tcW w:type="dxa" w:w="3149"/>
            <w:vAlign w:val="center"/>
          </w:tcPr>
          <w:p>
            <w:pPr>
              <w:spacing w:after="0" w:line="240" w:lineRule="auto"/>
              <w:jc w:val="center"/>
            </w:pPr>
            <w:r/>
            <w:r>
              <w:rPr>
                <w:rFonts w:ascii="Calibri" w:hAnsi="Calibri"/>
                <w:b w:val="0"/>
                <w:i w:val="0"/>
                <w:color w:val="000000"/>
                <w:sz w:val="12"/>
              </w:rPr>
              <w:t>58.52</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45712.4002</w:t>
            </w:r>
          </w:p>
        </w:tc>
        <w:tc>
          <w:tcPr>
            <w:tcW w:type="dxa" w:w="1729"/>
            <w:vAlign w:val="center"/>
          </w:tcPr>
          <w:p>
            <w:pPr>
              <w:spacing w:after="0" w:line="240" w:lineRule="auto"/>
              <w:jc w:val="center"/>
            </w:pPr>
            <w:r/>
            <w:r>
              <w:rPr>
                <w:rFonts w:ascii="Calibri" w:hAnsi="Calibri"/>
                <w:b w:val="0"/>
                <w:i w:val="0"/>
                <w:color w:val="000000"/>
                <w:sz w:val="12"/>
              </w:rPr>
              <w:t>37502.1294</w:t>
            </w:r>
          </w:p>
        </w:tc>
        <w:tc>
          <w:tcPr>
            <w:tcW w:type="dxa" w:w="1100"/>
            <w:vAlign w:val="center"/>
          </w:tcPr>
          <w:p>
            <w:pPr>
              <w:spacing w:after="0" w:line="240" w:lineRule="auto"/>
              <w:jc w:val="center"/>
            </w:pPr>
            <w:r/>
            <w:r>
              <w:rPr>
                <w:rFonts w:ascii="Calibri" w:hAnsi="Calibri"/>
                <w:b w:val="0"/>
                <w:i w:val="0"/>
                <w:color w:val="000000"/>
                <w:sz w:val="12"/>
              </w:rPr>
              <w:t>18.7441</w:t>
            </w:r>
          </w:p>
        </w:tc>
        <w:tc>
          <w:tcPr>
            <w:tcW w:type="dxa" w:w="1100"/>
            <w:vAlign w:val="center"/>
          </w:tcPr>
          <w:p>
            <w:pPr>
              <w:spacing w:after="0" w:line="240" w:lineRule="auto"/>
              <w:jc w:val="center"/>
            </w:pPr>
            <w:r/>
            <w:r>
              <w:rPr>
                <w:rFonts w:ascii="Calibri" w:hAnsi="Calibri"/>
                <w:b w:val="0"/>
                <w:i w:val="0"/>
                <w:color w:val="000000"/>
                <w:sz w:val="12"/>
              </w:rPr>
              <w:t>40.06</w:t>
            </w:r>
          </w:p>
        </w:tc>
        <w:tc>
          <w:tcPr>
            <w:tcW w:type="dxa" w:w="1100"/>
            <w:vAlign w:val="center"/>
          </w:tcPr>
          <w:p>
            <w:pPr>
              <w:spacing w:after="0" w:line="240" w:lineRule="auto"/>
              <w:jc w:val="center"/>
            </w:pPr>
            <w:r/>
            <w:r>
              <w:rPr>
                <w:rFonts w:ascii="Calibri" w:hAnsi="Calibri"/>
                <w:b w:val="0"/>
                <w:i w:val="0"/>
                <w:color w:val="000000"/>
                <w:sz w:val="12"/>
              </w:rPr>
              <w:t>30.61</w:t>
            </w:r>
          </w:p>
        </w:tc>
        <w:tc>
          <w:tcPr>
            <w:tcW w:type="dxa" w:w="3149"/>
            <w:vAlign w:val="center"/>
          </w:tcPr>
          <w:p>
            <w:pPr>
              <w:spacing w:after="0" w:line="240" w:lineRule="auto"/>
              <w:jc w:val="center"/>
            </w:pPr>
            <w:r/>
            <w:r>
              <w:rPr>
                <w:rFonts w:ascii="Calibri" w:hAnsi="Calibri"/>
                <w:b w:val="0"/>
                <w:i w:val="0"/>
                <w:color w:val="000000"/>
                <w:sz w:val="12"/>
              </w:rPr>
              <w:t>48.15</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200226.2914</w:t>
            </w:r>
          </w:p>
        </w:tc>
        <w:tc>
          <w:tcPr>
            <w:tcW w:type="dxa" w:w="1729"/>
            <w:vAlign w:val="center"/>
          </w:tcPr>
          <w:p>
            <w:pPr>
              <w:spacing w:after="0" w:line="240" w:lineRule="auto"/>
              <w:jc w:val="center"/>
            </w:pPr>
            <w:r/>
            <w:r>
              <w:rPr>
                <w:rFonts w:ascii="Calibri" w:hAnsi="Calibri"/>
                <w:b w:val="0"/>
                <w:i w:val="0"/>
                <w:color w:val="000000"/>
                <w:sz w:val="12"/>
              </w:rPr>
              <w:t>180239.9823</w:t>
            </w:r>
          </w:p>
        </w:tc>
        <w:tc>
          <w:tcPr>
            <w:tcW w:type="dxa" w:w="1100"/>
            <w:vAlign w:val="center"/>
          </w:tcPr>
          <w:p>
            <w:pPr>
              <w:spacing w:after="0" w:line="240" w:lineRule="auto"/>
              <w:jc w:val="center"/>
            </w:pPr>
            <w:r/>
            <w:r>
              <w:rPr>
                <w:rFonts w:ascii="Calibri" w:hAnsi="Calibri"/>
                <w:b w:val="0"/>
                <w:i w:val="0"/>
                <w:color w:val="000000"/>
                <w:sz w:val="12"/>
              </w:rPr>
              <w:t>90.0866</w:t>
            </w:r>
          </w:p>
        </w:tc>
        <w:tc>
          <w:tcPr>
            <w:tcW w:type="dxa" w:w="1100"/>
            <w:vAlign w:val="center"/>
          </w:tcPr>
          <w:p>
            <w:pPr>
              <w:spacing w:after="0" w:line="240" w:lineRule="auto"/>
              <w:jc w:val="center"/>
            </w:pPr>
            <w:r/>
            <w:r>
              <w:rPr>
                <w:rFonts w:ascii="Calibri" w:hAnsi="Calibri"/>
                <w:b w:val="0"/>
                <w:i w:val="0"/>
                <w:color w:val="000000"/>
                <w:sz w:val="12"/>
              </w:rPr>
              <w:t>165.22</w:t>
            </w:r>
          </w:p>
        </w:tc>
        <w:tc>
          <w:tcPr>
            <w:tcW w:type="dxa" w:w="1100"/>
            <w:vAlign w:val="center"/>
          </w:tcPr>
          <w:p>
            <w:pPr>
              <w:spacing w:after="0" w:line="240" w:lineRule="auto"/>
              <w:jc w:val="center"/>
            </w:pPr>
            <w:r/>
            <w:r>
              <w:rPr>
                <w:rFonts w:ascii="Calibri" w:hAnsi="Calibri"/>
                <w:b w:val="0"/>
                <w:i w:val="0"/>
                <w:color w:val="000000"/>
                <w:sz w:val="12"/>
              </w:rPr>
              <w:t>86.50</w:t>
            </w:r>
          </w:p>
        </w:tc>
        <w:tc>
          <w:tcPr>
            <w:tcW w:type="dxa" w:w="3149"/>
            <w:vAlign w:val="center"/>
          </w:tcPr>
          <w:p>
            <w:pPr>
              <w:spacing w:after="0" w:line="240" w:lineRule="auto"/>
              <w:jc w:val="center"/>
            </w:pPr>
            <w:r/>
            <w:r>
              <w:rPr>
                <w:rFonts w:ascii="Calibri" w:hAnsi="Calibri"/>
                <w:b w:val="0"/>
                <w:i w:val="0"/>
                <w:color w:val="000000"/>
                <w:sz w:val="12"/>
              </w:rPr>
              <w:t>54.07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0.6437</w:t>
            </w:r>
          </w:p>
        </w:tc>
        <w:tc>
          <w:tcPr>
            <w:tcW w:type="dxa" w:w="1729"/>
            <w:vAlign w:val="center"/>
          </w:tcPr>
          <w:p>
            <w:pPr>
              <w:spacing w:after="0" w:line="240" w:lineRule="auto"/>
              <w:jc w:val="center"/>
            </w:pPr>
            <w:r/>
            <w:r>
              <w:rPr>
                <w:rFonts w:ascii="Calibri" w:hAnsi="Calibri"/>
                <w:b w:val="0"/>
                <w:i w:val="0"/>
                <w:color w:val="000000"/>
                <w:sz w:val="12"/>
              </w:rPr>
              <w:t>0.2395</w:t>
            </w:r>
          </w:p>
        </w:tc>
        <w:tc>
          <w:tcPr>
            <w:tcW w:type="dxa" w:w="1100"/>
            <w:vAlign w:val="center"/>
          </w:tcPr>
          <w:p>
            <w:pPr>
              <w:spacing w:after="0" w:line="240" w:lineRule="auto"/>
              <w:jc w:val="center"/>
            </w:pPr>
            <w:r/>
            <w:r>
              <w:rPr>
                <w:rFonts w:ascii="Calibri" w:hAnsi="Calibri"/>
                <w:b w:val="0"/>
                <w:i w:val="0"/>
                <w:color w:val="000000"/>
                <w:sz w:val="12"/>
              </w:rPr>
              <w:t>1.3159</w:t>
            </w:r>
          </w:p>
        </w:tc>
        <w:tc>
          <w:tcPr>
            <w:tcW w:type="dxa" w:w="1100"/>
            <w:vAlign w:val="center"/>
          </w:tcPr>
          <w:p>
            <w:pPr>
              <w:spacing w:after="0" w:line="240" w:lineRule="auto"/>
              <w:jc w:val="center"/>
            </w:pPr>
            <w:r/>
            <w:r>
              <w:rPr>
                <w:rFonts w:ascii="Calibri" w:hAnsi="Calibri"/>
                <w:b w:val="0"/>
                <w:i w:val="0"/>
                <w:color w:val="000000"/>
                <w:sz w:val="12"/>
              </w:rPr>
              <w:t>1.76</w:t>
            </w:r>
          </w:p>
        </w:tc>
        <w:tc>
          <w:tcPr>
            <w:tcW w:type="dxa" w:w="1100"/>
            <w:vAlign w:val="center"/>
          </w:tcPr>
          <w:p>
            <w:pPr>
              <w:spacing w:after="0" w:line="240" w:lineRule="auto"/>
              <w:jc w:val="center"/>
            </w:pPr>
            <w:r/>
            <w:r>
              <w:rPr>
                <w:rFonts w:ascii="Calibri" w:hAnsi="Calibri"/>
                <w:b w:val="0"/>
                <w:i w:val="0"/>
                <w:color w:val="000000"/>
                <w:sz w:val="12"/>
              </w:rPr>
              <w:t>1.92</w:t>
            </w:r>
          </w:p>
        </w:tc>
        <w:tc>
          <w:tcPr>
            <w:tcW w:type="dxa" w:w="3149"/>
            <w:vAlign w:val="center"/>
          </w:tcPr>
          <w:p>
            <w:pPr>
              <w:spacing w:after="0" w:line="240" w:lineRule="auto"/>
              <w:jc w:val="center"/>
            </w:pPr>
            <w:r/>
            <w:r>
              <w:rPr>
                <w:rFonts w:ascii="Calibri" w:hAnsi="Calibri"/>
                <w:b w:val="0"/>
                <w:i w:val="0"/>
                <w:color w:val="000000"/>
                <w:sz w:val="12"/>
              </w:rPr>
              <w:t>29.29</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0.6542</w:t>
            </w:r>
          </w:p>
        </w:tc>
        <w:tc>
          <w:tcPr>
            <w:tcW w:type="dxa" w:w="1729"/>
            <w:vAlign w:val="center"/>
          </w:tcPr>
          <w:p>
            <w:pPr>
              <w:spacing w:after="0" w:line="240" w:lineRule="auto"/>
              <w:jc w:val="center"/>
            </w:pPr>
            <w:r/>
            <w:r>
              <w:rPr>
                <w:rFonts w:ascii="Calibri" w:hAnsi="Calibri"/>
                <w:b w:val="0"/>
                <w:i w:val="0"/>
                <w:color w:val="000000"/>
                <w:sz w:val="12"/>
              </w:rPr>
              <w:t>0.2573</w:t>
            </w:r>
          </w:p>
        </w:tc>
        <w:tc>
          <w:tcPr>
            <w:tcW w:type="dxa" w:w="1100"/>
            <w:vAlign w:val="center"/>
          </w:tcPr>
          <w:p>
            <w:pPr>
              <w:spacing w:after="0" w:line="240" w:lineRule="auto"/>
              <w:jc w:val="center"/>
            </w:pPr>
            <w:r/>
            <w:r>
              <w:rPr>
                <w:rFonts w:ascii="Calibri" w:hAnsi="Calibri"/>
                <w:b w:val="0"/>
                <w:i w:val="0"/>
                <w:color w:val="000000"/>
                <w:sz w:val="12"/>
              </w:rPr>
              <w:t>1.4138</w:t>
            </w:r>
          </w:p>
        </w:tc>
        <w:tc>
          <w:tcPr>
            <w:tcW w:type="dxa" w:w="1100"/>
            <w:vAlign w:val="center"/>
          </w:tcPr>
          <w:p>
            <w:pPr>
              <w:spacing w:after="0" w:line="240" w:lineRule="auto"/>
              <w:jc w:val="center"/>
            </w:pPr>
            <w:r/>
            <w:r>
              <w:rPr>
                <w:rFonts w:ascii="Calibri" w:hAnsi="Calibri"/>
                <w:b w:val="0"/>
                <w:i w:val="0"/>
                <w:color w:val="000000"/>
                <w:sz w:val="12"/>
              </w:rPr>
              <w:t>1.71</w:t>
            </w:r>
          </w:p>
        </w:tc>
        <w:tc>
          <w:tcPr>
            <w:tcW w:type="dxa" w:w="1100"/>
            <w:vAlign w:val="center"/>
          </w:tcPr>
          <w:p>
            <w:pPr>
              <w:spacing w:after="0" w:line="240" w:lineRule="auto"/>
              <w:jc w:val="center"/>
            </w:pPr>
            <w:r/>
            <w:r>
              <w:rPr>
                <w:rFonts w:ascii="Calibri" w:hAnsi="Calibri"/>
                <w:b w:val="0"/>
                <w:i w:val="0"/>
                <w:color w:val="000000"/>
                <w:sz w:val="12"/>
              </w:rPr>
              <w:t>1.79</w:t>
            </w:r>
          </w:p>
        </w:tc>
        <w:tc>
          <w:tcPr>
            <w:tcW w:type="dxa" w:w="3149"/>
            <w:vAlign w:val="center"/>
          </w:tcPr>
          <w:p>
            <w:pPr>
              <w:spacing w:after="0" w:line="240" w:lineRule="auto"/>
              <w:jc w:val="center"/>
            </w:pPr>
            <w:r/>
            <w:r>
              <w:rPr>
                <w:rFonts w:ascii="Calibri" w:hAnsi="Calibri"/>
                <w:b w:val="0"/>
                <w:i w:val="0"/>
                <w:color w:val="000000"/>
                <w:sz w:val="12"/>
              </w:rPr>
              <w:t>28.57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0.6766</w:t>
            </w:r>
          </w:p>
        </w:tc>
        <w:tc>
          <w:tcPr>
            <w:tcW w:type="dxa" w:w="1729"/>
            <w:vAlign w:val="center"/>
          </w:tcPr>
          <w:p>
            <w:pPr>
              <w:spacing w:after="0" w:line="240" w:lineRule="auto"/>
              <w:jc w:val="center"/>
            </w:pPr>
            <w:r/>
            <w:r>
              <w:rPr>
                <w:rFonts w:ascii="Calibri" w:hAnsi="Calibri"/>
                <w:b w:val="0"/>
                <w:i w:val="0"/>
                <w:color w:val="000000"/>
                <w:sz w:val="12"/>
              </w:rPr>
              <w:t>0.4589</w:t>
            </w:r>
          </w:p>
        </w:tc>
        <w:tc>
          <w:tcPr>
            <w:tcW w:type="dxa" w:w="1100"/>
            <w:vAlign w:val="center"/>
          </w:tcPr>
          <w:p>
            <w:pPr>
              <w:spacing w:after="0" w:line="240" w:lineRule="auto"/>
              <w:jc w:val="center"/>
            </w:pPr>
            <w:r/>
            <w:r>
              <w:rPr>
                <w:rFonts w:ascii="Calibri" w:hAnsi="Calibri"/>
                <w:b w:val="0"/>
                <w:i w:val="0"/>
                <w:color w:val="000000"/>
                <w:sz w:val="12"/>
              </w:rPr>
              <w:t>2.5212</w:t>
            </w:r>
          </w:p>
        </w:tc>
        <w:tc>
          <w:tcPr>
            <w:tcW w:type="dxa" w:w="1100"/>
            <w:vAlign w:val="center"/>
          </w:tcPr>
          <w:p>
            <w:pPr>
              <w:spacing w:after="0" w:line="240" w:lineRule="auto"/>
              <w:jc w:val="center"/>
            </w:pPr>
            <w:r/>
            <w:r>
              <w:rPr>
                <w:rFonts w:ascii="Calibri" w:hAnsi="Calibri"/>
                <w:b w:val="0"/>
                <w:i w:val="0"/>
                <w:color w:val="000000"/>
                <w:sz w:val="12"/>
              </w:rPr>
              <w:t>3.52</w:t>
            </w:r>
          </w:p>
        </w:tc>
        <w:tc>
          <w:tcPr>
            <w:tcW w:type="dxa" w:w="1100"/>
            <w:vAlign w:val="center"/>
          </w:tcPr>
          <w:p>
            <w:pPr>
              <w:spacing w:after="0" w:line="240" w:lineRule="auto"/>
              <w:jc w:val="center"/>
            </w:pPr>
            <w:r/>
            <w:r>
              <w:rPr>
                <w:rFonts w:ascii="Calibri" w:hAnsi="Calibri"/>
                <w:b w:val="0"/>
                <w:i w:val="0"/>
                <w:color w:val="000000"/>
                <w:sz w:val="12"/>
              </w:rPr>
              <w:t>3.54</w:t>
            </w:r>
          </w:p>
        </w:tc>
        <w:tc>
          <w:tcPr>
            <w:tcW w:type="dxa" w:w="3149"/>
            <w:vAlign w:val="center"/>
          </w:tcPr>
          <w:p>
            <w:pPr>
              <w:spacing w:after="0" w:line="240" w:lineRule="auto"/>
              <w:jc w:val="center"/>
            </w:pPr>
            <w:r/>
            <w:r>
              <w:rPr>
                <w:rFonts w:ascii="Calibri" w:hAnsi="Calibri"/>
                <w:b w:val="0"/>
                <w:i w:val="0"/>
                <w:color w:val="000000"/>
                <w:sz w:val="12"/>
              </w:rPr>
              <w:t>35.00</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0.7060</w:t>
            </w:r>
          </w:p>
        </w:tc>
        <w:tc>
          <w:tcPr>
            <w:tcW w:type="dxa" w:w="1729"/>
            <w:vAlign w:val="center"/>
          </w:tcPr>
          <w:p>
            <w:pPr>
              <w:spacing w:after="0" w:line="240" w:lineRule="auto"/>
              <w:jc w:val="center"/>
            </w:pPr>
            <w:r/>
            <w:r>
              <w:rPr>
                <w:rFonts w:ascii="Calibri" w:hAnsi="Calibri"/>
                <w:b w:val="0"/>
                <w:i w:val="0"/>
                <w:color w:val="000000"/>
                <w:sz w:val="12"/>
              </w:rPr>
              <w:t>0.5847</w:t>
            </w:r>
          </w:p>
        </w:tc>
        <w:tc>
          <w:tcPr>
            <w:tcW w:type="dxa" w:w="1100"/>
            <w:vAlign w:val="center"/>
          </w:tcPr>
          <w:p>
            <w:pPr>
              <w:spacing w:after="0" w:line="240" w:lineRule="auto"/>
              <w:jc w:val="center"/>
            </w:pPr>
            <w:r/>
            <w:r>
              <w:rPr>
                <w:rFonts w:ascii="Calibri" w:hAnsi="Calibri"/>
                <w:b w:val="0"/>
                <w:i w:val="0"/>
                <w:color w:val="000000"/>
                <w:sz w:val="12"/>
              </w:rPr>
              <w:t>3.2129</w:t>
            </w:r>
          </w:p>
        </w:tc>
        <w:tc>
          <w:tcPr>
            <w:tcW w:type="dxa" w:w="1100"/>
            <w:vAlign w:val="center"/>
          </w:tcPr>
          <w:p>
            <w:pPr>
              <w:spacing w:after="0" w:line="240" w:lineRule="auto"/>
              <w:jc w:val="center"/>
            </w:pPr>
            <w:r/>
            <w:r>
              <w:rPr>
                <w:rFonts w:ascii="Calibri" w:hAnsi="Calibri"/>
                <w:b w:val="0"/>
                <w:i w:val="0"/>
                <w:color w:val="000000"/>
                <w:sz w:val="12"/>
              </w:rPr>
              <w:t>4.95</w:t>
            </w:r>
          </w:p>
        </w:tc>
        <w:tc>
          <w:tcPr>
            <w:tcW w:type="dxa" w:w="1100"/>
            <w:vAlign w:val="center"/>
          </w:tcPr>
          <w:p>
            <w:pPr>
              <w:spacing w:after="0" w:line="240" w:lineRule="auto"/>
              <w:jc w:val="center"/>
            </w:pPr>
            <w:r/>
            <w:r>
              <w:rPr>
                <w:rFonts w:ascii="Calibri" w:hAnsi="Calibri"/>
                <w:b w:val="0"/>
                <w:i w:val="0"/>
                <w:color w:val="000000"/>
                <w:sz w:val="12"/>
              </w:rPr>
              <w:t>4.83</w:t>
            </w:r>
          </w:p>
        </w:tc>
        <w:tc>
          <w:tcPr>
            <w:tcW w:type="dxa" w:w="3149"/>
            <w:vAlign w:val="center"/>
          </w:tcPr>
          <w:p>
            <w:pPr>
              <w:spacing w:after="0" w:line="240" w:lineRule="auto"/>
              <w:jc w:val="center"/>
            </w:pPr>
            <w:r/>
            <w:r>
              <w:rPr>
                <w:rFonts w:ascii="Calibri" w:hAnsi="Calibri"/>
                <w:b w:val="0"/>
                <w:i w:val="0"/>
                <w:color w:val="000000"/>
                <w:sz w:val="12"/>
              </w:rPr>
              <w:t>38.57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0.7220</w:t>
            </w:r>
          </w:p>
        </w:tc>
        <w:tc>
          <w:tcPr>
            <w:tcW w:type="dxa" w:w="1729"/>
            <w:vAlign w:val="center"/>
          </w:tcPr>
          <w:p>
            <w:pPr>
              <w:spacing w:after="0" w:line="240" w:lineRule="auto"/>
              <w:jc w:val="center"/>
            </w:pPr>
            <w:r/>
            <w:r>
              <w:rPr>
                <w:rFonts w:ascii="Calibri" w:hAnsi="Calibri"/>
                <w:b w:val="0"/>
                <w:i w:val="0"/>
                <w:color w:val="000000"/>
                <w:sz w:val="12"/>
              </w:rPr>
              <w:t>0.4668</w:t>
            </w:r>
          </w:p>
        </w:tc>
        <w:tc>
          <w:tcPr>
            <w:tcW w:type="dxa" w:w="1100"/>
            <w:vAlign w:val="center"/>
          </w:tcPr>
          <w:p>
            <w:pPr>
              <w:spacing w:after="0" w:line="240" w:lineRule="auto"/>
              <w:jc w:val="center"/>
            </w:pPr>
            <w:r/>
            <w:r>
              <w:rPr>
                <w:rFonts w:ascii="Calibri" w:hAnsi="Calibri"/>
                <w:b w:val="0"/>
                <w:i w:val="0"/>
                <w:color w:val="000000"/>
                <w:sz w:val="12"/>
              </w:rPr>
              <w:t>2.5646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3149"/>
            <w:vAlign w:val="center"/>
          </w:tcPr>
          <w:p>
            <w:pPr>
              <w:spacing w:after="0" w:line="240" w:lineRule="auto"/>
              <w:jc w:val="center"/>
            </w:pPr>
            <w:r/>
            <w:r>
              <w:rPr>
                <w:rFonts w:ascii="Calibri" w:hAnsi="Calibri"/>
                <w:b w:val="0"/>
                <w:i w:val="0"/>
                <w:color w:val="000000"/>
                <w:sz w:val="12"/>
              </w:rPr>
              <w:t>30.71</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1.3033</w:t>
            </w:r>
          </w:p>
        </w:tc>
        <w:tc>
          <w:tcPr>
            <w:tcW w:type="dxa" w:w="1729"/>
            <w:vAlign w:val="center"/>
          </w:tcPr>
          <w:p>
            <w:pPr>
              <w:spacing w:after="0" w:line="240" w:lineRule="auto"/>
              <w:jc w:val="center"/>
            </w:pPr>
            <w:r/>
            <w:r>
              <w:rPr>
                <w:rFonts w:ascii="Calibri" w:hAnsi="Calibri"/>
                <w:b w:val="0"/>
                <w:i w:val="0"/>
                <w:color w:val="000000"/>
                <w:sz w:val="12"/>
              </w:rPr>
              <w:t>0.8864</w:t>
            </w:r>
          </w:p>
        </w:tc>
        <w:tc>
          <w:tcPr>
            <w:tcW w:type="dxa" w:w="1100"/>
            <w:vAlign w:val="center"/>
          </w:tcPr>
          <w:p>
            <w:pPr>
              <w:spacing w:after="0" w:line="240" w:lineRule="auto"/>
              <w:jc w:val="center"/>
            </w:pPr>
            <w:r/>
            <w:r>
              <w:rPr>
                <w:rFonts w:ascii="Calibri" w:hAnsi="Calibri"/>
                <w:b w:val="0"/>
                <w:i w:val="0"/>
                <w:color w:val="000000"/>
                <w:sz w:val="12"/>
              </w:rPr>
              <w:t>4.8704</w:t>
            </w:r>
          </w:p>
        </w:tc>
        <w:tc>
          <w:tcPr>
            <w:tcW w:type="dxa" w:w="1100"/>
            <w:vAlign w:val="center"/>
          </w:tcPr>
          <w:p>
            <w:pPr>
              <w:spacing w:after="0" w:line="240" w:lineRule="auto"/>
              <w:jc w:val="center"/>
            </w:pPr>
            <w:r/>
            <w:r>
              <w:rPr>
                <w:rFonts w:ascii="Calibri" w:hAnsi="Calibri"/>
                <w:b w:val="0"/>
                <w:i w:val="0"/>
                <w:color w:val="000000"/>
                <w:sz w:val="12"/>
              </w:rPr>
              <w:t>6.01</w:t>
            </w:r>
          </w:p>
        </w:tc>
        <w:tc>
          <w:tcPr>
            <w:tcW w:type="dxa" w:w="1100"/>
            <w:vAlign w:val="center"/>
          </w:tcPr>
          <w:p>
            <w:pPr>
              <w:spacing w:after="0" w:line="240" w:lineRule="auto"/>
              <w:jc w:val="center"/>
            </w:pPr>
            <w:r/>
            <w:r>
              <w:rPr>
                <w:rFonts w:ascii="Calibri" w:hAnsi="Calibri"/>
                <w:b w:val="0"/>
                <w:i w:val="0"/>
                <w:color w:val="000000"/>
                <w:sz w:val="12"/>
              </w:rPr>
              <w:t>5.76</w:t>
            </w:r>
          </w:p>
        </w:tc>
        <w:tc>
          <w:tcPr>
            <w:tcW w:type="dxa" w:w="3149"/>
            <w:vAlign w:val="center"/>
          </w:tcPr>
          <w:p>
            <w:pPr>
              <w:spacing w:after="0" w:line="240" w:lineRule="auto"/>
              <w:jc w:val="center"/>
            </w:pPr>
            <w:r/>
            <w:r>
              <w:rPr>
                <w:rFonts w:ascii="Calibri" w:hAnsi="Calibri"/>
                <w:b w:val="0"/>
                <w:i w:val="0"/>
                <w:color w:val="000000"/>
                <w:sz w:val="12"/>
              </w:rPr>
              <w:t>37.14</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4.8948</w:t>
            </w:r>
          </w:p>
        </w:tc>
        <w:tc>
          <w:tcPr>
            <w:tcW w:type="dxa" w:w="1729"/>
            <w:vAlign w:val="center"/>
          </w:tcPr>
          <w:p>
            <w:pPr>
              <w:spacing w:after="0" w:line="240" w:lineRule="auto"/>
              <w:jc w:val="center"/>
            </w:pPr>
            <w:r/>
            <w:r>
              <w:rPr>
                <w:rFonts w:ascii="Calibri" w:hAnsi="Calibri"/>
                <w:b w:val="0"/>
                <w:i w:val="0"/>
                <w:color w:val="000000"/>
                <w:sz w:val="12"/>
              </w:rPr>
              <w:t>3.3720</w:t>
            </w:r>
          </w:p>
        </w:tc>
        <w:tc>
          <w:tcPr>
            <w:tcW w:type="dxa" w:w="1100"/>
            <w:vAlign w:val="center"/>
          </w:tcPr>
          <w:p>
            <w:pPr>
              <w:spacing w:after="0" w:line="240" w:lineRule="auto"/>
              <w:jc w:val="center"/>
            </w:pPr>
            <w:r/>
            <w:r>
              <w:rPr>
                <w:rFonts w:ascii="Calibri" w:hAnsi="Calibri"/>
                <w:b w:val="0"/>
                <w:i w:val="0"/>
                <w:color w:val="000000"/>
                <w:sz w:val="12"/>
              </w:rPr>
              <w:t>18.5273</w:t>
            </w:r>
          </w:p>
        </w:tc>
        <w:tc>
          <w:tcPr>
            <w:tcW w:type="dxa" w:w="1100"/>
            <w:vAlign w:val="center"/>
          </w:tcPr>
          <w:p>
            <w:pPr>
              <w:spacing w:after="0" w:line="240" w:lineRule="auto"/>
              <w:jc w:val="center"/>
            </w:pPr>
            <w:r/>
            <w:r>
              <w:rPr>
                <w:rFonts w:ascii="Calibri" w:hAnsi="Calibri"/>
                <w:b w:val="0"/>
                <w:i w:val="0"/>
                <w:color w:val="000000"/>
                <w:sz w:val="12"/>
              </w:rPr>
              <w:t>21.47</w:t>
            </w:r>
          </w:p>
        </w:tc>
        <w:tc>
          <w:tcPr>
            <w:tcW w:type="dxa" w:w="1100"/>
            <w:vAlign w:val="center"/>
          </w:tcPr>
          <w:p>
            <w:pPr>
              <w:spacing w:after="0" w:line="240" w:lineRule="auto"/>
              <w:jc w:val="center"/>
            </w:pPr>
            <w:r/>
            <w:r>
              <w:rPr>
                <w:rFonts w:ascii="Calibri" w:hAnsi="Calibri"/>
                <w:b w:val="0"/>
                <w:i w:val="0"/>
                <w:color w:val="000000"/>
                <w:sz w:val="12"/>
              </w:rPr>
              <w:t>26.45</w:t>
            </w:r>
          </w:p>
        </w:tc>
        <w:tc>
          <w:tcPr>
            <w:tcW w:type="dxa" w:w="3149"/>
            <w:vAlign w:val="center"/>
          </w:tcPr>
          <w:p>
            <w:pPr>
              <w:spacing w:after="0" w:line="240" w:lineRule="auto"/>
              <w:jc w:val="center"/>
            </w:pPr>
            <w:r/>
            <w:r>
              <w:rPr>
                <w:rFonts w:ascii="Calibri" w:hAnsi="Calibri"/>
                <w:b w:val="0"/>
                <w:i w:val="0"/>
                <w:color w:val="000000"/>
                <w:sz w:val="12"/>
              </w:rPr>
              <w:t>35.00</w:t>
            </w:r>
          </w:p>
        </w:tc>
      </w:tr>
    </w:tbl>
    <w:p>
      <w:pPr>
        <w:spacing w:after="60"/>
      </w:pPr>
    </w:p>
    <w:p>
      <w:pPr>
        <w:pStyle w:val="Heading3"/>
      </w:pPr>
      <w:r>
        <w:t>Interpretation of Table 7</w:t>
      </w:r>
    </w:p>
    <w:p>
      <w:pPr>
        <w:spacing w:after="160" w:line="320" w:lineRule="auto"/>
        <w:jc w:val="both"/>
      </w:pPr>
      <w:r>
        <w:rPr>
          <w:rFonts w:ascii="Calibri" w:hAnsi="Calibri"/>
          <w:b/>
          <w:i w:val="0"/>
          <w:color w:val="000000"/>
          <w:sz w:val="22"/>
        </w:rPr>
        <w:t>Carbonate result:</w:t>
      </w:r>
      <w:r>
        <w:rPr>
          <w:rFonts w:ascii="Calibri" w:hAnsi="Calibri"/>
          <w:b w:val="0"/>
          <w:i w:val="0"/>
          <w:color w:val="000000"/>
          <w:sz w:val="22"/>
        </w:rPr>
        <w:t xml:space="preserve"> ARIMA is the strongest single model for carbonate by RMSE (3,612.20), MAE (1,827.04), MASE (0.9132), and MAPE (1.43%). RF has the highest directional accuracy (72.59%) but a materially worse RMSE of 5,380.32, showing that direction and price-level accuracy answer different questions.</w:t>
      </w:r>
    </w:p>
    <w:p>
      <w:pPr>
        <w:spacing w:after="160" w:line="320" w:lineRule="auto"/>
        <w:jc w:val="both"/>
      </w:pPr>
      <w:r>
        <w:rPr>
          <w:rFonts w:ascii="Calibri" w:hAnsi="Calibri"/>
          <w:b/>
          <w:i w:val="0"/>
          <w:color w:val="000000"/>
          <w:sz w:val="22"/>
        </w:rPr>
        <w:t>Hydroxide result:</w:t>
      </w:r>
      <w:r>
        <w:rPr>
          <w:rFonts w:ascii="Calibri" w:hAnsi="Calibri"/>
          <w:b w:val="0"/>
          <w:i w:val="0"/>
          <w:color w:val="000000"/>
          <w:sz w:val="22"/>
        </w:rPr>
        <w:t xml:space="preserve"> ARIMA again has the lowest single-model RMSE (0.6437) and MAE (0.2395), but its directional accuracy is only 29.29%. SVR raises directional accuracy to 38.57% while worsening RMSE to 0.7060. A model can track the price level yet fail to identify small one-day changes around a persistent series.</w:t>
      </w:r>
    </w:p>
    <w:p>
      <w:pPr>
        <w:spacing w:after="160" w:line="320" w:lineRule="auto"/>
        <w:jc w:val="both"/>
      </w:pPr>
      <w:r>
        <w:rPr>
          <w:rFonts w:ascii="Calibri" w:hAnsi="Calibri"/>
          <w:b/>
          <w:i w:val="0"/>
          <w:color w:val="000000"/>
          <w:sz w:val="22"/>
        </w:rPr>
        <w:t>Benchmark lesson:</w:t>
      </w:r>
      <w:r>
        <w:rPr>
          <w:rFonts w:ascii="Calibri" w:hAnsi="Calibri"/>
          <w:b w:val="0"/>
          <w:i w:val="0"/>
          <w:color w:val="000000"/>
          <w:sz w:val="22"/>
        </w:rPr>
        <w:t xml:space="preserve"> ES performs especially poorly after structural shifts, while MLP, ELM, and LSTM do not automatically benefit from greater nonlinearity in this short sample. Table 7 therefore establishes a demanding statistical baseline: complexity is valuable only when decomposition or information selection converts it into lower loss.</w:t>
      </w:r>
    </w:p>
    <w:p>
      <w:pPr>
        <w:keepNext/>
        <w:spacing w:before="100" w:after="80"/>
      </w:pPr>
      <w:r>
        <w:rPr>
          <w:rFonts w:ascii="Calibri" w:hAnsi="Calibri"/>
          <w:b/>
          <w:i w:val="0"/>
          <w:color w:val="1F4D78"/>
          <w:sz w:val="18"/>
        </w:rPr>
        <w:t xml:space="preserve">Table 8. </w:t>
      </w:r>
      <w:r>
        <w:rPr>
          <w:rFonts w:ascii="Calibri" w:hAnsi="Calibri"/>
          <w:b w:val="0"/>
          <w:i/>
          <w:color w:val="000000"/>
          <w:sz w:val="18"/>
        </w:rPr>
        <w:t>Forecasting errors on the testing sets for decomposition models.</w:t>
      </w:r>
    </w:p>
    <w:tbl>
      <w:tblPr>
        <w:tblStyle w:val="TableGrid"/>
        <w:tblW w:type="dxa" w:w="13680"/>
        <w:jc w:val="left"/>
        <w:tblLayout w:type="fixed"/>
        <w:tblLook w:firstColumn="1" w:firstRow="1" w:lastColumn="0" w:lastRow="0" w:noHBand="0" w:noVBand="1" w:val="04A0"/>
      </w:tblPr>
      <w:tblGrid>
        <w:gridCol w:w="2214"/>
        <w:gridCol w:w="3778"/>
        <w:gridCol w:w="1172"/>
        <w:gridCol w:w="1172"/>
        <w:gridCol w:w="912"/>
        <w:gridCol w:w="912"/>
        <w:gridCol w:w="912"/>
        <w:gridCol w:w="2608"/>
      </w:tblGrid>
      <w:tr>
        <w:trPr>
          <w:tblHeader w:val="true"/>
        </w:trPr>
        <w:tc>
          <w:tcPr>
            <w:tcW w:type="dxa" w:w="2214"/>
            <w:shd w:fill="F4F6F9"/>
            <w:vAlign w:val="center"/>
          </w:tcPr>
          <w:p>
            <w:pPr>
              <w:jc w:val="center"/>
            </w:pPr>
            <w:r/>
            <w:r>
              <w:rPr>
                <w:rFonts w:ascii="Calibri" w:hAnsi="Calibri"/>
                <w:b/>
                <w:i w:val="0"/>
                <w:color w:val="0B2545"/>
                <w:sz w:val="12"/>
              </w:rPr>
              <w:t>Target</w:t>
            </w:r>
          </w:p>
        </w:tc>
        <w:tc>
          <w:tcPr>
            <w:tcW w:type="dxa" w:w="3778"/>
            <w:shd w:fill="F4F6F9"/>
            <w:vAlign w:val="center"/>
          </w:tcPr>
          <w:p>
            <w:pPr>
              <w:jc w:val="center"/>
            </w:pPr>
            <w:r/>
            <w:r>
              <w:rPr>
                <w:rFonts w:ascii="Calibri" w:hAnsi="Calibri"/>
                <w:b/>
                <w:i w:val="0"/>
                <w:color w:val="0B2545"/>
                <w:sz w:val="12"/>
              </w:rPr>
              <w:t>Model</w:t>
            </w:r>
          </w:p>
        </w:tc>
        <w:tc>
          <w:tcPr>
            <w:tcW w:type="dxa" w:w="1172"/>
            <w:shd w:fill="F4F6F9"/>
            <w:vAlign w:val="center"/>
          </w:tcPr>
          <w:p>
            <w:pPr>
              <w:jc w:val="center"/>
            </w:pPr>
            <w:r/>
            <w:r>
              <w:rPr>
                <w:rFonts w:ascii="Calibri" w:hAnsi="Calibri"/>
                <w:b/>
                <w:i w:val="0"/>
                <w:color w:val="0B2545"/>
                <w:sz w:val="12"/>
              </w:rPr>
              <w:t>RMSE</w:t>
            </w:r>
          </w:p>
        </w:tc>
        <w:tc>
          <w:tcPr>
            <w:tcW w:type="dxa" w:w="1172"/>
            <w:shd w:fill="F4F6F9"/>
            <w:vAlign w:val="center"/>
          </w:tcPr>
          <w:p>
            <w:pPr>
              <w:jc w:val="center"/>
            </w:pPr>
            <w:r/>
            <w:r>
              <w:rPr>
                <w:rFonts w:ascii="Calibri" w:hAnsi="Calibri"/>
                <w:b/>
                <w:i w:val="0"/>
                <w:color w:val="0B2545"/>
                <w:sz w:val="12"/>
              </w:rPr>
              <w:t>MAE</w:t>
            </w:r>
          </w:p>
        </w:tc>
        <w:tc>
          <w:tcPr>
            <w:tcW w:type="dxa" w:w="912"/>
            <w:shd w:fill="F4F6F9"/>
            <w:vAlign w:val="center"/>
          </w:tcPr>
          <w:p>
            <w:pPr>
              <w:jc w:val="center"/>
            </w:pPr>
            <w:r/>
            <w:r>
              <w:rPr>
                <w:rFonts w:ascii="Calibri" w:hAnsi="Calibri"/>
                <w:b/>
                <w:i w:val="0"/>
                <w:color w:val="0B2545"/>
                <w:sz w:val="12"/>
              </w:rPr>
              <w:t>MASE</w:t>
            </w:r>
          </w:p>
        </w:tc>
        <w:tc>
          <w:tcPr>
            <w:tcW w:type="dxa" w:w="912"/>
            <w:shd w:fill="F4F6F9"/>
            <w:vAlign w:val="center"/>
          </w:tcPr>
          <w:p>
            <w:pPr>
              <w:jc w:val="center"/>
            </w:pPr>
            <w:r/>
            <w:r>
              <w:rPr>
                <w:rFonts w:ascii="Calibri" w:hAnsi="Calibri"/>
                <w:b/>
                <w:i w:val="0"/>
                <w:color w:val="0B2545"/>
                <w:sz w:val="12"/>
              </w:rPr>
              <w:t>MAPE</w:t>
            </w:r>
          </w:p>
        </w:tc>
        <w:tc>
          <w:tcPr>
            <w:tcW w:type="dxa" w:w="912"/>
            <w:shd w:fill="F4F6F9"/>
            <w:vAlign w:val="center"/>
          </w:tcPr>
          <w:p>
            <w:pPr>
              <w:jc w:val="center"/>
            </w:pPr>
            <w:r/>
            <w:r>
              <w:rPr>
                <w:rFonts w:ascii="Calibri" w:hAnsi="Calibri"/>
                <w:b/>
                <w:i w:val="0"/>
                <w:color w:val="0B2545"/>
                <w:sz w:val="12"/>
              </w:rPr>
              <w:t>sMAPE</w:t>
            </w:r>
          </w:p>
        </w:tc>
        <w:tc>
          <w:tcPr>
            <w:tcW w:type="dxa" w:w="2608"/>
            <w:shd w:fill="F4F6F9"/>
            <w:vAlign w:val="center"/>
          </w:tcPr>
          <w:p>
            <w:pPr>
              <w:jc w:val="center"/>
            </w:pPr>
            <w:r/>
            <w:r>
              <w:rPr>
                <w:rFonts w:ascii="Calibri" w:hAnsi="Calibri"/>
                <w:b/>
                <w:i w:val="0"/>
                <w:color w:val="0B2545"/>
                <w:sz w:val="12"/>
              </w:rPr>
              <w:t>Directional Accuracy</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3385.6721</w:t>
            </w:r>
          </w:p>
        </w:tc>
        <w:tc>
          <w:tcPr>
            <w:tcW w:type="dxa" w:w="1172"/>
            <w:vAlign w:val="center"/>
          </w:tcPr>
          <w:p>
            <w:pPr>
              <w:spacing w:after="0" w:line="240" w:lineRule="auto"/>
              <w:jc w:val="center"/>
            </w:pPr>
            <w:r/>
            <w:r>
              <w:rPr>
                <w:rFonts w:ascii="Calibri" w:hAnsi="Calibri"/>
                <w:b w:val="0"/>
                <w:i w:val="0"/>
                <w:color w:val="000000"/>
                <w:sz w:val="12"/>
              </w:rPr>
              <w:t>2193.4135</w:t>
            </w:r>
          </w:p>
        </w:tc>
        <w:tc>
          <w:tcPr>
            <w:tcW w:type="dxa" w:w="912"/>
            <w:vAlign w:val="center"/>
          </w:tcPr>
          <w:p>
            <w:pPr>
              <w:spacing w:after="0" w:line="240" w:lineRule="auto"/>
              <w:jc w:val="center"/>
            </w:pPr>
            <w:r/>
            <w:r>
              <w:rPr>
                <w:rFonts w:ascii="Calibri" w:hAnsi="Calibri"/>
                <w:b w:val="0"/>
                <w:i w:val="0"/>
                <w:color w:val="000000"/>
                <w:sz w:val="12"/>
              </w:rPr>
              <w:t>1.0963</w:t>
            </w:r>
          </w:p>
        </w:tc>
        <w:tc>
          <w:tcPr>
            <w:tcW w:type="dxa" w:w="912"/>
            <w:vAlign w:val="center"/>
          </w:tcPr>
          <w:p>
            <w:pPr>
              <w:spacing w:after="0" w:line="240" w:lineRule="auto"/>
              <w:jc w:val="center"/>
            </w:pPr>
            <w:r/>
            <w:r>
              <w:rPr>
                <w:rFonts w:ascii="Calibri" w:hAnsi="Calibri"/>
                <w:b w:val="0"/>
                <w:i w:val="0"/>
                <w:color w:val="000000"/>
                <w:sz w:val="12"/>
              </w:rPr>
              <w:t>1.89</w:t>
            </w:r>
          </w:p>
        </w:tc>
        <w:tc>
          <w:tcPr>
            <w:tcW w:type="dxa" w:w="912"/>
            <w:vAlign w:val="center"/>
          </w:tcPr>
          <w:p>
            <w:pPr>
              <w:spacing w:after="0" w:line="240" w:lineRule="auto"/>
              <w:jc w:val="center"/>
            </w:pPr>
            <w:r/>
            <w:r>
              <w:rPr>
                <w:rFonts w:ascii="Calibri" w:hAnsi="Calibri"/>
                <w:b w:val="0"/>
                <w:i w:val="0"/>
                <w:color w:val="000000"/>
                <w:sz w:val="12"/>
              </w:rPr>
              <w:t>1.89</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3623.5469</w:t>
            </w:r>
          </w:p>
        </w:tc>
        <w:tc>
          <w:tcPr>
            <w:tcW w:type="dxa" w:w="1172"/>
            <w:vAlign w:val="center"/>
          </w:tcPr>
          <w:p>
            <w:pPr>
              <w:spacing w:after="0" w:line="240" w:lineRule="auto"/>
              <w:jc w:val="center"/>
            </w:pPr>
            <w:r/>
            <w:r>
              <w:rPr>
                <w:rFonts w:ascii="Calibri" w:hAnsi="Calibri"/>
                <w:b w:val="0"/>
                <w:i w:val="0"/>
                <w:color w:val="000000"/>
                <w:sz w:val="12"/>
              </w:rPr>
              <w:t>1436.9183</w:t>
            </w:r>
          </w:p>
        </w:tc>
        <w:tc>
          <w:tcPr>
            <w:tcW w:type="dxa" w:w="912"/>
            <w:vAlign w:val="center"/>
          </w:tcPr>
          <w:p>
            <w:pPr>
              <w:spacing w:after="0" w:line="240" w:lineRule="auto"/>
              <w:jc w:val="center"/>
            </w:pPr>
            <w:r/>
            <w:r>
              <w:rPr>
                <w:rFonts w:ascii="Calibri" w:hAnsi="Calibri"/>
                <w:b w:val="0"/>
                <w:i w:val="0"/>
                <w:color w:val="000000"/>
                <w:sz w:val="12"/>
              </w:rPr>
              <w:t>0.7182</w:t>
            </w:r>
          </w:p>
        </w:tc>
        <w:tc>
          <w:tcPr>
            <w:tcW w:type="dxa" w:w="912"/>
            <w:vAlign w:val="center"/>
          </w:tcPr>
          <w:p>
            <w:pPr>
              <w:spacing w:after="0" w:line="240" w:lineRule="auto"/>
              <w:jc w:val="center"/>
            </w:pPr>
            <w:r/>
            <w:r>
              <w:rPr>
                <w:rFonts w:ascii="Calibri" w:hAnsi="Calibri"/>
                <w:b w:val="0"/>
                <w:i w:val="0"/>
                <w:color w:val="000000"/>
                <w:sz w:val="12"/>
              </w:rPr>
              <w:t>1.12</w:t>
            </w:r>
          </w:p>
        </w:tc>
        <w:tc>
          <w:tcPr>
            <w:tcW w:type="dxa" w:w="912"/>
            <w:vAlign w:val="center"/>
          </w:tcPr>
          <w:p>
            <w:pPr>
              <w:spacing w:after="0" w:line="240" w:lineRule="auto"/>
              <w:jc w:val="center"/>
            </w:pPr>
            <w:r/>
            <w:r>
              <w:rPr>
                <w:rFonts w:ascii="Calibri" w:hAnsi="Calibri"/>
                <w:b w:val="0"/>
                <w:i w:val="0"/>
                <w:color w:val="000000"/>
                <w:sz w:val="12"/>
              </w:rPr>
              <w:t>1.16</w:t>
            </w:r>
          </w:p>
        </w:tc>
        <w:tc>
          <w:tcPr>
            <w:tcW w:type="dxa" w:w="2608"/>
            <w:vAlign w:val="center"/>
          </w:tcPr>
          <w:p>
            <w:pPr>
              <w:spacing w:after="0" w:line="240" w:lineRule="auto"/>
              <w:jc w:val="center"/>
            </w:pPr>
            <w:r/>
            <w:r>
              <w:rPr>
                <w:rFonts w:ascii="Calibri" w:hAnsi="Calibri"/>
                <w:b w:val="0"/>
                <w:i w:val="0"/>
                <w:color w:val="000000"/>
                <w:sz w:val="12"/>
              </w:rPr>
              <w:t>77.04</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3672.3030</w:t>
            </w:r>
          </w:p>
        </w:tc>
        <w:tc>
          <w:tcPr>
            <w:tcW w:type="dxa" w:w="1172"/>
            <w:vAlign w:val="center"/>
          </w:tcPr>
          <w:p>
            <w:pPr>
              <w:spacing w:after="0" w:line="240" w:lineRule="auto"/>
              <w:jc w:val="center"/>
            </w:pPr>
            <w:r/>
            <w:r>
              <w:rPr>
                <w:rFonts w:ascii="Calibri" w:hAnsi="Calibri"/>
                <w:b w:val="0"/>
                <w:i w:val="0"/>
                <w:color w:val="000000"/>
                <w:sz w:val="12"/>
              </w:rPr>
              <w:t>2086.1666</w:t>
            </w:r>
          </w:p>
        </w:tc>
        <w:tc>
          <w:tcPr>
            <w:tcW w:type="dxa" w:w="912"/>
            <w:vAlign w:val="center"/>
          </w:tcPr>
          <w:p>
            <w:pPr>
              <w:spacing w:after="0" w:line="240" w:lineRule="auto"/>
              <w:jc w:val="center"/>
            </w:pPr>
            <w:r/>
            <w:r>
              <w:rPr>
                <w:rFonts w:ascii="Calibri" w:hAnsi="Calibri"/>
                <w:b w:val="0"/>
                <w:i w:val="0"/>
                <w:color w:val="000000"/>
                <w:sz w:val="12"/>
              </w:rPr>
              <w:t>1.0427</w:t>
            </w:r>
          </w:p>
        </w:tc>
        <w:tc>
          <w:tcPr>
            <w:tcW w:type="dxa" w:w="912"/>
            <w:vAlign w:val="center"/>
          </w:tcPr>
          <w:p>
            <w:pPr>
              <w:spacing w:after="0" w:line="240" w:lineRule="auto"/>
              <w:jc w:val="center"/>
            </w:pPr>
            <w:r/>
            <w:r>
              <w:rPr>
                <w:rFonts w:ascii="Calibri" w:hAnsi="Calibri"/>
                <w:b w:val="0"/>
                <w:i w:val="0"/>
                <w:color w:val="000000"/>
                <w:sz w:val="12"/>
              </w:rPr>
              <w:t>1.84</w:t>
            </w:r>
          </w:p>
        </w:tc>
        <w:tc>
          <w:tcPr>
            <w:tcW w:type="dxa" w:w="912"/>
            <w:vAlign w:val="center"/>
          </w:tcPr>
          <w:p>
            <w:pPr>
              <w:spacing w:after="0" w:line="240" w:lineRule="auto"/>
              <w:jc w:val="center"/>
            </w:pPr>
            <w:r/>
            <w:r>
              <w:rPr>
                <w:rFonts w:ascii="Calibri" w:hAnsi="Calibri"/>
                <w:b w:val="0"/>
                <w:i w:val="0"/>
                <w:color w:val="000000"/>
                <w:sz w:val="12"/>
              </w:rPr>
              <w:t>1.87</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5592.2187</w:t>
            </w:r>
          </w:p>
        </w:tc>
        <w:tc>
          <w:tcPr>
            <w:tcW w:type="dxa" w:w="1172"/>
            <w:vAlign w:val="center"/>
          </w:tcPr>
          <w:p>
            <w:pPr>
              <w:spacing w:after="0" w:line="240" w:lineRule="auto"/>
              <w:jc w:val="center"/>
            </w:pPr>
            <w:r/>
            <w:r>
              <w:rPr>
                <w:rFonts w:ascii="Calibri" w:hAnsi="Calibri"/>
                <w:b w:val="0"/>
                <w:i w:val="0"/>
                <w:color w:val="000000"/>
                <w:sz w:val="12"/>
              </w:rPr>
              <w:t>3718.5097</w:t>
            </w:r>
          </w:p>
        </w:tc>
        <w:tc>
          <w:tcPr>
            <w:tcW w:type="dxa" w:w="912"/>
            <w:vAlign w:val="center"/>
          </w:tcPr>
          <w:p>
            <w:pPr>
              <w:spacing w:after="0" w:line="240" w:lineRule="auto"/>
              <w:jc w:val="center"/>
            </w:pPr>
            <w:r/>
            <w:r>
              <w:rPr>
                <w:rFonts w:ascii="Calibri" w:hAnsi="Calibri"/>
                <w:b w:val="0"/>
                <w:i w:val="0"/>
                <w:color w:val="000000"/>
                <w:sz w:val="12"/>
              </w:rPr>
              <w:t>1.8586</w:t>
            </w:r>
          </w:p>
        </w:tc>
        <w:tc>
          <w:tcPr>
            <w:tcW w:type="dxa" w:w="912"/>
            <w:vAlign w:val="center"/>
          </w:tcPr>
          <w:p>
            <w:pPr>
              <w:spacing w:after="0" w:line="240" w:lineRule="auto"/>
              <w:jc w:val="center"/>
            </w:pPr>
            <w:r/>
            <w:r>
              <w:rPr>
                <w:rFonts w:ascii="Calibri" w:hAnsi="Calibri"/>
                <w:b w:val="0"/>
                <w:i w:val="0"/>
                <w:color w:val="000000"/>
                <w:sz w:val="12"/>
              </w:rPr>
              <w:t>3.01</w:t>
            </w:r>
          </w:p>
        </w:tc>
        <w:tc>
          <w:tcPr>
            <w:tcW w:type="dxa" w:w="912"/>
            <w:vAlign w:val="center"/>
          </w:tcPr>
          <w:p>
            <w:pPr>
              <w:spacing w:after="0" w:line="240" w:lineRule="auto"/>
              <w:jc w:val="center"/>
            </w:pPr>
            <w:r/>
            <w:r>
              <w:rPr>
                <w:rFonts w:ascii="Calibri" w:hAnsi="Calibri"/>
                <w:b w:val="0"/>
                <w:i w:val="0"/>
                <w:color w:val="000000"/>
                <w:sz w:val="12"/>
              </w:rPr>
              <w:t>3.06</w:t>
            </w:r>
          </w:p>
        </w:tc>
        <w:tc>
          <w:tcPr>
            <w:tcW w:type="dxa" w:w="2608"/>
            <w:vAlign w:val="center"/>
          </w:tcPr>
          <w:p>
            <w:pPr>
              <w:spacing w:after="0" w:line="240" w:lineRule="auto"/>
              <w:jc w:val="center"/>
            </w:pPr>
            <w:r/>
            <w:r>
              <w:rPr>
                <w:rFonts w:ascii="Calibri" w:hAnsi="Calibri"/>
                <w:b w:val="0"/>
                <w:i w:val="0"/>
                <w:color w:val="000000"/>
                <w:sz w:val="12"/>
              </w:rPr>
              <w:t>74.81</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8886.6128</w:t>
            </w:r>
          </w:p>
        </w:tc>
        <w:tc>
          <w:tcPr>
            <w:tcW w:type="dxa" w:w="1172"/>
            <w:vAlign w:val="center"/>
          </w:tcPr>
          <w:p>
            <w:pPr>
              <w:spacing w:after="0" w:line="240" w:lineRule="auto"/>
              <w:jc w:val="center"/>
            </w:pPr>
            <w:r/>
            <w:r>
              <w:rPr>
                <w:rFonts w:ascii="Calibri" w:hAnsi="Calibri"/>
                <w:b w:val="0"/>
                <w:i w:val="0"/>
                <w:color w:val="000000"/>
                <w:sz w:val="12"/>
              </w:rPr>
              <w:t>7428.7803</w:t>
            </w:r>
          </w:p>
        </w:tc>
        <w:tc>
          <w:tcPr>
            <w:tcW w:type="dxa" w:w="912"/>
            <w:vAlign w:val="center"/>
          </w:tcPr>
          <w:p>
            <w:pPr>
              <w:spacing w:after="0" w:line="240" w:lineRule="auto"/>
              <w:jc w:val="center"/>
            </w:pPr>
            <w:r/>
            <w:r>
              <w:rPr>
                <w:rFonts w:ascii="Calibri" w:hAnsi="Calibri"/>
                <w:b w:val="0"/>
                <w:i w:val="0"/>
                <w:color w:val="000000"/>
                <w:sz w:val="12"/>
              </w:rPr>
              <w:t>3.7130</w:t>
            </w:r>
          </w:p>
        </w:tc>
        <w:tc>
          <w:tcPr>
            <w:tcW w:type="dxa" w:w="912"/>
            <w:vAlign w:val="center"/>
          </w:tcPr>
          <w:p>
            <w:pPr>
              <w:spacing w:after="0" w:line="240" w:lineRule="auto"/>
              <w:jc w:val="center"/>
            </w:pPr>
            <w:r/>
            <w:r>
              <w:rPr>
                <w:rFonts w:ascii="Calibri" w:hAnsi="Calibri"/>
                <w:b w:val="0"/>
                <w:i w:val="0"/>
                <w:color w:val="000000"/>
                <w:sz w:val="12"/>
              </w:rPr>
              <w:t>7.36</w:t>
            </w:r>
          </w:p>
        </w:tc>
        <w:tc>
          <w:tcPr>
            <w:tcW w:type="dxa" w:w="912"/>
            <w:vAlign w:val="center"/>
          </w:tcPr>
          <w:p>
            <w:pPr>
              <w:spacing w:after="0" w:line="240" w:lineRule="auto"/>
              <w:jc w:val="center"/>
            </w:pPr>
            <w:r/>
            <w:r>
              <w:rPr>
                <w:rFonts w:ascii="Calibri" w:hAnsi="Calibri"/>
                <w:b w:val="0"/>
                <w:i w:val="0"/>
                <w:color w:val="000000"/>
                <w:sz w:val="12"/>
              </w:rPr>
              <w:t>7.36</w:t>
            </w:r>
          </w:p>
        </w:tc>
        <w:tc>
          <w:tcPr>
            <w:tcW w:type="dxa" w:w="2608"/>
            <w:vAlign w:val="center"/>
          </w:tcPr>
          <w:p>
            <w:pPr>
              <w:spacing w:after="0" w:line="240" w:lineRule="auto"/>
              <w:jc w:val="center"/>
            </w:pPr>
            <w:r/>
            <w:r>
              <w:rPr>
                <w:rFonts w:ascii="Calibri" w:hAnsi="Calibri"/>
                <w:b w:val="0"/>
                <w:i w:val="0"/>
                <w:color w:val="000000"/>
                <w:sz w:val="12"/>
              </w:rPr>
              <w:t>68.89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0.4467</w:t>
            </w:r>
          </w:p>
        </w:tc>
        <w:tc>
          <w:tcPr>
            <w:tcW w:type="dxa" w:w="1172"/>
            <w:vAlign w:val="center"/>
          </w:tcPr>
          <w:p>
            <w:pPr>
              <w:spacing w:after="0" w:line="240" w:lineRule="auto"/>
              <w:jc w:val="center"/>
            </w:pPr>
            <w:r/>
            <w:r>
              <w:rPr>
                <w:rFonts w:ascii="Calibri" w:hAnsi="Calibri"/>
                <w:b w:val="0"/>
                <w:i w:val="0"/>
                <w:color w:val="000000"/>
                <w:sz w:val="12"/>
              </w:rPr>
              <w:t>0.1994</w:t>
            </w:r>
          </w:p>
        </w:tc>
        <w:tc>
          <w:tcPr>
            <w:tcW w:type="dxa" w:w="912"/>
            <w:vAlign w:val="center"/>
          </w:tcPr>
          <w:p>
            <w:pPr>
              <w:spacing w:after="0" w:line="240" w:lineRule="auto"/>
              <w:jc w:val="center"/>
            </w:pPr>
            <w:r/>
            <w:r>
              <w:rPr>
                <w:rFonts w:ascii="Calibri" w:hAnsi="Calibri"/>
                <w:b w:val="0"/>
                <w:i w:val="0"/>
                <w:color w:val="000000"/>
                <w:sz w:val="12"/>
              </w:rPr>
              <w:t>1.0955</w:t>
            </w:r>
          </w:p>
        </w:tc>
        <w:tc>
          <w:tcPr>
            <w:tcW w:type="dxa" w:w="912"/>
            <w:vAlign w:val="center"/>
          </w:tcPr>
          <w:p>
            <w:pPr>
              <w:spacing w:after="0" w:line="240" w:lineRule="auto"/>
              <w:jc w:val="center"/>
            </w:pPr>
            <w:r/>
            <w:r>
              <w:rPr>
                <w:rFonts w:ascii="Calibri" w:hAnsi="Calibri"/>
                <w:b w:val="0"/>
                <w:i w:val="0"/>
                <w:color w:val="000000"/>
                <w:sz w:val="12"/>
              </w:rPr>
              <w:t>1.54</w:t>
            </w:r>
          </w:p>
        </w:tc>
        <w:tc>
          <w:tcPr>
            <w:tcW w:type="dxa" w:w="912"/>
            <w:vAlign w:val="center"/>
          </w:tcPr>
          <w:p>
            <w:pPr>
              <w:spacing w:after="0" w:line="240" w:lineRule="auto"/>
              <w:jc w:val="center"/>
            </w:pPr>
            <w:r/>
            <w:r>
              <w:rPr>
                <w:rFonts w:ascii="Calibri" w:hAnsi="Calibri"/>
                <w:b w:val="0"/>
                <w:i w:val="0"/>
                <w:color w:val="000000"/>
                <w:sz w:val="12"/>
              </w:rPr>
              <w:t>1.66</w:t>
            </w:r>
          </w:p>
        </w:tc>
        <w:tc>
          <w:tcPr>
            <w:tcW w:type="dxa" w:w="2608"/>
            <w:vAlign w:val="center"/>
          </w:tcPr>
          <w:p>
            <w:pPr>
              <w:spacing w:after="0" w:line="240" w:lineRule="auto"/>
              <w:jc w:val="center"/>
            </w:pPr>
            <w:r/>
            <w:r>
              <w:rPr>
                <w:rFonts w:ascii="Calibri" w:hAnsi="Calibri"/>
                <w:b w:val="0"/>
                <w:i w:val="0"/>
                <w:color w:val="000000"/>
                <w:sz w:val="12"/>
              </w:rPr>
              <w:t>37.86</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0.4731</w:t>
            </w:r>
          </w:p>
        </w:tc>
        <w:tc>
          <w:tcPr>
            <w:tcW w:type="dxa" w:w="1172"/>
            <w:vAlign w:val="center"/>
          </w:tcPr>
          <w:p>
            <w:pPr>
              <w:spacing w:after="0" w:line="240" w:lineRule="auto"/>
              <w:jc w:val="center"/>
            </w:pPr>
            <w:r/>
            <w:r>
              <w:rPr>
                <w:rFonts w:ascii="Calibri" w:hAnsi="Calibri"/>
                <w:b w:val="0"/>
                <w:i w:val="0"/>
                <w:color w:val="000000"/>
                <w:sz w:val="12"/>
              </w:rPr>
              <w:t>0.2450</w:t>
            </w:r>
          </w:p>
        </w:tc>
        <w:tc>
          <w:tcPr>
            <w:tcW w:type="dxa" w:w="912"/>
            <w:vAlign w:val="center"/>
          </w:tcPr>
          <w:p>
            <w:pPr>
              <w:spacing w:after="0" w:line="240" w:lineRule="auto"/>
              <w:jc w:val="center"/>
            </w:pPr>
            <w:r/>
            <w:r>
              <w:rPr>
                <w:rFonts w:ascii="Calibri" w:hAnsi="Calibri"/>
                <w:b w:val="0"/>
                <w:i w:val="0"/>
                <w:color w:val="000000"/>
                <w:sz w:val="12"/>
              </w:rPr>
              <w:t>1.3463</w:t>
            </w:r>
          </w:p>
        </w:tc>
        <w:tc>
          <w:tcPr>
            <w:tcW w:type="dxa" w:w="912"/>
            <w:vAlign w:val="center"/>
          </w:tcPr>
          <w:p>
            <w:pPr>
              <w:spacing w:after="0" w:line="240" w:lineRule="auto"/>
              <w:jc w:val="center"/>
            </w:pPr>
            <w:r/>
            <w:r>
              <w:rPr>
                <w:rFonts w:ascii="Calibri" w:hAnsi="Calibri"/>
                <w:b w:val="0"/>
                <w:i w:val="0"/>
                <w:color w:val="000000"/>
                <w:sz w:val="12"/>
              </w:rPr>
              <w:t>1.92</w:t>
            </w:r>
          </w:p>
        </w:tc>
        <w:tc>
          <w:tcPr>
            <w:tcW w:type="dxa" w:w="912"/>
            <w:vAlign w:val="center"/>
          </w:tcPr>
          <w:p>
            <w:pPr>
              <w:spacing w:after="0" w:line="240" w:lineRule="auto"/>
              <w:jc w:val="center"/>
            </w:pPr>
            <w:r/>
            <w:r>
              <w:rPr>
                <w:rFonts w:ascii="Calibri" w:hAnsi="Calibri"/>
                <w:b w:val="0"/>
                <w:i w:val="0"/>
                <w:color w:val="000000"/>
                <w:sz w:val="12"/>
              </w:rPr>
              <w:t>2.03</w:t>
            </w:r>
          </w:p>
        </w:tc>
        <w:tc>
          <w:tcPr>
            <w:tcW w:type="dxa" w:w="2608"/>
            <w:vAlign w:val="center"/>
          </w:tcPr>
          <w:p>
            <w:pPr>
              <w:spacing w:after="0" w:line="240" w:lineRule="auto"/>
              <w:jc w:val="center"/>
            </w:pPr>
            <w:r/>
            <w:r>
              <w:rPr>
                <w:rFonts w:ascii="Calibri" w:hAnsi="Calibri"/>
                <w:b w:val="0"/>
                <w:i w:val="0"/>
                <w:color w:val="000000"/>
                <w:sz w:val="12"/>
              </w:rPr>
              <w:t>44.29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0.5360</w:t>
            </w:r>
          </w:p>
        </w:tc>
        <w:tc>
          <w:tcPr>
            <w:tcW w:type="dxa" w:w="1172"/>
            <w:vAlign w:val="center"/>
          </w:tcPr>
          <w:p>
            <w:pPr>
              <w:spacing w:after="0" w:line="240" w:lineRule="auto"/>
              <w:jc w:val="center"/>
            </w:pPr>
            <w:r/>
            <w:r>
              <w:rPr>
                <w:rFonts w:ascii="Calibri" w:hAnsi="Calibri"/>
                <w:b w:val="0"/>
                <w:i w:val="0"/>
                <w:color w:val="000000"/>
                <w:sz w:val="12"/>
              </w:rPr>
              <w:t>0.2986</w:t>
            </w:r>
          </w:p>
        </w:tc>
        <w:tc>
          <w:tcPr>
            <w:tcW w:type="dxa" w:w="912"/>
            <w:vAlign w:val="center"/>
          </w:tcPr>
          <w:p>
            <w:pPr>
              <w:spacing w:after="0" w:line="240" w:lineRule="auto"/>
              <w:jc w:val="center"/>
            </w:pPr>
            <w:r/>
            <w:r>
              <w:rPr>
                <w:rFonts w:ascii="Calibri" w:hAnsi="Calibri"/>
                <w:b w:val="0"/>
                <w:i w:val="0"/>
                <w:color w:val="000000"/>
                <w:sz w:val="12"/>
              </w:rPr>
              <w:t>1.6407</w:t>
            </w:r>
          </w:p>
        </w:tc>
        <w:tc>
          <w:tcPr>
            <w:tcW w:type="dxa" w:w="912"/>
            <w:vAlign w:val="center"/>
          </w:tcPr>
          <w:p>
            <w:pPr>
              <w:spacing w:after="0" w:line="240" w:lineRule="auto"/>
              <w:jc w:val="center"/>
            </w:pPr>
            <w:r/>
            <w:r>
              <w:rPr>
                <w:rFonts w:ascii="Calibri" w:hAnsi="Calibri"/>
                <w:b w:val="0"/>
                <w:i w:val="0"/>
                <w:color w:val="000000"/>
                <w:sz w:val="12"/>
              </w:rPr>
              <w:t>2.30</w:t>
            </w:r>
          </w:p>
        </w:tc>
        <w:tc>
          <w:tcPr>
            <w:tcW w:type="dxa" w:w="912"/>
            <w:vAlign w:val="center"/>
          </w:tcPr>
          <w:p>
            <w:pPr>
              <w:spacing w:after="0" w:line="240" w:lineRule="auto"/>
              <w:jc w:val="center"/>
            </w:pPr>
            <w:r/>
            <w:r>
              <w:rPr>
                <w:rFonts w:ascii="Calibri" w:hAnsi="Calibri"/>
                <w:b w:val="0"/>
                <w:i w:val="0"/>
                <w:color w:val="000000"/>
                <w:sz w:val="12"/>
              </w:rPr>
              <w:t>2.41</w:t>
            </w:r>
          </w:p>
        </w:tc>
        <w:tc>
          <w:tcPr>
            <w:tcW w:type="dxa" w:w="2608"/>
            <w:vAlign w:val="center"/>
          </w:tcPr>
          <w:p>
            <w:pPr>
              <w:spacing w:after="0" w:line="240" w:lineRule="auto"/>
              <w:jc w:val="center"/>
            </w:pPr>
            <w:r/>
            <w:r>
              <w:rPr>
                <w:rFonts w:ascii="Calibri" w:hAnsi="Calibri"/>
                <w:b w:val="0"/>
                <w:i w:val="0"/>
                <w:color w:val="000000"/>
                <w:sz w:val="12"/>
              </w:rPr>
              <w:t>41.43</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0.6157</w:t>
            </w:r>
          </w:p>
        </w:tc>
        <w:tc>
          <w:tcPr>
            <w:tcW w:type="dxa" w:w="1172"/>
            <w:vAlign w:val="center"/>
          </w:tcPr>
          <w:p>
            <w:pPr>
              <w:spacing w:after="0" w:line="240" w:lineRule="auto"/>
              <w:jc w:val="center"/>
            </w:pPr>
            <w:r/>
            <w:r>
              <w:rPr>
                <w:rFonts w:ascii="Calibri" w:hAnsi="Calibri"/>
                <w:b w:val="0"/>
                <w:i w:val="0"/>
                <w:color w:val="000000"/>
                <w:sz w:val="12"/>
              </w:rPr>
              <w:t>0.4043</w:t>
            </w:r>
          </w:p>
        </w:tc>
        <w:tc>
          <w:tcPr>
            <w:tcW w:type="dxa" w:w="912"/>
            <w:vAlign w:val="center"/>
          </w:tcPr>
          <w:p>
            <w:pPr>
              <w:spacing w:after="0" w:line="240" w:lineRule="auto"/>
              <w:jc w:val="center"/>
            </w:pPr>
            <w:r/>
            <w:r>
              <w:rPr>
                <w:rFonts w:ascii="Calibri" w:hAnsi="Calibri"/>
                <w:b w:val="0"/>
                <w:i w:val="0"/>
                <w:color w:val="000000"/>
                <w:sz w:val="12"/>
              </w:rPr>
              <w:t>2.2216</w:t>
            </w:r>
          </w:p>
        </w:tc>
        <w:tc>
          <w:tcPr>
            <w:tcW w:type="dxa" w:w="912"/>
            <w:vAlign w:val="center"/>
          </w:tcPr>
          <w:p>
            <w:pPr>
              <w:spacing w:after="0" w:line="240" w:lineRule="auto"/>
              <w:jc w:val="center"/>
            </w:pPr>
            <w:r/>
            <w:r>
              <w:rPr>
                <w:rFonts w:ascii="Calibri" w:hAnsi="Calibri"/>
                <w:b w:val="0"/>
                <w:i w:val="0"/>
                <w:color w:val="000000"/>
                <w:sz w:val="12"/>
              </w:rPr>
              <w:t>3.44</w:t>
            </w:r>
          </w:p>
        </w:tc>
        <w:tc>
          <w:tcPr>
            <w:tcW w:type="dxa" w:w="912"/>
            <w:vAlign w:val="center"/>
          </w:tcPr>
          <w:p>
            <w:pPr>
              <w:spacing w:after="0" w:line="240" w:lineRule="auto"/>
              <w:jc w:val="center"/>
            </w:pPr>
            <w:r/>
            <w:r>
              <w:rPr>
                <w:rFonts w:ascii="Calibri" w:hAnsi="Calibri"/>
                <w:b w:val="0"/>
                <w:i w:val="0"/>
                <w:color w:val="000000"/>
                <w:sz w:val="12"/>
              </w:rPr>
              <w:t>3.43</w:t>
            </w:r>
          </w:p>
        </w:tc>
        <w:tc>
          <w:tcPr>
            <w:tcW w:type="dxa" w:w="2608"/>
            <w:vAlign w:val="center"/>
          </w:tcPr>
          <w:p>
            <w:pPr>
              <w:spacing w:after="0" w:line="240" w:lineRule="auto"/>
              <w:jc w:val="center"/>
            </w:pPr>
            <w:r/>
            <w:r>
              <w:rPr>
                <w:rFonts w:ascii="Calibri" w:hAnsi="Calibri"/>
                <w:b w:val="0"/>
                <w:i w:val="0"/>
                <w:color w:val="000000"/>
                <w:sz w:val="12"/>
              </w:rPr>
              <w:t>39.29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0.6450</w:t>
            </w:r>
          </w:p>
        </w:tc>
        <w:tc>
          <w:tcPr>
            <w:tcW w:type="dxa" w:w="1172"/>
            <w:vAlign w:val="center"/>
          </w:tcPr>
          <w:p>
            <w:pPr>
              <w:spacing w:after="0" w:line="240" w:lineRule="auto"/>
              <w:jc w:val="center"/>
            </w:pPr>
            <w:r/>
            <w:r>
              <w:rPr>
                <w:rFonts w:ascii="Calibri" w:hAnsi="Calibri"/>
                <w:b w:val="0"/>
                <w:i w:val="0"/>
                <w:color w:val="000000"/>
                <w:sz w:val="12"/>
              </w:rPr>
              <w:t>0.4285</w:t>
            </w:r>
          </w:p>
        </w:tc>
        <w:tc>
          <w:tcPr>
            <w:tcW w:type="dxa" w:w="912"/>
            <w:vAlign w:val="center"/>
          </w:tcPr>
          <w:p>
            <w:pPr>
              <w:spacing w:after="0" w:line="240" w:lineRule="auto"/>
              <w:jc w:val="center"/>
            </w:pPr>
            <w:r/>
            <w:r>
              <w:rPr>
                <w:rFonts w:ascii="Calibri" w:hAnsi="Calibri"/>
                <w:b w:val="0"/>
                <w:i w:val="0"/>
                <w:color w:val="000000"/>
                <w:sz w:val="12"/>
              </w:rPr>
              <w:t>2.3546</w:t>
            </w:r>
          </w:p>
        </w:tc>
        <w:tc>
          <w:tcPr>
            <w:tcW w:type="dxa" w:w="912"/>
            <w:vAlign w:val="center"/>
          </w:tcPr>
          <w:p>
            <w:pPr>
              <w:spacing w:after="0" w:line="240" w:lineRule="auto"/>
              <w:jc w:val="center"/>
            </w:pPr>
            <w:r/>
            <w:r>
              <w:rPr>
                <w:rFonts w:ascii="Calibri" w:hAnsi="Calibri"/>
                <w:b w:val="0"/>
                <w:i w:val="0"/>
                <w:color w:val="000000"/>
                <w:sz w:val="12"/>
              </w:rPr>
              <w:t>3.22</w:t>
            </w:r>
          </w:p>
        </w:tc>
        <w:tc>
          <w:tcPr>
            <w:tcW w:type="dxa" w:w="912"/>
            <w:vAlign w:val="center"/>
          </w:tcPr>
          <w:p>
            <w:pPr>
              <w:spacing w:after="0" w:line="240" w:lineRule="auto"/>
              <w:jc w:val="center"/>
            </w:pPr>
            <w:r/>
            <w:r>
              <w:rPr>
                <w:rFonts w:ascii="Calibri" w:hAnsi="Calibri"/>
                <w:b w:val="0"/>
                <w:i w:val="0"/>
                <w:color w:val="000000"/>
                <w:sz w:val="12"/>
              </w:rPr>
              <w:t>3.19</w:t>
            </w:r>
          </w:p>
        </w:tc>
        <w:tc>
          <w:tcPr>
            <w:tcW w:type="dxa" w:w="2608"/>
            <w:vAlign w:val="center"/>
          </w:tcPr>
          <w:p>
            <w:pPr>
              <w:spacing w:after="0" w:line="240" w:lineRule="auto"/>
              <w:jc w:val="center"/>
            </w:pPr>
            <w:r/>
            <w:r>
              <w:rPr>
                <w:rFonts w:ascii="Calibri" w:hAnsi="Calibri"/>
                <w:b w:val="0"/>
                <w:i w:val="0"/>
                <w:color w:val="000000"/>
                <w:sz w:val="12"/>
              </w:rPr>
              <w:t>44.29</w:t>
            </w:r>
          </w:p>
        </w:tc>
      </w:tr>
    </w:tbl>
    <w:p>
      <w:pPr>
        <w:spacing w:after="60"/>
      </w:pPr>
    </w:p>
    <w:p>
      <w:pPr>
        <w:pStyle w:val="Heading3"/>
      </w:pPr>
      <w:r>
        <w:t>Interpretation of Table 8</w:t>
      </w:r>
    </w:p>
    <w:p>
      <w:pPr>
        <w:spacing w:after="160" w:line="320" w:lineRule="auto"/>
        <w:jc w:val="both"/>
      </w:pPr>
      <w:r>
        <w:rPr>
          <w:rFonts w:ascii="Calibri" w:hAnsi="Calibri"/>
          <w:b/>
          <w:i w:val="0"/>
          <w:color w:val="000000"/>
          <w:sz w:val="22"/>
        </w:rPr>
        <w:t>Carbonate decomposition:</w:t>
      </w:r>
      <w:r>
        <w:rPr>
          <w:rFonts w:ascii="Calibri" w:hAnsi="Calibri"/>
          <w:b w:val="0"/>
          <w:i w:val="0"/>
          <w:color w:val="000000"/>
          <w:sz w:val="22"/>
        </w:rPr>
        <w:t xml:space="preserve"> CEEMDAN-LSTM achieves the lowest carbonate RMSE at 3,385.67, while CEEMDAN-ARIMA achieves the lowest MAE at 1,436.92 and the highest directional accuracy at 77.04%. The proposed hybrid records RMSE 3,672.30 and directional accuracy 76.30%, so it is competitive but not the metric leader.</w:t>
      </w:r>
    </w:p>
    <w:p>
      <w:pPr>
        <w:spacing w:after="160" w:line="320" w:lineRule="auto"/>
        <w:jc w:val="both"/>
      </w:pPr>
      <w:r>
        <w:rPr>
          <w:rFonts w:ascii="Calibri" w:hAnsi="Calibri"/>
          <w:b/>
          <w:i w:val="0"/>
          <w:color w:val="000000"/>
          <w:sz w:val="22"/>
        </w:rPr>
        <w:t>Hydroxide decomposition:</w:t>
      </w:r>
      <w:r>
        <w:rPr>
          <w:rFonts w:ascii="Calibri" w:hAnsi="Calibri"/>
          <w:b w:val="0"/>
          <w:i w:val="0"/>
          <w:color w:val="000000"/>
          <w:sz w:val="22"/>
        </w:rPr>
        <w:t xml:space="preserve"> CEEMDAN-ARIMA leads hydroxide on RMSE (0.4467) and MAE (0.1994). VMD-ARIMA has the highest directional accuracy (44.29%). The proposed RMSE of 0.5360 improves on every single-model RMSE but is roughly 20% above CEEMDAN-ARIMA.</w:t>
      </w:r>
    </w:p>
    <w:p>
      <w:pPr>
        <w:spacing w:after="160" w:line="320" w:lineRule="auto"/>
        <w:jc w:val="both"/>
      </w:pPr>
      <w:r>
        <w:rPr>
          <w:rFonts w:ascii="Calibri" w:hAnsi="Calibri"/>
          <w:b/>
          <w:i w:val="0"/>
          <w:color w:val="000000"/>
          <w:sz w:val="22"/>
        </w:rPr>
        <w:t>Main conclusion:</w:t>
      </w:r>
      <w:r>
        <w:rPr>
          <w:rFonts w:ascii="Calibri" w:hAnsi="Calibri"/>
          <w:b w:val="0"/>
          <w:i w:val="0"/>
          <w:color w:val="000000"/>
          <w:sz w:val="22"/>
        </w:rPr>
        <w:t xml:space="preserve"> Decomposition is useful, but the evidence does not support universal superiority of the proposed VMD-LASSO-ARIMA/LSTM architecture. The best decomposition family and component forecaster depend on the target and metric, which is more informative than selecting a single winner from one error column.</w:t>
      </w:r>
    </w:p>
    <w:p>
      <w:pPr>
        <w:keepNext/>
        <w:spacing w:before="100" w:after="80"/>
      </w:pPr>
      <w:r>
        <w:rPr>
          <w:rFonts w:ascii="Calibri" w:hAnsi="Calibri"/>
          <w:b/>
          <w:i w:val="0"/>
          <w:color w:val="1F4D78"/>
          <w:sz w:val="18"/>
        </w:rPr>
        <w:t xml:space="preserve">Table 9. </w:t>
      </w:r>
      <w:r>
        <w:rPr>
          <w:rFonts w:ascii="Calibri" w:hAnsi="Calibri"/>
          <w:b w:val="0"/>
          <w:i/>
          <w:color w:val="000000"/>
          <w:sz w:val="18"/>
        </w:rPr>
        <w:t>Diebold-Mariano tests comparing the proposed model with forecasting benchmarks.</w:t>
      </w:r>
    </w:p>
    <w:tbl>
      <w:tblPr>
        <w:tblStyle w:val="TableGrid"/>
        <w:tblW w:type="dxa" w:w="13680"/>
        <w:jc w:val="left"/>
        <w:tblLayout w:type="fixed"/>
        <w:tblLook w:firstColumn="1" w:firstRow="1" w:lastColumn="0" w:lastRow="0" w:noHBand="0" w:noVBand="1" w:val="04A0"/>
      </w:tblPr>
      <w:tblGrid>
        <w:gridCol w:w="3577"/>
        <w:gridCol w:w="2736"/>
        <w:gridCol w:w="2525"/>
        <w:gridCol w:w="1473"/>
        <w:gridCol w:w="3369"/>
      </w:tblGrid>
      <w:tr>
        <w:trPr>
          <w:tblHeader w:val="true"/>
        </w:trPr>
        <w:tc>
          <w:tcPr>
            <w:tcW w:type="dxa" w:w="3577"/>
            <w:shd w:fill="F4F6F9"/>
            <w:vAlign w:val="center"/>
          </w:tcPr>
          <w:p>
            <w:pPr>
              <w:jc w:val="center"/>
            </w:pPr>
            <w:r/>
            <w:r>
              <w:rPr>
                <w:rFonts w:ascii="Calibri" w:hAnsi="Calibri"/>
                <w:b/>
                <w:i w:val="0"/>
                <w:color w:val="0B2545"/>
                <w:sz w:val="11"/>
              </w:rPr>
              <w:t>Target</w:t>
            </w:r>
          </w:p>
        </w:tc>
        <w:tc>
          <w:tcPr>
            <w:tcW w:type="dxa" w:w="2736"/>
            <w:shd w:fill="F4F6F9"/>
            <w:vAlign w:val="center"/>
          </w:tcPr>
          <w:p>
            <w:pPr>
              <w:jc w:val="center"/>
            </w:pPr>
            <w:r/>
            <w:r>
              <w:rPr>
                <w:rFonts w:ascii="Calibri" w:hAnsi="Calibri"/>
                <w:b/>
                <w:i w:val="0"/>
                <w:color w:val="0B2545"/>
                <w:sz w:val="11"/>
              </w:rPr>
              <w:t>Benchmark</w:t>
            </w:r>
          </w:p>
        </w:tc>
        <w:tc>
          <w:tcPr>
            <w:tcW w:type="dxa" w:w="2525"/>
            <w:shd w:fill="F4F6F9"/>
            <w:vAlign w:val="center"/>
          </w:tcPr>
          <w:p>
            <w:pPr>
              <w:jc w:val="center"/>
            </w:pPr>
            <w:r/>
            <w:r>
              <w:rPr>
                <w:rFonts w:ascii="Calibri" w:hAnsi="Calibri"/>
                <w:b/>
                <w:i w:val="0"/>
                <w:color w:val="0B2545"/>
                <w:sz w:val="11"/>
              </w:rPr>
              <w:t>DM statistic</w:t>
            </w:r>
          </w:p>
        </w:tc>
        <w:tc>
          <w:tcPr>
            <w:tcW w:type="dxa" w:w="1473"/>
            <w:shd w:fill="F4F6F9"/>
            <w:vAlign w:val="center"/>
          </w:tcPr>
          <w:p>
            <w:pPr>
              <w:jc w:val="center"/>
            </w:pPr>
            <w:r/>
            <w:r>
              <w:rPr>
                <w:rFonts w:ascii="Calibri" w:hAnsi="Calibri"/>
                <w:b/>
                <w:i w:val="0"/>
                <w:color w:val="0B2545"/>
                <w:sz w:val="11"/>
              </w:rPr>
              <w:t>p-value</w:t>
            </w:r>
          </w:p>
        </w:tc>
        <w:tc>
          <w:tcPr>
            <w:tcW w:type="dxa" w:w="3369"/>
            <w:shd w:fill="F4F6F9"/>
            <w:vAlign w:val="center"/>
          </w:tcPr>
          <w:p>
            <w:pPr>
              <w:jc w:val="center"/>
            </w:pPr>
            <w:r/>
            <w:r>
              <w:rPr>
                <w:rFonts w:ascii="Calibri" w:hAnsi="Calibri"/>
                <w:b/>
                <w:i w:val="0"/>
                <w:color w:val="0B2545"/>
                <w:sz w:val="11"/>
              </w:rPr>
              <w:t>Direction</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-10.9885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-8.3139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-7.3929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-7.1313</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-6.0575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-5.8798</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-2.4724</w:t>
            </w:r>
          </w:p>
        </w:tc>
        <w:tc>
          <w:tcPr>
            <w:tcW w:type="dxa" w:w="1473"/>
            <w:vAlign w:val="center"/>
          </w:tcPr>
          <w:p>
            <w:pPr>
              <w:spacing w:after="0" w:line="240" w:lineRule="auto"/>
              <w:jc w:val="center"/>
            </w:pPr>
            <w:r/>
            <w:r>
              <w:rPr>
                <w:rFonts w:ascii="Calibri" w:hAnsi="Calibri"/>
                <w:b w:val="0"/>
                <w:i w:val="0"/>
                <w:color w:val="000000"/>
                <w:sz w:val="11"/>
              </w:rPr>
              <w:t>0.0147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-1.5777</w:t>
            </w:r>
          </w:p>
        </w:tc>
        <w:tc>
          <w:tcPr>
            <w:tcW w:type="dxa" w:w="1473"/>
            <w:vAlign w:val="center"/>
          </w:tcPr>
          <w:p>
            <w:pPr>
              <w:spacing w:after="0" w:line="240" w:lineRule="auto"/>
              <w:jc w:val="center"/>
            </w:pPr>
            <w:r/>
            <w:r>
              <w:rPr>
                <w:rFonts w:ascii="Calibri" w:hAnsi="Calibri"/>
                <w:b w:val="0"/>
                <w:i w:val="0"/>
                <w:color w:val="000000"/>
                <w:sz w:val="11"/>
              </w:rPr>
              <w:t>0.1170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0.4198</w:t>
            </w:r>
          </w:p>
        </w:tc>
        <w:tc>
          <w:tcPr>
            <w:tcW w:type="dxa" w:w="1473"/>
            <w:vAlign w:val="center"/>
          </w:tcPr>
          <w:p>
            <w:pPr>
              <w:spacing w:after="0" w:line="240" w:lineRule="auto"/>
              <w:jc w:val="center"/>
            </w:pPr>
            <w:r/>
            <w:r>
              <w:rPr>
                <w:rFonts w:ascii="Calibri" w:hAnsi="Calibri"/>
                <w:b w:val="0"/>
                <w:i w:val="0"/>
                <w:color w:val="000000"/>
                <w:sz w:val="11"/>
              </w:rPr>
              <w:t>0.6753</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0.1201</w:t>
            </w:r>
          </w:p>
        </w:tc>
        <w:tc>
          <w:tcPr>
            <w:tcW w:type="dxa" w:w="1473"/>
            <w:vAlign w:val="center"/>
          </w:tcPr>
          <w:p>
            <w:pPr>
              <w:spacing w:after="0" w:line="240" w:lineRule="auto"/>
              <w:jc w:val="center"/>
            </w:pPr>
            <w:r/>
            <w:r>
              <w:rPr>
                <w:rFonts w:ascii="Calibri" w:hAnsi="Calibri"/>
                <w:b w:val="0"/>
                <w:i w:val="0"/>
                <w:color w:val="000000"/>
                <w:sz w:val="11"/>
              </w:rPr>
              <w:t>0.9046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0.1090</w:t>
            </w:r>
          </w:p>
        </w:tc>
        <w:tc>
          <w:tcPr>
            <w:tcW w:type="dxa" w:w="1473"/>
            <w:vAlign w:val="center"/>
          </w:tcPr>
          <w:p>
            <w:pPr>
              <w:spacing w:after="0" w:line="240" w:lineRule="auto"/>
              <w:jc w:val="center"/>
            </w:pPr>
            <w:r/>
            <w:r>
              <w:rPr>
                <w:rFonts w:ascii="Calibri" w:hAnsi="Calibri"/>
                <w:b w:val="0"/>
                <w:i w:val="0"/>
                <w:color w:val="000000"/>
                <w:sz w:val="11"/>
              </w:rPr>
              <w:t>0.9134</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-5.7732</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-4.3195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3.8883</w:t>
            </w:r>
          </w:p>
        </w:tc>
        <w:tc>
          <w:tcPr>
            <w:tcW w:type="dxa" w:w="1473"/>
            <w:vAlign w:val="center"/>
          </w:tcPr>
          <w:p>
            <w:pPr>
              <w:spacing w:after="0" w:line="240" w:lineRule="auto"/>
              <w:jc w:val="center"/>
            </w:pPr>
            <w:r/>
            <w:r>
              <w:rPr>
                <w:rFonts w:ascii="Calibri" w:hAnsi="Calibri"/>
                <w:b w:val="0"/>
                <w:i w:val="0"/>
                <w:color w:val="000000"/>
                <w:sz w:val="11"/>
              </w:rPr>
              <w:t>0.0002</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3.5153</w:t>
            </w:r>
          </w:p>
        </w:tc>
        <w:tc>
          <w:tcPr>
            <w:tcW w:type="dxa" w:w="1473"/>
            <w:vAlign w:val="center"/>
          </w:tcPr>
          <w:p>
            <w:pPr>
              <w:spacing w:after="0" w:line="240" w:lineRule="auto"/>
              <w:jc w:val="center"/>
            </w:pPr>
            <w:r/>
            <w:r>
              <w:rPr>
                <w:rFonts w:ascii="Calibri" w:hAnsi="Calibri"/>
                <w:b w:val="0"/>
                <w:i w:val="0"/>
                <w:color w:val="000000"/>
                <w:sz w:val="11"/>
              </w:rPr>
              <w:t>0.0006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-1.9666</w:t>
            </w:r>
          </w:p>
        </w:tc>
        <w:tc>
          <w:tcPr>
            <w:tcW w:type="dxa" w:w="1473"/>
            <w:vAlign w:val="center"/>
          </w:tcPr>
          <w:p>
            <w:pPr>
              <w:spacing w:after="0" w:line="240" w:lineRule="auto"/>
              <w:jc w:val="center"/>
            </w:pPr>
            <w:r/>
            <w:r>
              <w:rPr>
                <w:rFonts w:ascii="Calibri" w:hAnsi="Calibri"/>
                <w:b w:val="0"/>
                <w:i w:val="0"/>
                <w:color w:val="000000"/>
                <w:sz w:val="11"/>
              </w:rPr>
              <w:t>0.0512</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-1.8898</w:t>
            </w:r>
          </w:p>
        </w:tc>
        <w:tc>
          <w:tcPr>
            <w:tcW w:type="dxa" w:w="1473"/>
            <w:vAlign w:val="center"/>
          </w:tcPr>
          <w:p>
            <w:pPr>
              <w:spacing w:after="0" w:line="240" w:lineRule="auto"/>
              <w:jc w:val="center"/>
            </w:pPr>
            <w:r/>
            <w:r>
              <w:rPr>
                <w:rFonts w:ascii="Calibri" w:hAnsi="Calibri"/>
                <w:b w:val="0"/>
                <w:i w:val="0"/>
                <w:color w:val="000000"/>
                <w:sz w:val="11"/>
              </w:rPr>
              <w:t>0.0608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-1.4518</w:t>
            </w:r>
          </w:p>
        </w:tc>
        <w:tc>
          <w:tcPr>
            <w:tcW w:type="dxa" w:w="1473"/>
            <w:vAlign w:val="center"/>
          </w:tcPr>
          <w:p>
            <w:pPr>
              <w:spacing w:after="0" w:line="240" w:lineRule="auto"/>
              <w:jc w:val="center"/>
            </w:pPr>
            <w:r/>
            <w:r>
              <w:rPr>
                <w:rFonts w:ascii="Calibri" w:hAnsi="Calibri"/>
                <w:b w:val="0"/>
                <w:i w:val="0"/>
                <w:color w:val="000000"/>
                <w:sz w:val="11"/>
              </w:rPr>
              <w:t>0.1488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-1.4003</w:t>
            </w:r>
          </w:p>
        </w:tc>
        <w:tc>
          <w:tcPr>
            <w:tcW w:type="dxa" w:w="1473"/>
            <w:vAlign w:val="center"/>
          </w:tcPr>
          <w:p>
            <w:pPr>
              <w:spacing w:after="0" w:line="240" w:lineRule="auto"/>
              <w:jc w:val="center"/>
            </w:pPr>
            <w:r/>
            <w:r>
              <w:rPr>
                <w:rFonts w:ascii="Calibri" w:hAnsi="Calibri"/>
                <w:b w:val="0"/>
                <w:i w:val="0"/>
                <w:color w:val="000000"/>
                <w:sz w:val="11"/>
              </w:rPr>
              <w:t>0.1636</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-0.9658</w:t>
            </w:r>
          </w:p>
        </w:tc>
        <w:tc>
          <w:tcPr>
            <w:tcW w:type="dxa" w:w="1473"/>
            <w:vAlign w:val="center"/>
          </w:tcPr>
          <w:p>
            <w:pPr>
              <w:spacing w:after="0" w:line="240" w:lineRule="auto"/>
              <w:jc w:val="center"/>
            </w:pPr>
            <w:r/>
            <w:r>
              <w:rPr>
                <w:rFonts w:ascii="Calibri" w:hAnsi="Calibri"/>
                <w:b w:val="0"/>
                <w:i w:val="0"/>
                <w:color w:val="000000"/>
                <w:sz w:val="11"/>
              </w:rPr>
              <w:t>0.3358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-0.8962</w:t>
            </w:r>
          </w:p>
        </w:tc>
        <w:tc>
          <w:tcPr>
            <w:tcW w:type="dxa" w:w="1473"/>
            <w:vAlign w:val="center"/>
          </w:tcPr>
          <w:p>
            <w:pPr>
              <w:spacing w:after="0" w:line="240" w:lineRule="auto"/>
              <w:jc w:val="center"/>
            </w:pPr>
            <w:r/>
            <w:r>
              <w:rPr>
                <w:rFonts w:ascii="Calibri" w:hAnsi="Calibri"/>
                <w:b w:val="0"/>
                <w:i w:val="0"/>
                <w:color w:val="000000"/>
                <w:sz w:val="11"/>
              </w:rPr>
              <w:t>0.3717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-0.5723</w:t>
            </w:r>
          </w:p>
        </w:tc>
        <w:tc>
          <w:tcPr>
            <w:tcW w:type="dxa" w:w="1473"/>
            <w:vAlign w:val="center"/>
          </w:tcPr>
          <w:p>
            <w:pPr>
              <w:spacing w:after="0" w:line="240" w:lineRule="auto"/>
              <w:jc w:val="center"/>
            </w:pPr>
            <w:r/>
            <w:r>
              <w:rPr>
                <w:rFonts w:ascii="Calibri" w:hAnsi="Calibri"/>
                <w:b w:val="0"/>
                <w:i w:val="0"/>
                <w:color w:val="000000"/>
                <w:sz w:val="11"/>
              </w:rPr>
              <w:t>0.5681</w:t>
            </w:r>
          </w:p>
        </w:tc>
        <w:tc>
          <w:tcPr>
            <w:tcW w:type="dxa" w:w="3369"/>
            <w:vAlign w:val="center"/>
          </w:tcPr>
          <w:p>
            <w:pPr>
              <w:spacing w:after="0" w:line="240" w:lineRule="auto"/>
              <w:jc w:val="center"/>
            </w:pPr>
            <w:r/>
            <w:r>
              <w:rPr>
                <w:rFonts w:ascii="Calibri" w:hAnsi="Calibri"/>
                <w:b w:val="0"/>
                <w:i w:val="0"/>
                <w:color w:val="000000"/>
                <w:sz w:val="11"/>
              </w:rPr>
              <w:t>Proposed better</w:t>
            </w:r>
          </w:p>
        </w:tc>
      </w:tr>
    </w:tbl>
    <w:p>
      <w:pPr>
        <w:spacing w:after="60"/>
      </w:pPr>
    </w:p>
    <w:p>
      <w:pPr>
        <w:pStyle w:val="Heading3"/>
      </w:pPr>
      <w:r>
        <w:t>Interpretation of Table 9</w:t>
      </w:r>
    </w:p>
    <w:p>
      <w:pPr>
        <w:spacing w:after="160" w:line="320" w:lineRule="auto"/>
        <w:jc w:val="both"/>
      </w:pPr>
      <w:r>
        <w:rPr>
          <w:rFonts w:ascii="Calibri" w:hAnsi="Calibri"/>
          <w:b/>
          <w:i w:val="0"/>
          <w:color w:val="000000"/>
          <w:sz w:val="22"/>
        </w:rPr>
        <w:t>How to read the sign:</w:t>
      </w:r>
      <w:r>
        <w:rPr>
          <w:rFonts w:ascii="Calibri" w:hAnsi="Calibri"/>
          <w:b w:val="0"/>
          <w:i w:val="0"/>
          <w:color w:val="000000"/>
          <w:sz w:val="22"/>
        </w:rPr>
        <w:t xml:space="preserve"> The loss differential is proposed-model squared error minus benchmark squared error. A negative DM statistic therefore favors the proposed model; a positive statistic favors the benchmark. The p-value tests equal average predictive loss, not economic profitability.</w:t>
      </w:r>
    </w:p>
    <w:p>
      <w:pPr>
        <w:spacing w:after="160" w:line="320" w:lineRule="auto"/>
        <w:jc w:val="both"/>
      </w:pPr>
      <w:r>
        <w:rPr>
          <w:rFonts w:ascii="Calibri" w:hAnsi="Calibri"/>
          <w:b/>
          <w:i w:val="0"/>
          <w:color w:val="000000"/>
          <w:sz w:val="22"/>
        </w:rPr>
        <w:t>Carbonate evidence:</w:t>
      </w:r>
      <w:r>
        <w:rPr>
          <w:rFonts w:ascii="Calibri" w:hAnsi="Calibri"/>
          <w:b w:val="0"/>
          <w:i w:val="0"/>
          <w:color w:val="000000"/>
          <w:sz w:val="22"/>
        </w:rPr>
        <w:t xml:space="preserve"> The proposed model is significantly better at the 5% level than seven of eleven comparators: ES, ELM, VMD-ARIMA, MLP, SVR, LSTM, and VMD-LSTM. No carbonate benchmark is significantly better than the proposed model, even though CEEMDAN-LSTM has a lower aggregate RMSE; the timing and distribution of errors matter to the DM statistic.</w:t>
      </w:r>
    </w:p>
    <w:p>
      <w:pPr>
        <w:spacing w:after="160" w:line="320" w:lineRule="auto"/>
        <w:jc w:val="both"/>
      </w:pPr>
      <w:r>
        <w:rPr>
          <w:rFonts w:ascii="Calibri" w:hAnsi="Calibri"/>
          <w:b/>
          <w:i w:val="0"/>
          <w:color w:val="000000"/>
          <w:sz w:val="22"/>
        </w:rPr>
        <w:t>Hydroxide evidence:</w:t>
      </w:r>
      <w:r>
        <w:rPr>
          <w:rFonts w:ascii="Calibri" w:hAnsi="Calibri"/>
          <w:b w:val="0"/>
          <w:i w:val="0"/>
          <w:color w:val="000000"/>
          <w:sz w:val="22"/>
        </w:rPr>
        <w:t xml:space="preserve"> The pattern is less favorable for hydroxide. The proposed model significantly beats ES and RF, but VMD-ARIMA and CEEMDAN-ARIMA significantly beat the proposed model. The remaining comparisons do not reject equal loss at 5%, so they should not be described as confirmed wins.</w:t>
      </w:r>
    </w:p>
    <w:p>
      <w:pPr>
        <w:spacing w:after="160" w:line="320" w:lineRule="auto"/>
        <w:jc w:val="both"/>
      </w:pPr>
      <w:r>
        <w:rPr>
          <w:rFonts w:ascii="Calibri" w:hAnsi="Calibri"/>
          <w:b/>
          <w:i w:val="0"/>
          <w:color w:val="000000"/>
          <w:sz w:val="22"/>
        </w:rPr>
        <w:t>Multiplicity caution:</w:t>
      </w:r>
      <w:r>
        <w:rPr>
          <w:rFonts w:ascii="Calibri" w:hAnsi="Calibri"/>
          <w:b w:val="0"/>
          <w:i w:val="0"/>
          <w:color w:val="000000"/>
          <w:sz w:val="22"/>
        </w:rPr>
        <w:t xml:space="preserve"> Twenty-two proposed-versus-benchmark tests are displayed to make the full comparison set transparent, but no family-wise multiplicity correction is applied. Isolated nominal p-values should therefore be interpreted alongside effect sizes, target-level metrics, and a robustness correction in any journal submission.</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For lithium hydroxide, the proposed model's RMSE of 0.5360 is 16.7% below the best single-model RMSE. CEEMDAN-ARIMA nevertheless achieves the lowest overall RMSE. For lithium carbonate, the proposed RMSE of 3672.30 is 1.7% above the best single model, and CEEMDAN-LSTM obtains the lowest overall RMSE. The proposed architecture strongly outperforms several weak nonlinear and smoothing benchmarks but does not dominate every decomposition alternative.</w:t>
      </w:r>
    </w:p>
    <w:p>
      <w:pPr>
        <w:spacing w:after="160" w:line="320" w:lineRule="auto"/>
        <w:jc w:val="both"/>
      </w:pPr>
      <w:r>
        <w:rPr>
          <w:rFonts w:ascii="Calibri" w:hAnsi="Calibri"/>
          <w:b w:val="0"/>
          <w:i w:val="0"/>
          <w:color w:val="000000"/>
          <w:sz w:val="22"/>
        </w:rPr>
        <w:t>The DM table should be read jointly with effect sizes. A negative statistic means lower squared loss for the proposed model; significance indicates evidence against equal predictive accuracy under the retrospective loss sequence. Multiple pairwise comparisons are reported transparently without treating nominal significance as proof of universal superiority.</w:t>
      </w:r>
    </w:p>
    <w:p>
      <w:pPr>
        <w:pStyle w:val="Heading1"/>
      </w:pPr>
      <w:r>
        <w:t>7. Interval forecasting and trading</w:t>
      </w:r>
    </w:p>
    <w:p>
      <w:pPr>
        <w:keepNext/>
        <w:spacing w:before="100" w:after="80"/>
      </w:pPr>
      <w:r>
        <w:rPr>
          <w:rFonts w:ascii="Calibri" w:hAnsi="Calibri"/>
          <w:b/>
          <w:i w:val="0"/>
          <w:color w:val="1F4D78"/>
          <w:sz w:val="18"/>
        </w:rPr>
        <w:t xml:space="preserve">Figure 11. </w:t>
      </w:r>
      <w:r>
        <w:rPr>
          <w:rFonts w:ascii="Calibri" w:hAnsi="Calibri"/>
          <w:b w:val="0"/>
          <w:i/>
          <w:color w:val="000000"/>
          <w:sz w:val="18"/>
        </w:rPr>
        <w:t>Retrospective 90% interval forecasts from the proposed model.</w:t>
      </w:r>
    </w:p>
    <w:p>
      <w:pPr>
        <w:spacing w:after="180"/>
        <w:jc w:val="center"/>
      </w:pPr>
      <w:r>
        <w:drawing>
          <wp:inline xmlns:a="http://schemas.openxmlformats.org/drawingml/2006/main" xmlns:pic="http://schemas.openxmlformats.org/drawingml/2006/picture">
            <wp:extent cx="5760720" cy="3774978"/>
            <wp:docPr id="11" name="Picture 11"/>
            <wp:cNvGraphicFramePr>
              <a:graphicFrameLocks noChangeAspect="1"/>
            </wp:cNvGraphicFramePr>
            <a:graphic>
              <a:graphicData uri="http://schemas.openxmlformats.org/drawingml/2006/picture">
                <pic:pic>
                  <pic:nvPicPr>
                    <pic:cNvPr id="0" name="fig11_intervals.png"/>
                    <pic:cNvPicPr/>
                  </pic:nvPicPr>
                  <pic:blipFill>
                    <a:blip r:embed="rId21"/>
                    <a:stretch>
                      <a:fillRect/>
                    </a:stretch>
                  </pic:blipFill>
                  <pic:spPr>
                    <a:xfrm>
                      <a:off x="0" y="0"/>
                      <a:ext cx="5760720" cy="3774978"/>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10. </w:t>
      </w:r>
      <w:r>
        <w:rPr>
          <w:rFonts w:ascii="Calibri" w:hAnsi="Calibri"/>
          <w:b w:val="0"/>
          <w:i/>
          <w:color w:val="000000"/>
          <w:sz w:val="18"/>
        </w:rPr>
        <w:t>Interval forecasting errors on the evaluation sets.</w:t>
      </w:r>
    </w:p>
    <w:tbl>
      <w:tblPr>
        <w:tblStyle w:val="TableGrid"/>
        <w:tblW w:type="dxa" w:w="13680"/>
        <w:jc w:val="left"/>
        <w:tblLayout w:type="fixed"/>
        <w:tblLook w:firstColumn="1" w:firstRow="1" w:lastColumn="0" w:lastRow="0" w:noHBand="0" w:noVBand="1" w:val="04A0"/>
      </w:tblPr>
      <w:tblGrid>
        <w:gridCol w:w="2704"/>
        <w:gridCol w:w="3181"/>
        <w:gridCol w:w="1908"/>
        <w:gridCol w:w="1590"/>
        <w:gridCol w:w="2704"/>
        <w:gridCol w:w="1593"/>
      </w:tblGrid>
      <w:tr>
        <w:trPr>
          <w:tblHeader w:val="true"/>
        </w:trPr>
        <w:tc>
          <w:tcPr>
            <w:tcW w:type="dxa" w:w="2704"/>
            <w:shd w:fill="F4F6F9"/>
            <w:vAlign w:val="center"/>
          </w:tcPr>
          <w:p>
            <w:pPr>
              <w:jc w:val="center"/>
            </w:pPr>
            <w:r/>
            <w:r>
              <w:rPr>
                <w:rFonts w:ascii="Calibri" w:hAnsi="Calibri"/>
                <w:b/>
                <w:i w:val="0"/>
                <w:color w:val="0B2545"/>
                <w:sz w:val="12"/>
              </w:rPr>
              <w:t>Target</w:t>
            </w:r>
          </w:p>
        </w:tc>
        <w:tc>
          <w:tcPr>
            <w:tcW w:type="dxa" w:w="3181"/>
            <w:shd w:fill="F4F6F9"/>
            <w:vAlign w:val="center"/>
          </w:tcPr>
          <w:p>
            <w:pPr>
              <w:jc w:val="center"/>
            </w:pPr>
            <w:r/>
            <w:r>
              <w:rPr>
                <w:rFonts w:ascii="Calibri" w:hAnsi="Calibri"/>
                <w:b/>
                <w:i w:val="0"/>
                <w:color w:val="0B2545"/>
                <w:sz w:val="12"/>
              </w:rPr>
              <w:t>Nominal Coverage (%)</w:t>
            </w:r>
          </w:p>
        </w:tc>
        <w:tc>
          <w:tcPr>
            <w:tcW w:type="dxa" w:w="1908"/>
            <w:shd w:fill="F4F6F9"/>
            <w:vAlign w:val="center"/>
          </w:tcPr>
          <w:p>
            <w:pPr>
              <w:jc w:val="center"/>
            </w:pPr>
            <w:r/>
            <w:r>
              <w:rPr>
                <w:rFonts w:ascii="Calibri" w:hAnsi="Calibri"/>
                <w:b/>
                <w:i w:val="0"/>
                <w:color w:val="0B2545"/>
                <w:sz w:val="12"/>
              </w:rPr>
              <w:t>Coverage (%)</w:t>
            </w:r>
          </w:p>
        </w:tc>
        <w:tc>
          <w:tcPr>
            <w:tcW w:type="dxa" w:w="1590"/>
            <w:shd w:fill="F4F6F9"/>
            <w:vAlign w:val="center"/>
          </w:tcPr>
          <w:p>
            <w:pPr>
              <w:jc w:val="center"/>
            </w:pPr>
            <w:r/>
            <w:r>
              <w:rPr>
                <w:rFonts w:ascii="Calibri" w:hAnsi="Calibri"/>
                <w:b/>
                <w:i w:val="0"/>
                <w:color w:val="0B2545"/>
                <w:sz w:val="12"/>
              </w:rPr>
              <w:t>Avg Width</w:t>
            </w:r>
          </w:p>
        </w:tc>
        <w:tc>
          <w:tcPr>
            <w:tcW w:type="dxa" w:w="2704"/>
            <w:shd w:fill="F4F6F9"/>
            <w:vAlign w:val="center"/>
          </w:tcPr>
          <w:p>
            <w:pPr>
              <w:jc w:val="center"/>
            </w:pPr>
            <w:r/>
            <w:r>
              <w:rPr>
                <w:rFonts w:ascii="Calibri" w:hAnsi="Calibri"/>
                <w:b/>
                <w:i w:val="0"/>
                <w:color w:val="0B2545"/>
                <w:sz w:val="12"/>
              </w:rPr>
              <w:t>Calibration Error</w:t>
            </w:r>
          </w:p>
        </w:tc>
        <w:tc>
          <w:tcPr>
            <w:tcW w:type="dxa" w:w="1593"/>
            <w:shd w:fill="F4F6F9"/>
            <w:vAlign w:val="center"/>
          </w:tcPr>
          <w:p>
            <w:pPr>
              <w:jc w:val="center"/>
            </w:pPr>
            <w:r/>
            <w:r>
              <w:rPr>
                <w:rFonts w:ascii="Calibri" w:hAnsi="Calibri"/>
                <w:b/>
                <w:i w:val="0"/>
                <w:color w:val="0B2545"/>
                <w:sz w:val="12"/>
              </w:rPr>
              <w:t>Winkler</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52.94</w:t>
            </w:r>
          </w:p>
        </w:tc>
        <w:tc>
          <w:tcPr>
            <w:tcW w:type="dxa" w:w="1590"/>
            <w:vAlign w:val="center"/>
          </w:tcPr>
          <w:p>
            <w:pPr>
              <w:spacing w:after="0" w:line="240" w:lineRule="auto"/>
              <w:jc w:val="center"/>
            </w:pPr>
            <w:r/>
            <w:r>
              <w:rPr>
                <w:rFonts w:ascii="Calibri" w:hAnsi="Calibri"/>
                <w:b w:val="0"/>
                <w:i w:val="0"/>
                <w:color w:val="000000"/>
                <w:sz w:val="12"/>
              </w:rPr>
              <w:t>2703.6971</w:t>
            </w:r>
          </w:p>
        </w:tc>
        <w:tc>
          <w:tcPr>
            <w:tcW w:type="dxa" w:w="2704"/>
            <w:vAlign w:val="center"/>
          </w:tcPr>
          <w:p>
            <w:pPr>
              <w:spacing w:after="0" w:line="240" w:lineRule="auto"/>
              <w:jc w:val="center"/>
            </w:pPr>
            <w:r/>
            <w:r>
              <w:rPr>
                <w:rFonts w:ascii="Calibri" w:hAnsi="Calibri"/>
                <w:b w:val="0"/>
                <w:i w:val="0"/>
                <w:color w:val="000000"/>
                <w:sz w:val="12"/>
              </w:rPr>
              <w:t>27.0588</w:t>
            </w:r>
          </w:p>
        </w:tc>
        <w:tc>
          <w:tcPr>
            <w:tcW w:type="dxa" w:w="1593"/>
            <w:vAlign w:val="center"/>
          </w:tcPr>
          <w:p>
            <w:pPr>
              <w:spacing w:after="0" w:line="240" w:lineRule="auto"/>
              <w:jc w:val="center"/>
            </w:pPr>
            <w:r/>
            <w:r>
              <w:rPr>
                <w:rFonts w:ascii="Calibri" w:hAnsi="Calibri"/>
                <w:b w:val="0"/>
                <w:i w:val="0"/>
                <w:color w:val="000000"/>
                <w:sz w:val="12"/>
              </w:rPr>
              <w:t>14374.2201</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59.80</w:t>
            </w:r>
          </w:p>
        </w:tc>
        <w:tc>
          <w:tcPr>
            <w:tcW w:type="dxa" w:w="1590"/>
            <w:vAlign w:val="center"/>
          </w:tcPr>
          <w:p>
            <w:pPr>
              <w:spacing w:after="0" w:line="240" w:lineRule="auto"/>
              <w:jc w:val="center"/>
            </w:pPr>
            <w:r/>
            <w:r>
              <w:rPr>
                <w:rFonts w:ascii="Calibri" w:hAnsi="Calibri"/>
                <w:b w:val="0"/>
                <w:i w:val="0"/>
                <w:color w:val="000000"/>
                <w:sz w:val="12"/>
              </w:rPr>
              <w:t>3424.6967</w:t>
            </w:r>
          </w:p>
        </w:tc>
        <w:tc>
          <w:tcPr>
            <w:tcW w:type="dxa" w:w="2704"/>
            <w:vAlign w:val="center"/>
          </w:tcPr>
          <w:p>
            <w:pPr>
              <w:spacing w:after="0" w:line="240" w:lineRule="auto"/>
              <w:jc w:val="center"/>
            </w:pPr>
            <w:r/>
            <w:r>
              <w:rPr>
                <w:rFonts w:ascii="Calibri" w:hAnsi="Calibri"/>
                <w:b w:val="0"/>
                <w:i w:val="0"/>
                <w:color w:val="000000"/>
                <w:sz w:val="12"/>
              </w:rPr>
              <w:t>30.1961</w:t>
            </w:r>
          </w:p>
        </w:tc>
        <w:tc>
          <w:tcPr>
            <w:tcW w:type="dxa" w:w="1593"/>
            <w:vAlign w:val="center"/>
          </w:tcPr>
          <w:p>
            <w:pPr>
              <w:spacing w:after="0" w:line="240" w:lineRule="auto"/>
              <w:jc w:val="center"/>
            </w:pPr>
            <w:r/>
            <w:r>
              <w:rPr>
                <w:rFonts w:ascii="Calibri" w:hAnsi="Calibri"/>
                <w:b w:val="0"/>
                <w:i w:val="0"/>
                <w:color w:val="000000"/>
                <w:sz w:val="12"/>
              </w:rPr>
              <w:t>23738.9808</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55769.7036</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55769.7036</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38.10</w:t>
            </w:r>
          </w:p>
        </w:tc>
        <w:tc>
          <w:tcPr>
            <w:tcW w:type="dxa" w:w="1590"/>
            <w:vAlign w:val="center"/>
          </w:tcPr>
          <w:p>
            <w:pPr>
              <w:spacing w:after="0" w:line="240" w:lineRule="auto"/>
              <w:jc w:val="center"/>
            </w:pPr>
            <w:r/>
            <w:r>
              <w:rPr>
                <w:rFonts w:ascii="Calibri" w:hAnsi="Calibri"/>
                <w:b w:val="0"/>
                <w:i w:val="0"/>
                <w:color w:val="000000"/>
                <w:sz w:val="12"/>
              </w:rPr>
              <w:t>0.2402</w:t>
            </w:r>
          </w:p>
        </w:tc>
        <w:tc>
          <w:tcPr>
            <w:tcW w:type="dxa" w:w="2704"/>
            <w:vAlign w:val="center"/>
          </w:tcPr>
          <w:p>
            <w:pPr>
              <w:spacing w:after="0" w:line="240" w:lineRule="auto"/>
              <w:jc w:val="center"/>
            </w:pPr>
            <w:r/>
            <w:r>
              <w:rPr>
                <w:rFonts w:ascii="Calibri" w:hAnsi="Calibri"/>
                <w:b w:val="0"/>
                <w:i w:val="0"/>
                <w:color w:val="000000"/>
                <w:sz w:val="12"/>
              </w:rPr>
              <w:t>41.9048</w:t>
            </w:r>
          </w:p>
        </w:tc>
        <w:tc>
          <w:tcPr>
            <w:tcW w:type="dxa" w:w="1593"/>
            <w:vAlign w:val="center"/>
          </w:tcPr>
          <w:p>
            <w:pPr>
              <w:spacing w:after="0" w:line="240" w:lineRule="auto"/>
              <w:jc w:val="center"/>
            </w:pPr>
            <w:r/>
            <w:r>
              <w:rPr>
                <w:rFonts w:ascii="Calibri" w:hAnsi="Calibri"/>
                <w:b w:val="0"/>
                <w:i w:val="0"/>
                <w:color w:val="000000"/>
                <w:sz w:val="12"/>
              </w:rPr>
              <w:t>2.6397</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48.57</w:t>
            </w:r>
          </w:p>
        </w:tc>
        <w:tc>
          <w:tcPr>
            <w:tcW w:type="dxa" w:w="1590"/>
            <w:vAlign w:val="center"/>
          </w:tcPr>
          <w:p>
            <w:pPr>
              <w:spacing w:after="0" w:line="240" w:lineRule="auto"/>
              <w:jc w:val="center"/>
            </w:pPr>
            <w:r/>
            <w:r>
              <w:rPr>
                <w:rFonts w:ascii="Calibri" w:hAnsi="Calibri"/>
                <w:b w:val="0"/>
                <w:i w:val="0"/>
                <w:color w:val="000000"/>
                <w:sz w:val="12"/>
              </w:rPr>
              <w:t>0.4251</w:t>
            </w:r>
          </w:p>
        </w:tc>
        <w:tc>
          <w:tcPr>
            <w:tcW w:type="dxa" w:w="2704"/>
            <w:vAlign w:val="center"/>
          </w:tcPr>
          <w:p>
            <w:pPr>
              <w:spacing w:after="0" w:line="240" w:lineRule="auto"/>
              <w:jc w:val="center"/>
            </w:pPr>
            <w:r/>
            <w:r>
              <w:rPr>
                <w:rFonts w:ascii="Calibri" w:hAnsi="Calibri"/>
                <w:b w:val="0"/>
                <w:i w:val="0"/>
                <w:color w:val="000000"/>
                <w:sz w:val="12"/>
              </w:rPr>
              <w:t>41.4286</w:t>
            </w:r>
          </w:p>
        </w:tc>
        <w:tc>
          <w:tcPr>
            <w:tcW w:type="dxa" w:w="1593"/>
            <w:vAlign w:val="center"/>
          </w:tcPr>
          <w:p>
            <w:pPr>
              <w:spacing w:after="0" w:line="240" w:lineRule="auto"/>
              <w:jc w:val="center"/>
            </w:pPr>
            <w:r/>
            <w:r>
              <w:rPr>
                <w:rFonts w:ascii="Calibri" w:hAnsi="Calibri"/>
                <w:b w:val="0"/>
                <w:i w:val="0"/>
                <w:color w:val="000000"/>
                <w:sz w:val="12"/>
              </w:rPr>
              <w:t>4.1833</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8.5249</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8.5249</w:t>
            </w:r>
          </w:p>
        </w:tc>
      </w:tr>
    </w:tbl>
    <w:p>
      <w:pPr>
        <w:spacing w:after="60"/>
      </w:pPr>
    </w:p>
    <w:p>
      <w:pPr>
        <w:pStyle w:val="Heading3"/>
      </w:pPr>
      <w:r>
        <w:t>Interpretation of Table 10</w:t>
      </w:r>
    </w:p>
    <w:p>
      <w:pPr>
        <w:spacing w:after="160" w:line="320" w:lineRule="auto"/>
        <w:jc w:val="both"/>
      </w:pPr>
      <w:r>
        <w:rPr>
          <w:rFonts w:ascii="Calibri" w:hAnsi="Calibri"/>
          <w:b/>
          <w:i w:val="0"/>
          <w:color w:val="000000"/>
          <w:sz w:val="22"/>
        </w:rPr>
        <w:t>Coverage failure:</w:t>
      </w:r>
      <w:r>
        <w:rPr>
          <w:rFonts w:ascii="Calibri" w:hAnsi="Calibri"/>
          <w:b w:val="0"/>
          <w:i w:val="0"/>
          <w:color w:val="000000"/>
          <w:sz w:val="22"/>
        </w:rPr>
        <w:t xml:space="preserve"> The 80% and 90% intervals under-cover both targets. Carbonate realizes only 52.94% and 59.80% coverage, while hydroxide realizes 38.10% and 48.57%. Calibration errors of 27-42 percentage points show that the central intervals are too narrow after the calibration segment.</w:t>
      </w:r>
    </w:p>
    <w:p>
      <w:pPr>
        <w:spacing w:after="160" w:line="320" w:lineRule="auto"/>
        <w:jc w:val="both"/>
      </w:pPr>
      <w:r>
        <w:rPr>
          <w:rFonts w:ascii="Calibri" w:hAnsi="Calibri"/>
          <w:b/>
          <w:i w:val="0"/>
          <w:color w:val="000000"/>
          <w:sz w:val="22"/>
        </w:rPr>
        <w:t>Why 95% is misleading:</w:t>
      </w:r>
      <w:r>
        <w:rPr>
          <w:rFonts w:ascii="Calibri" w:hAnsi="Calibri"/>
          <w:b w:val="0"/>
          <w:i w:val="0"/>
          <w:color w:val="000000"/>
          <w:sz w:val="22"/>
        </w:rPr>
        <w:t xml:space="preserve"> Both 95% intervals reach 100% empirical coverage only by expanding dramatically: average width rises to 55,769.70 for carbonate and 8.5249 for hydroxide. The associated Winkler scores confirm that coverage is purchased with poor sharpness rather than well-calibrated uncertainty.</w:t>
      </w:r>
    </w:p>
    <w:p>
      <w:pPr>
        <w:spacing w:after="160" w:line="320" w:lineRule="auto"/>
        <w:jc w:val="both"/>
      </w:pPr>
      <w:r>
        <w:rPr>
          <w:rFonts w:ascii="Calibri" w:hAnsi="Calibri"/>
          <w:b/>
          <w:i w:val="0"/>
          <w:color w:val="000000"/>
          <w:sz w:val="22"/>
        </w:rPr>
        <w:t>Implication:</w:t>
      </w:r>
      <w:r>
        <w:rPr>
          <w:rFonts w:ascii="Calibri" w:hAnsi="Calibri"/>
          <w:b w:val="0"/>
          <w:i w:val="0"/>
          <w:color w:val="000000"/>
          <w:sz w:val="22"/>
        </w:rPr>
        <w:t xml:space="preserve"> Table 10 does not validate the intervals for deployment. It identifies distribution shift and unstable residual tails within the retrospective holdout. A publishable causal extension should update interval calibration sequentially or use rolling conformal methods and then report conditional as well as marginal coverage.</w:t>
      </w:r>
    </w:p>
    <w:p>
      <w:pPr>
        <w:sectPr>
          <w:pgSz w:w="15840" w:h="12240" w:orient="landscape"/>
          <w:pgMar w:top="1037" w:right="1037" w:bottom="1037" w:left="1037" w:header="605" w:footer="605" w:gutter="0"/>
          <w:cols w:space="720"/>
          <w:docGrid w:linePitch="360"/>
        </w:sectPr>
      </w:pPr>
    </w:p>
    <w:p>
      <w:pPr>
        <w:keepNext/>
        <w:spacing w:before="100" w:after="80"/>
      </w:pPr>
      <w:r>
        <w:rPr>
          <w:rFonts w:ascii="Calibri" w:hAnsi="Calibri"/>
          <w:b/>
          <w:i w:val="0"/>
          <w:color w:val="1F4D78"/>
          <w:sz w:val="18"/>
        </w:rPr>
        <w:t xml:space="preserve">Figure 12. </w:t>
      </w:r>
      <w:r>
        <w:rPr>
          <w:rFonts w:ascii="Calibri" w:hAnsi="Calibri"/>
          <w:b w:val="0"/>
          <w:i/>
          <w:color w:val="000000"/>
          <w:sz w:val="18"/>
        </w:rPr>
        <w:t>Graphical illustration of the two trading schemes and their uncertainty-filtered variants.</w:t>
      </w:r>
    </w:p>
    <w:p>
      <w:pPr>
        <w:spacing w:after="180"/>
        <w:jc w:val="center"/>
      </w:pPr>
      <w:r>
        <w:drawing>
          <wp:inline xmlns:a="http://schemas.openxmlformats.org/drawingml/2006/main" xmlns:pic="http://schemas.openxmlformats.org/drawingml/2006/picture">
            <wp:extent cx="5760720" cy="2228374"/>
            <wp:docPr id="12" name="Picture 12"/>
            <wp:cNvGraphicFramePr>
              <a:graphicFrameLocks noChangeAspect="1"/>
            </wp:cNvGraphicFramePr>
            <a:graphic>
              <a:graphicData uri="http://schemas.openxmlformats.org/drawingml/2006/picture">
                <pic:pic>
                  <pic:nvPicPr>
                    <pic:cNvPr id="0" name="fig12_trading.png"/>
                    <pic:cNvPicPr/>
                  </pic:nvPicPr>
                  <pic:blipFill>
                    <a:blip r:embed="rId22"/>
                    <a:stretch>
                      <a:fillRect/>
                    </a:stretch>
                  </pic:blipFill>
                  <pic:spPr>
                    <a:xfrm>
                      <a:off x="0" y="0"/>
                      <a:ext cx="5760720" cy="2228374"/>
                    </a:xfrm>
                    <a:prstGeom prst="rect"/>
                  </pic:spPr>
                </pic:pic>
              </a:graphicData>
            </a:graphic>
          </wp:inline>
        </w:drawing>
      </w:r>
    </w:p>
    <w:p>
      <w:pPr>
        <w:keepNext/>
        <w:spacing w:before="100" w:after="80"/>
      </w:pPr>
      <w:r>
        <w:rPr>
          <w:rFonts w:ascii="Calibri" w:hAnsi="Calibri"/>
          <w:b/>
          <w:i w:val="0"/>
          <w:color w:val="1F4D78"/>
          <w:sz w:val="18"/>
        </w:rPr>
        <w:t xml:space="preserve">Figure 13. </w:t>
      </w:r>
      <w:r>
        <w:rPr>
          <w:rFonts w:ascii="Calibri" w:hAnsi="Calibri"/>
          <w:b w:val="0"/>
          <w:i/>
          <w:color w:val="000000"/>
          <w:sz w:val="18"/>
        </w:rPr>
        <w:t>Mean trading Sharpe ratios across the two lithium targets under Scheme 2.</w:t>
      </w:r>
    </w:p>
    <w:p>
      <w:pPr>
        <w:spacing w:after="180"/>
        <w:jc w:val="center"/>
      </w:pPr>
      <w:r>
        <w:drawing>
          <wp:inline xmlns:a="http://schemas.openxmlformats.org/drawingml/2006/main" xmlns:pic="http://schemas.openxmlformats.org/drawingml/2006/picture">
            <wp:extent cx="5760720" cy="2962054"/>
            <wp:docPr id="13" name="Picture 13"/>
            <wp:cNvGraphicFramePr>
              <a:graphicFrameLocks noChangeAspect="1"/>
            </wp:cNvGraphicFramePr>
            <a:graphic>
              <a:graphicData uri="http://schemas.openxmlformats.org/drawingml/2006/picture">
                <pic:pic>
                  <pic:nvPicPr>
                    <pic:cNvPr id="0" name="fig13_trading.png"/>
                    <pic:cNvPicPr/>
                  </pic:nvPicPr>
                  <pic:blipFill>
                    <a:blip r:embed="rId23"/>
                    <a:stretch>
                      <a:fillRect/>
                    </a:stretch>
                  </pic:blipFill>
                  <pic:spPr>
                    <a:xfrm>
                      <a:off x="0" y="0"/>
                      <a:ext cx="5760720" cy="2962054"/>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11. </w:t>
      </w:r>
      <w:r>
        <w:rPr>
          <w:rFonts w:ascii="Calibri" w:hAnsi="Calibri"/>
          <w:b w:val="0"/>
          <w:i/>
          <w:color w:val="000000"/>
          <w:sz w:val="18"/>
        </w:rPr>
        <w:t>Performance of two trading schemes and their optimized versions based on decomposition-model forecasts.</w:t>
      </w:r>
    </w:p>
    <w:tbl>
      <w:tblPr>
        <w:tblStyle w:val="TableGrid"/>
        <w:tblW w:type="dxa" w:w="13680"/>
        <w:jc w:val="left"/>
        <w:tblLayout w:type="fixed"/>
        <w:tblLook w:firstColumn="1" w:firstRow="1" w:lastColumn="0" w:lastRow="0" w:noHBand="0" w:noVBand="1" w:val="04A0"/>
      </w:tblPr>
      <w:tblGrid>
        <w:gridCol w:w="3173"/>
        <w:gridCol w:w="984"/>
        <w:gridCol w:w="2298"/>
        <w:gridCol w:w="2188"/>
        <w:gridCol w:w="1313"/>
        <w:gridCol w:w="2407"/>
        <w:gridCol w:w="1317"/>
      </w:tblGrid>
      <w:tr>
        <w:trPr>
          <w:tblHeader w:val="true"/>
        </w:trPr>
        <w:tc>
          <w:tcPr>
            <w:tcW w:type="dxa" w:w="3173"/>
            <w:shd w:fill="F4F6F9"/>
            <w:vAlign w:val="center"/>
          </w:tcPr>
          <w:p>
            <w:pPr>
              <w:jc w:val="center"/>
            </w:pPr>
            <w:r/>
            <w:r>
              <w:rPr>
                <w:rFonts w:ascii="Calibri" w:hAnsi="Calibri"/>
                <w:b/>
                <w:i w:val="0"/>
                <w:color w:val="0B2545"/>
                <w:sz w:val="11"/>
              </w:rPr>
              <w:t>Model</w:t>
            </w:r>
          </w:p>
        </w:tc>
        <w:tc>
          <w:tcPr>
            <w:tcW w:type="dxa" w:w="984"/>
            <w:shd w:fill="F4F6F9"/>
            <w:vAlign w:val="center"/>
          </w:tcPr>
          <w:p>
            <w:pPr>
              <w:jc w:val="center"/>
            </w:pPr>
            <w:r/>
            <w:r>
              <w:rPr>
                <w:rFonts w:ascii="Calibri" w:hAnsi="Calibri"/>
                <w:b/>
                <w:i w:val="0"/>
                <w:color w:val="0B2545"/>
                <w:sz w:val="11"/>
              </w:rPr>
              <w:t>Scheme</w:t>
            </w:r>
          </w:p>
        </w:tc>
        <w:tc>
          <w:tcPr>
            <w:tcW w:type="dxa" w:w="2298"/>
            <w:shd w:fill="F4F6F9"/>
            <w:vAlign w:val="center"/>
          </w:tcPr>
          <w:p>
            <w:pPr>
              <w:jc w:val="center"/>
            </w:pPr>
            <w:r/>
            <w:r>
              <w:rPr>
                <w:rFonts w:ascii="Calibri" w:hAnsi="Calibri"/>
                <w:b/>
                <w:i w:val="0"/>
                <w:color w:val="0B2545"/>
                <w:sz w:val="11"/>
              </w:rPr>
              <w:t>Cumulative Return (%)</w:t>
            </w:r>
          </w:p>
        </w:tc>
        <w:tc>
          <w:tcPr>
            <w:tcW w:type="dxa" w:w="2188"/>
            <w:shd w:fill="F4F6F9"/>
            <w:vAlign w:val="center"/>
          </w:tcPr>
          <w:p>
            <w:pPr>
              <w:jc w:val="center"/>
            </w:pPr>
            <w:r/>
            <w:r>
              <w:rPr>
                <w:rFonts w:ascii="Calibri" w:hAnsi="Calibri"/>
                <w:b/>
                <w:i w:val="0"/>
                <w:color w:val="0B2545"/>
                <w:sz w:val="11"/>
              </w:rPr>
              <w:t>Maximum Drawdown (%)</w:t>
            </w:r>
          </w:p>
        </w:tc>
        <w:tc>
          <w:tcPr>
            <w:tcW w:type="dxa" w:w="1313"/>
            <w:shd w:fill="F4F6F9"/>
            <w:vAlign w:val="center"/>
          </w:tcPr>
          <w:p>
            <w:pPr>
              <w:jc w:val="center"/>
            </w:pPr>
            <w:r/>
            <w:r>
              <w:rPr>
                <w:rFonts w:ascii="Calibri" w:hAnsi="Calibri"/>
                <w:b/>
                <w:i w:val="0"/>
                <w:color w:val="0B2545"/>
                <w:sz w:val="11"/>
              </w:rPr>
              <w:t>Sharpe Ratio</w:t>
            </w:r>
          </w:p>
        </w:tc>
        <w:tc>
          <w:tcPr>
            <w:tcW w:type="dxa" w:w="2407"/>
            <w:shd w:fill="F4F6F9"/>
            <w:vAlign w:val="center"/>
          </w:tcPr>
          <w:p>
            <w:pPr>
              <w:jc w:val="center"/>
            </w:pPr>
            <w:r/>
            <w:r>
              <w:rPr>
                <w:rFonts w:ascii="Calibri" w:hAnsi="Calibri"/>
                <w:b/>
                <w:i w:val="0"/>
                <w:color w:val="0B2545"/>
                <w:sz w:val="11"/>
              </w:rPr>
              <w:t>Number of Transactions</w:t>
            </w:r>
          </w:p>
        </w:tc>
        <w:tc>
          <w:tcPr>
            <w:tcW w:type="dxa" w:w="1317"/>
            <w:shd w:fill="F4F6F9"/>
            <w:vAlign w:val="center"/>
          </w:tcPr>
          <w:p>
            <w:pPr>
              <w:jc w:val="center"/>
            </w:pPr>
            <w:r/>
            <w:r>
              <w:rPr>
                <w:rFonts w:ascii="Calibri" w:hAnsi="Calibri"/>
                <w:b/>
                <w:i w:val="0"/>
                <w:color w:val="0B2545"/>
                <w:sz w:val="11"/>
              </w:rPr>
              <w:t>Hit Rate (%)</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332.30</w:t>
            </w:r>
          </w:p>
        </w:tc>
        <w:tc>
          <w:tcPr>
            <w:tcW w:type="dxa" w:w="2188"/>
            <w:vAlign w:val="center"/>
          </w:tcPr>
          <w:p>
            <w:pPr>
              <w:spacing w:after="0" w:line="240" w:lineRule="auto"/>
              <w:jc w:val="center"/>
            </w:pPr>
            <w:r/>
            <w:r>
              <w:rPr>
                <w:rFonts w:ascii="Calibri" w:hAnsi="Calibri"/>
                <w:b w:val="0"/>
                <w:i w:val="0"/>
                <w:color w:val="000000"/>
                <w:sz w:val="11"/>
              </w:rPr>
              <w:t>-4.34</w:t>
            </w:r>
          </w:p>
        </w:tc>
        <w:tc>
          <w:tcPr>
            <w:tcW w:type="dxa" w:w="1313"/>
            <w:vAlign w:val="center"/>
          </w:tcPr>
          <w:p>
            <w:pPr>
              <w:spacing w:after="0" w:line="240" w:lineRule="auto"/>
              <w:jc w:val="center"/>
            </w:pPr>
            <w:r/>
            <w:r>
              <w:rPr>
                <w:rFonts w:ascii="Calibri" w:hAnsi="Calibri"/>
                <w:b w:val="0"/>
                <w:i w:val="0"/>
                <w:color w:val="000000"/>
                <w:sz w:val="11"/>
              </w:rPr>
              <w:t>8.0045</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284.56</w:t>
            </w:r>
          </w:p>
        </w:tc>
        <w:tc>
          <w:tcPr>
            <w:tcW w:type="dxa" w:w="2188"/>
            <w:vAlign w:val="center"/>
          </w:tcPr>
          <w:p>
            <w:pPr>
              <w:spacing w:after="0" w:line="240" w:lineRule="auto"/>
              <w:jc w:val="center"/>
            </w:pPr>
            <w:r/>
            <w:r>
              <w:rPr>
                <w:rFonts w:ascii="Calibri" w:hAnsi="Calibri"/>
                <w:b w:val="0"/>
                <w:i w:val="0"/>
                <w:color w:val="000000"/>
                <w:sz w:val="11"/>
              </w:rPr>
              <w:t>-1.98</w:t>
            </w:r>
          </w:p>
        </w:tc>
        <w:tc>
          <w:tcPr>
            <w:tcW w:type="dxa" w:w="1313"/>
            <w:vAlign w:val="center"/>
          </w:tcPr>
          <w:p>
            <w:pPr>
              <w:spacing w:after="0" w:line="240" w:lineRule="auto"/>
              <w:jc w:val="center"/>
            </w:pPr>
            <w:r/>
            <w:r>
              <w:rPr>
                <w:rFonts w:ascii="Calibri" w:hAnsi="Calibri"/>
                <w:b w:val="0"/>
                <w:i w:val="0"/>
                <w:color w:val="000000"/>
                <w:sz w:val="11"/>
              </w:rPr>
              <w:t>7.5317</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304.19</w:t>
            </w:r>
          </w:p>
        </w:tc>
        <w:tc>
          <w:tcPr>
            <w:tcW w:type="dxa" w:w="2188"/>
            <w:vAlign w:val="center"/>
          </w:tcPr>
          <w:p>
            <w:pPr>
              <w:spacing w:after="0" w:line="240" w:lineRule="auto"/>
              <w:jc w:val="center"/>
            </w:pPr>
            <w:r/>
            <w:r>
              <w:rPr>
                <w:rFonts w:ascii="Calibri" w:hAnsi="Calibri"/>
                <w:b w:val="0"/>
                <w:i w:val="0"/>
                <w:color w:val="000000"/>
                <w:sz w:val="11"/>
              </w:rPr>
              <w:t>-4.44</w:t>
            </w:r>
          </w:p>
        </w:tc>
        <w:tc>
          <w:tcPr>
            <w:tcW w:type="dxa" w:w="1313"/>
            <w:vAlign w:val="center"/>
          </w:tcPr>
          <w:p>
            <w:pPr>
              <w:spacing w:after="0" w:line="240" w:lineRule="auto"/>
              <w:jc w:val="center"/>
            </w:pPr>
            <w:r/>
            <w:r>
              <w:rPr>
                <w:rFonts w:ascii="Calibri" w:hAnsi="Calibri"/>
                <w:b w:val="0"/>
                <w:i w:val="0"/>
                <w:color w:val="000000"/>
                <w:sz w:val="11"/>
              </w:rPr>
              <w:t>7.6570</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269.81</w:t>
            </w:r>
          </w:p>
        </w:tc>
        <w:tc>
          <w:tcPr>
            <w:tcW w:type="dxa" w:w="2188"/>
            <w:vAlign w:val="center"/>
          </w:tcPr>
          <w:p>
            <w:pPr>
              <w:spacing w:after="0" w:line="240" w:lineRule="auto"/>
              <w:jc w:val="center"/>
            </w:pPr>
            <w:r/>
            <w:r>
              <w:rPr>
                <w:rFonts w:ascii="Calibri" w:hAnsi="Calibri"/>
                <w:b w:val="0"/>
                <w:i w:val="0"/>
                <w:color w:val="000000"/>
                <w:sz w:val="11"/>
              </w:rPr>
              <w:t>-2.18</w:t>
            </w:r>
          </w:p>
        </w:tc>
        <w:tc>
          <w:tcPr>
            <w:tcW w:type="dxa" w:w="1313"/>
            <w:vAlign w:val="center"/>
          </w:tcPr>
          <w:p>
            <w:pPr>
              <w:spacing w:after="0" w:line="240" w:lineRule="auto"/>
              <w:jc w:val="center"/>
            </w:pPr>
            <w:r/>
            <w:r>
              <w:rPr>
                <w:rFonts w:ascii="Calibri" w:hAnsi="Calibri"/>
                <w:b w:val="0"/>
                <w:i w:val="0"/>
                <w:color w:val="000000"/>
                <w:sz w:val="11"/>
              </w:rPr>
              <w:t>7.3112</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222.50</w:t>
            </w:r>
          </w:p>
        </w:tc>
        <w:tc>
          <w:tcPr>
            <w:tcW w:type="dxa" w:w="2188"/>
            <w:vAlign w:val="center"/>
          </w:tcPr>
          <w:p>
            <w:pPr>
              <w:spacing w:after="0" w:line="240" w:lineRule="auto"/>
              <w:jc w:val="center"/>
            </w:pPr>
            <w:r/>
            <w:r>
              <w:rPr>
                <w:rFonts w:ascii="Calibri" w:hAnsi="Calibri"/>
                <w:b w:val="0"/>
                <w:i w:val="0"/>
                <w:color w:val="000000"/>
                <w:sz w:val="11"/>
              </w:rPr>
              <w:t>-6.63</w:t>
            </w:r>
          </w:p>
        </w:tc>
        <w:tc>
          <w:tcPr>
            <w:tcW w:type="dxa" w:w="1313"/>
            <w:vAlign w:val="center"/>
          </w:tcPr>
          <w:p>
            <w:pPr>
              <w:spacing w:after="0" w:line="240" w:lineRule="auto"/>
              <w:jc w:val="center"/>
            </w:pPr>
            <w:r/>
            <w:r>
              <w:rPr>
                <w:rFonts w:ascii="Calibri" w:hAnsi="Calibri"/>
                <w:b w:val="0"/>
                <w:i w:val="0"/>
                <w:color w:val="000000"/>
                <w:sz w:val="11"/>
              </w:rPr>
              <w:t>6.2857</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90.07</w:t>
            </w:r>
          </w:p>
        </w:tc>
        <w:tc>
          <w:tcPr>
            <w:tcW w:type="dxa" w:w="2188"/>
            <w:vAlign w:val="center"/>
          </w:tcPr>
          <w:p>
            <w:pPr>
              <w:spacing w:after="0" w:line="240" w:lineRule="auto"/>
              <w:jc w:val="center"/>
            </w:pPr>
            <w:r/>
            <w:r>
              <w:rPr>
                <w:rFonts w:ascii="Calibri" w:hAnsi="Calibri"/>
                <w:b w:val="0"/>
                <w:i w:val="0"/>
                <w:color w:val="000000"/>
                <w:sz w:val="11"/>
              </w:rPr>
              <w:t>-3.98</w:t>
            </w:r>
          </w:p>
        </w:tc>
        <w:tc>
          <w:tcPr>
            <w:tcW w:type="dxa" w:w="1313"/>
            <w:vAlign w:val="center"/>
          </w:tcPr>
          <w:p>
            <w:pPr>
              <w:spacing w:after="0" w:line="240" w:lineRule="auto"/>
              <w:jc w:val="center"/>
            </w:pPr>
            <w:r/>
            <w:r>
              <w:rPr>
                <w:rFonts w:ascii="Calibri" w:hAnsi="Calibri"/>
                <w:b w:val="0"/>
                <w:i w:val="0"/>
                <w:color w:val="000000"/>
                <w:sz w:val="11"/>
              </w:rPr>
              <w:t>4.0305</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211.16</w:t>
            </w:r>
          </w:p>
        </w:tc>
        <w:tc>
          <w:tcPr>
            <w:tcW w:type="dxa" w:w="2188"/>
            <w:vAlign w:val="center"/>
          </w:tcPr>
          <w:p>
            <w:pPr>
              <w:spacing w:after="0" w:line="240" w:lineRule="auto"/>
              <w:jc w:val="center"/>
            </w:pPr>
            <w:r/>
            <w:r>
              <w:rPr>
                <w:rFonts w:ascii="Calibri" w:hAnsi="Calibri"/>
                <w:b w:val="0"/>
                <w:i w:val="0"/>
                <w:color w:val="000000"/>
                <w:sz w:val="11"/>
              </w:rPr>
              <w:t>-6.73</w:t>
            </w:r>
          </w:p>
        </w:tc>
        <w:tc>
          <w:tcPr>
            <w:tcW w:type="dxa" w:w="1313"/>
            <w:vAlign w:val="center"/>
          </w:tcPr>
          <w:p>
            <w:pPr>
              <w:spacing w:after="0" w:line="240" w:lineRule="auto"/>
              <w:jc w:val="center"/>
            </w:pPr>
            <w:r/>
            <w:r>
              <w:rPr>
                <w:rFonts w:ascii="Calibri" w:hAnsi="Calibri"/>
                <w:b w:val="0"/>
                <w:i w:val="0"/>
                <w:color w:val="000000"/>
                <w:sz w:val="11"/>
              </w:rPr>
              <w:t>6.0866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86.32</w:t>
            </w:r>
          </w:p>
        </w:tc>
        <w:tc>
          <w:tcPr>
            <w:tcW w:type="dxa" w:w="2188"/>
            <w:vAlign w:val="center"/>
          </w:tcPr>
          <w:p>
            <w:pPr>
              <w:spacing w:after="0" w:line="240" w:lineRule="auto"/>
              <w:jc w:val="center"/>
            </w:pPr>
            <w:r/>
            <w:r>
              <w:rPr>
                <w:rFonts w:ascii="Calibri" w:hAnsi="Calibri"/>
                <w:b w:val="0"/>
                <w:i w:val="0"/>
                <w:color w:val="000000"/>
                <w:sz w:val="11"/>
              </w:rPr>
              <w:t>-4.17</w:t>
            </w:r>
          </w:p>
        </w:tc>
        <w:tc>
          <w:tcPr>
            <w:tcW w:type="dxa" w:w="1313"/>
            <w:vAlign w:val="center"/>
          </w:tcPr>
          <w:p>
            <w:pPr>
              <w:spacing w:after="0" w:line="240" w:lineRule="auto"/>
              <w:jc w:val="center"/>
            </w:pPr>
            <w:r/>
            <w:r>
              <w:rPr>
                <w:rFonts w:ascii="Calibri" w:hAnsi="Calibri"/>
                <w:b w:val="0"/>
                <w:i w:val="0"/>
                <w:color w:val="000000"/>
                <w:sz w:val="11"/>
              </w:rPr>
              <w:t>3.9278</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292.81</w:t>
            </w:r>
          </w:p>
        </w:tc>
        <w:tc>
          <w:tcPr>
            <w:tcW w:type="dxa" w:w="2188"/>
            <w:vAlign w:val="center"/>
          </w:tcPr>
          <w:p>
            <w:pPr>
              <w:spacing w:after="0" w:line="240" w:lineRule="auto"/>
              <w:jc w:val="center"/>
            </w:pPr>
            <w:r/>
            <w:r>
              <w:rPr>
                <w:rFonts w:ascii="Calibri" w:hAnsi="Calibri"/>
                <w:b w:val="0"/>
                <w:i w:val="0"/>
                <w:color w:val="000000"/>
                <w:sz w:val="11"/>
              </w:rPr>
              <w:t>-5.03</w:t>
            </w:r>
          </w:p>
        </w:tc>
        <w:tc>
          <w:tcPr>
            <w:tcW w:type="dxa" w:w="1313"/>
            <w:vAlign w:val="center"/>
          </w:tcPr>
          <w:p>
            <w:pPr>
              <w:spacing w:after="0" w:line="240" w:lineRule="auto"/>
              <w:jc w:val="center"/>
            </w:pPr>
            <w:r/>
            <w:r>
              <w:rPr>
                <w:rFonts w:ascii="Calibri" w:hAnsi="Calibri"/>
                <w:b w:val="0"/>
                <w:i w:val="0"/>
                <w:color w:val="000000"/>
                <w:sz w:val="11"/>
              </w:rPr>
              <w:t>7.3150</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203.26</w:t>
            </w:r>
          </w:p>
        </w:tc>
        <w:tc>
          <w:tcPr>
            <w:tcW w:type="dxa" w:w="2188"/>
            <w:vAlign w:val="center"/>
          </w:tcPr>
          <w:p>
            <w:pPr>
              <w:spacing w:after="0" w:line="240" w:lineRule="auto"/>
              <w:jc w:val="center"/>
            </w:pPr>
            <w:r/>
            <w:r>
              <w:rPr>
                <w:rFonts w:ascii="Calibri" w:hAnsi="Calibri"/>
                <w:b w:val="0"/>
                <w:i w:val="0"/>
                <w:color w:val="000000"/>
                <w:sz w:val="11"/>
              </w:rPr>
              <w:t>-4.73</w:t>
            </w:r>
          </w:p>
        </w:tc>
        <w:tc>
          <w:tcPr>
            <w:tcW w:type="dxa" w:w="1313"/>
            <w:vAlign w:val="center"/>
          </w:tcPr>
          <w:p>
            <w:pPr>
              <w:spacing w:after="0" w:line="240" w:lineRule="auto"/>
              <w:jc w:val="center"/>
            </w:pPr>
            <w:r/>
            <w:r>
              <w:rPr>
                <w:rFonts w:ascii="Calibri" w:hAnsi="Calibri"/>
                <w:b w:val="0"/>
                <w:i w:val="0"/>
                <w:color w:val="000000"/>
                <w:sz w:val="11"/>
              </w:rPr>
              <w:t>6.1325</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279.87</w:t>
            </w:r>
          </w:p>
        </w:tc>
        <w:tc>
          <w:tcPr>
            <w:tcW w:type="dxa" w:w="2188"/>
            <w:vAlign w:val="center"/>
          </w:tcPr>
          <w:p>
            <w:pPr>
              <w:spacing w:after="0" w:line="240" w:lineRule="auto"/>
              <w:jc w:val="center"/>
            </w:pPr>
            <w:r/>
            <w:r>
              <w:rPr>
                <w:rFonts w:ascii="Calibri" w:hAnsi="Calibri"/>
                <w:b w:val="0"/>
                <w:i w:val="0"/>
                <w:color w:val="000000"/>
                <w:sz w:val="11"/>
              </w:rPr>
              <w:t>-5.22</w:t>
            </w:r>
          </w:p>
        </w:tc>
        <w:tc>
          <w:tcPr>
            <w:tcW w:type="dxa" w:w="1313"/>
            <w:vAlign w:val="center"/>
          </w:tcPr>
          <w:p>
            <w:pPr>
              <w:spacing w:after="0" w:line="240" w:lineRule="auto"/>
              <w:jc w:val="center"/>
            </w:pPr>
            <w:r/>
            <w:r>
              <w:rPr>
                <w:rFonts w:ascii="Calibri" w:hAnsi="Calibri"/>
                <w:b w:val="0"/>
                <w:i w:val="0"/>
                <w:color w:val="000000"/>
                <w:sz w:val="11"/>
              </w:rPr>
              <w:t>7.1346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194.24</w:t>
            </w:r>
          </w:p>
        </w:tc>
        <w:tc>
          <w:tcPr>
            <w:tcW w:type="dxa" w:w="2188"/>
            <w:vAlign w:val="center"/>
          </w:tcPr>
          <w:p>
            <w:pPr>
              <w:spacing w:after="0" w:line="240" w:lineRule="auto"/>
              <w:jc w:val="center"/>
            </w:pPr>
            <w:r/>
            <w:r>
              <w:rPr>
                <w:rFonts w:ascii="Calibri" w:hAnsi="Calibri"/>
                <w:b w:val="0"/>
                <w:i w:val="0"/>
                <w:color w:val="000000"/>
                <w:sz w:val="11"/>
              </w:rPr>
              <w:t>-5.06</w:t>
            </w:r>
          </w:p>
        </w:tc>
        <w:tc>
          <w:tcPr>
            <w:tcW w:type="dxa" w:w="1313"/>
            <w:vAlign w:val="center"/>
          </w:tcPr>
          <w:p>
            <w:pPr>
              <w:spacing w:after="0" w:line="240" w:lineRule="auto"/>
              <w:jc w:val="center"/>
            </w:pPr>
            <w:r/>
            <w:r>
              <w:rPr>
                <w:rFonts w:ascii="Calibri" w:hAnsi="Calibri"/>
                <w:b w:val="0"/>
                <w:i w:val="0"/>
                <w:color w:val="000000"/>
                <w:sz w:val="11"/>
              </w:rPr>
              <w:t>5.9622</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218.58</w:t>
            </w:r>
          </w:p>
        </w:tc>
        <w:tc>
          <w:tcPr>
            <w:tcW w:type="dxa" w:w="2188"/>
            <w:vAlign w:val="center"/>
          </w:tcPr>
          <w:p>
            <w:pPr>
              <w:spacing w:after="0" w:line="240" w:lineRule="auto"/>
              <w:jc w:val="center"/>
            </w:pPr>
            <w:r/>
            <w:r>
              <w:rPr>
                <w:rFonts w:ascii="Calibri" w:hAnsi="Calibri"/>
                <w:b w:val="0"/>
                <w:i w:val="0"/>
                <w:color w:val="000000"/>
                <w:sz w:val="11"/>
              </w:rPr>
              <w:t>-8.71</w:t>
            </w:r>
          </w:p>
        </w:tc>
        <w:tc>
          <w:tcPr>
            <w:tcW w:type="dxa" w:w="1313"/>
            <w:vAlign w:val="center"/>
          </w:tcPr>
          <w:p>
            <w:pPr>
              <w:spacing w:after="0" w:line="240" w:lineRule="auto"/>
              <w:jc w:val="center"/>
            </w:pPr>
            <w:r/>
            <w:r>
              <w:rPr>
                <w:rFonts w:ascii="Calibri" w:hAnsi="Calibri"/>
                <w:b w:val="0"/>
                <w:i w:val="0"/>
                <w:color w:val="000000"/>
                <w:sz w:val="11"/>
              </w:rPr>
              <w:t>5.4567</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127.14</w:t>
            </w:r>
          </w:p>
        </w:tc>
        <w:tc>
          <w:tcPr>
            <w:tcW w:type="dxa" w:w="2188"/>
            <w:vAlign w:val="center"/>
          </w:tcPr>
          <w:p>
            <w:pPr>
              <w:spacing w:after="0" w:line="240" w:lineRule="auto"/>
              <w:jc w:val="center"/>
            </w:pPr>
            <w:r/>
            <w:r>
              <w:rPr>
                <w:rFonts w:ascii="Calibri" w:hAnsi="Calibri"/>
                <w:b w:val="0"/>
                <w:i w:val="0"/>
                <w:color w:val="000000"/>
                <w:sz w:val="11"/>
              </w:rPr>
              <w:t>-3.17</w:t>
            </w:r>
          </w:p>
        </w:tc>
        <w:tc>
          <w:tcPr>
            <w:tcW w:type="dxa" w:w="1313"/>
            <w:vAlign w:val="center"/>
          </w:tcPr>
          <w:p>
            <w:pPr>
              <w:spacing w:after="0" w:line="240" w:lineRule="auto"/>
              <w:jc w:val="center"/>
            </w:pPr>
            <w:r/>
            <w:r>
              <w:rPr>
                <w:rFonts w:ascii="Calibri" w:hAnsi="Calibri"/>
                <w:b w:val="0"/>
                <w:i w:val="0"/>
                <w:color w:val="000000"/>
                <w:sz w:val="11"/>
              </w:rPr>
              <w:t>4.8670</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206.06</w:t>
            </w:r>
          </w:p>
        </w:tc>
        <w:tc>
          <w:tcPr>
            <w:tcW w:type="dxa" w:w="2188"/>
            <w:vAlign w:val="center"/>
          </w:tcPr>
          <w:p>
            <w:pPr>
              <w:spacing w:after="0" w:line="240" w:lineRule="auto"/>
              <w:jc w:val="center"/>
            </w:pPr>
            <w:r/>
            <w:r>
              <w:rPr>
                <w:rFonts w:ascii="Calibri" w:hAnsi="Calibri"/>
                <w:b w:val="0"/>
                <w:i w:val="0"/>
                <w:color w:val="000000"/>
                <w:sz w:val="11"/>
              </w:rPr>
              <w:t>-8.90</w:t>
            </w:r>
          </w:p>
        </w:tc>
        <w:tc>
          <w:tcPr>
            <w:tcW w:type="dxa" w:w="1313"/>
            <w:vAlign w:val="center"/>
          </w:tcPr>
          <w:p>
            <w:pPr>
              <w:spacing w:after="0" w:line="240" w:lineRule="auto"/>
              <w:jc w:val="center"/>
            </w:pPr>
            <w:r/>
            <w:r>
              <w:rPr>
                <w:rFonts w:ascii="Calibri" w:hAnsi="Calibri"/>
                <w:b w:val="0"/>
                <w:i w:val="0"/>
                <w:color w:val="000000"/>
                <w:sz w:val="11"/>
              </w:rPr>
              <w:t>5.2996</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121.97</w:t>
            </w:r>
          </w:p>
        </w:tc>
        <w:tc>
          <w:tcPr>
            <w:tcW w:type="dxa" w:w="2188"/>
            <w:vAlign w:val="center"/>
          </w:tcPr>
          <w:p>
            <w:pPr>
              <w:spacing w:after="0" w:line="240" w:lineRule="auto"/>
              <w:jc w:val="center"/>
            </w:pPr>
            <w:r/>
            <w:r>
              <w:rPr>
                <w:rFonts w:ascii="Calibri" w:hAnsi="Calibri"/>
                <w:b w:val="0"/>
                <w:i w:val="0"/>
                <w:color w:val="000000"/>
                <w:sz w:val="11"/>
              </w:rPr>
              <w:t>-3.42</w:t>
            </w:r>
          </w:p>
        </w:tc>
        <w:tc>
          <w:tcPr>
            <w:tcW w:type="dxa" w:w="1313"/>
            <w:vAlign w:val="center"/>
          </w:tcPr>
          <w:p>
            <w:pPr>
              <w:spacing w:after="0" w:line="240" w:lineRule="auto"/>
              <w:jc w:val="center"/>
            </w:pPr>
            <w:r/>
            <w:r>
              <w:rPr>
                <w:rFonts w:ascii="Calibri" w:hAnsi="Calibri"/>
                <w:b w:val="0"/>
                <w:i w:val="0"/>
                <w:color w:val="000000"/>
                <w:sz w:val="11"/>
              </w:rPr>
              <w:t>4.7688</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38.13</w:t>
            </w:r>
          </w:p>
        </w:tc>
        <w:tc>
          <w:tcPr>
            <w:tcW w:type="dxa" w:w="2188"/>
            <w:vAlign w:val="center"/>
          </w:tcPr>
          <w:p>
            <w:pPr>
              <w:spacing w:after="0" w:line="240" w:lineRule="auto"/>
              <w:jc w:val="center"/>
            </w:pPr>
            <w:r/>
            <w:r>
              <w:rPr>
                <w:rFonts w:ascii="Calibri" w:hAnsi="Calibri"/>
                <w:b w:val="0"/>
                <w:i w:val="0"/>
                <w:color w:val="000000"/>
                <w:sz w:val="11"/>
              </w:rPr>
              <w:t>-31.43</w:t>
            </w:r>
          </w:p>
        </w:tc>
        <w:tc>
          <w:tcPr>
            <w:tcW w:type="dxa" w:w="1313"/>
            <w:vAlign w:val="center"/>
          </w:tcPr>
          <w:p>
            <w:pPr>
              <w:spacing w:after="0" w:line="240" w:lineRule="auto"/>
              <w:jc w:val="center"/>
            </w:pPr>
            <w:r/>
            <w:r>
              <w:rPr>
                <w:rFonts w:ascii="Calibri" w:hAnsi="Calibri"/>
                <w:b w:val="0"/>
                <w:i w:val="0"/>
                <w:color w:val="000000"/>
                <w:sz w:val="11"/>
              </w:rPr>
              <w:t>0.2697</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56.59</w:t>
            </w:r>
          </w:p>
        </w:tc>
        <w:tc>
          <w:tcPr>
            <w:tcW w:type="dxa" w:w="2188"/>
            <w:vAlign w:val="center"/>
          </w:tcPr>
          <w:p>
            <w:pPr>
              <w:spacing w:after="0" w:line="240" w:lineRule="auto"/>
              <w:jc w:val="center"/>
            </w:pPr>
            <w:r/>
            <w:r>
              <w:rPr>
                <w:rFonts w:ascii="Calibri" w:hAnsi="Calibri"/>
                <w:b w:val="0"/>
                <w:i w:val="0"/>
                <w:color w:val="000000"/>
                <w:sz w:val="11"/>
              </w:rPr>
              <w:t>-10.00</w:t>
            </w:r>
          </w:p>
        </w:tc>
        <w:tc>
          <w:tcPr>
            <w:tcW w:type="dxa" w:w="1313"/>
            <w:vAlign w:val="center"/>
          </w:tcPr>
          <w:p>
            <w:pPr>
              <w:spacing w:after="0" w:line="240" w:lineRule="auto"/>
              <w:jc w:val="center"/>
            </w:pPr>
            <w:r/>
            <w:r>
              <w:rPr>
                <w:rFonts w:ascii="Calibri" w:hAnsi="Calibri"/>
                <w:b w:val="0"/>
                <w:i w:val="0"/>
                <w:color w:val="000000"/>
                <w:sz w:val="11"/>
              </w:rPr>
              <w:t>1.7830</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34.26</w:t>
            </w:r>
          </w:p>
        </w:tc>
        <w:tc>
          <w:tcPr>
            <w:tcW w:type="dxa" w:w="2188"/>
            <w:vAlign w:val="center"/>
          </w:tcPr>
          <w:p>
            <w:pPr>
              <w:spacing w:after="0" w:line="240" w:lineRule="auto"/>
              <w:jc w:val="center"/>
            </w:pPr>
            <w:r/>
            <w:r>
              <w:rPr>
                <w:rFonts w:ascii="Calibri" w:hAnsi="Calibri"/>
                <w:b w:val="0"/>
                <w:i w:val="0"/>
                <w:color w:val="000000"/>
                <w:sz w:val="11"/>
              </w:rPr>
              <w:t>-31.70</w:t>
            </w:r>
          </w:p>
        </w:tc>
        <w:tc>
          <w:tcPr>
            <w:tcW w:type="dxa" w:w="1313"/>
            <w:vAlign w:val="center"/>
          </w:tcPr>
          <w:p>
            <w:pPr>
              <w:spacing w:after="0" w:line="240" w:lineRule="auto"/>
              <w:jc w:val="center"/>
            </w:pPr>
            <w:r/>
            <w:r>
              <w:rPr>
                <w:rFonts w:ascii="Calibri" w:hAnsi="Calibri"/>
                <w:b w:val="0"/>
                <w:i w:val="0"/>
                <w:color w:val="000000"/>
                <w:sz w:val="11"/>
              </w:rPr>
              <w:t>0.1590</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54.32</w:t>
            </w:r>
          </w:p>
        </w:tc>
        <w:tc>
          <w:tcPr>
            <w:tcW w:type="dxa" w:w="2188"/>
            <w:vAlign w:val="center"/>
          </w:tcPr>
          <w:p>
            <w:pPr>
              <w:spacing w:after="0" w:line="240" w:lineRule="auto"/>
              <w:jc w:val="center"/>
            </w:pPr>
            <w:r/>
            <w:r>
              <w:rPr>
                <w:rFonts w:ascii="Calibri" w:hAnsi="Calibri"/>
                <w:b w:val="0"/>
                <w:i w:val="0"/>
                <w:color w:val="000000"/>
                <w:sz w:val="11"/>
              </w:rPr>
              <w:t>-10.25</w:t>
            </w:r>
          </w:p>
        </w:tc>
        <w:tc>
          <w:tcPr>
            <w:tcW w:type="dxa" w:w="1313"/>
            <w:vAlign w:val="center"/>
          </w:tcPr>
          <w:p>
            <w:pPr>
              <w:spacing w:after="0" w:line="240" w:lineRule="auto"/>
              <w:jc w:val="center"/>
            </w:pPr>
            <w:r/>
            <w:r>
              <w:rPr>
                <w:rFonts w:ascii="Calibri" w:hAnsi="Calibri"/>
                <w:b w:val="0"/>
                <w:i w:val="0"/>
                <w:color w:val="000000"/>
                <w:sz w:val="11"/>
              </w:rPr>
              <w:t>1.7066</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bl>
    <w:p>
      <w:pPr>
        <w:spacing w:after="60"/>
      </w:pPr>
    </w:p>
    <w:p>
      <w:pPr>
        <w:pStyle w:val="Heading3"/>
      </w:pPr>
      <w:r>
        <w:t>Interpretation of Table 11</w:t>
      </w:r>
    </w:p>
    <w:p>
      <w:pPr>
        <w:spacing w:after="160" w:line="320" w:lineRule="auto"/>
        <w:jc w:val="both"/>
      </w:pPr>
      <w:r>
        <w:rPr>
          <w:rFonts w:ascii="Calibri" w:hAnsi="Calibri"/>
          <w:b/>
          <w:i w:val="0"/>
          <w:color w:val="000000"/>
          <w:sz w:val="22"/>
        </w:rPr>
        <w:t>Decomposition trading leader:</w:t>
      </w:r>
      <w:r>
        <w:rPr>
          <w:rFonts w:ascii="Calibri" w:hAnsi="Calibri"/>
          <w:b w:val="0"/>
          <w:i w:val="0"/>
          <w:color w:val="000000"/>
          <w:sz w:val="22"/>
        </w:rPr>
        <w:t xml:space="preserve"> CEEMDAN-ARIMA has the strongest average results in every scheme: Scheme 1 returns 332.30% with Sharpe 8.0045, and cost-adjusted Scheme 2 returns 304.19% with Sharpe 7.6570. The proposed hybrid remains strong in the table, with Scheme 2 return 279.87%, Sharpe 7.1346, and maximum drawdown -5.22%.</w:t>
      </w:r>
    </w:p>
    <w:p>
      <w:pPr>
        <w:spacing w:after="160" w:line="320" w:lineRule="auto"/>
        <w:jc w:val="both"/>
      </w:pPr>
      <w:r>
        <w:rPr>
          <w:rFonts w:ascii="Calibri" w:hAnsi="Calibri"/>
          <w:b/>
          <w:i w:val="0"/>
          <w:color w:val="000000"/>
          <w:sz w:val="22"/>
        </w:rPr>
        <w:t>Costs and filtering:</w:t>
      </w:r>
      <w:r>
        <w:rPr>
          <w:rFonts w:ascii="Calibri" w:hAnsi="Calibri"/>
          <w:b w:val="0"/>
          <w:i w:val="0"/>
          <w:color w:val="000000"/>
          <w:sz w:val="22"/>
        </w:rPr>
        <w:t xml:space="preserve"> Moving from Scheme 1 to Scheme 2 lowers the proposed average cumulative return from 292.81% to 279.87%, quantifying the effect of the 10-basis-point turnover charge. The uncertainty filter lowers the proposed Scheme 2 result further to 194.24% and Sharpe 5.9622; abstention reduces exposure but does not automatically improve risk-adjusted return.</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These high annualized-looking outcomes are averages across two heterogeneous retrospective simulations, not live portfolios. Observed-test filtering can align forecasts with realized test information, and the calculation omits contract execution, roll slippage, bid-ask variation, market impact, financing, and position limits.</w:t>
      </w:r>
    </w:p>
    <w:p>
      <w:pPr>
        <w:keepNext/>
        <w:spacing w:before="100" w:after="80"/>
      </w:pPr>
      <w:r>
        <w:rPr>
          <w:rFonts w:ascii="Calibri" w:hAnsi="Calibri"/>
          <w:b/>
          <w:i w:val="0"/>
          <w:color w:val="1F4D78"/>
          <w:sz w:val="18"/>
        </w:rPr>
        <w:t xml:space="preserve">Table 12. </w:t>
      </w:r>
      <w:r>
        <w:rPr>
          <w:rFonts w:ascii="Calibri" w:hAnsi="Calibri"/>
          <w:b w:val="0"/>
          <w:i/>
          <w:color w:val="000000"/>
          <w:sz w:val="18"/>
        </w:rPr>
        <w:t>Performance of two trading schemes and their optimized versions based on single-model forecasts.</w:t>
      </w:r>
    </w:p>
    <w:tbl>
      <w:tblPr>
        <w:tblStyle w:val="TableGrid"/>
        <w:tblW w:type="dxa" w:w="13680"/>
        <w:jc w:val="left"/>
        <w:tblLayout w:type="fixed"/>
        <w:tblLook w:firstColumn="1" w:firstRow="1" w:lastColumn="0" w:lastRow="0" w:noHBand="0" w:noVBand="1" w:val="04A0"/>
      </w:tblPr>
      <w:tblGrid>
        <w:gridCol w:w="929"/>
        <w:gridCol w:w="1195"/>
        <w:gridCol w:w="2789"/>
        <w:gridCol w:w="2656"/>
        <w:gridCol w:w="1593"/>
        <w:gridCol w:w="2921"/>
        <w:gridCol w:w="1597"/>
      </w:tblGrid>
      <w:tr>
        <w:trPr>
          <w:tblHeader w:val="true"/>
        </w:trPr>
        <w:tc>
          <w:tcPr>
            <w:tcW w:type="dxa" w:w="929"/>
            <w:shd w:fill="F4F6F9"/>
            <w:vAlign w:val="center"/>
          </w:tcPr>
          <w:p>
            <w:pPr>
              <w:jc w:val="center"/>
            </w:pPr>
            <w:r/>
            <w:r>
              <w:rPr>
                <w:rFonts w:ascii="Calibri" w:hAnsi="Calibri"/>
                <w:b/>
                <w:i w:val="0"/>
                <w:color w:val="0B2545"/>
                <w:sz w:val="11"/>
              </w:rPr>
              <w:t>Model</w:t>
            </w:r>
          </w:p>
        </w:tc>
        <w:tc>
          <w:tcPr>
            <w:tcW w:type="dxa" w:w="1195"/>
            <w:shd w:fill="F4F6F9"/>
            <w:vAlign w:val="center"/>
          </w:tcPr>
          <w:p>
            <w:pPr>
              <w:jc w:val="center"/>
            </w:pPr>
            <w:r/>
            <w:r>
              <w:rPr>
                <w:rFonts w:ascii="Calibri" w:hAnsi="Calibri"/>
                <w:b/>
                <w:i w:val="0"/>
                <w:color w:val="0B2545"/>
                <w:sz w:val="11"/>
              </w:rPr>
              <w:t>Scheme</w:t>
            </w:r>
          </w:p>
        </w:tc>
        <w:tc>
          <w:tcPr>
            <w:tcW w:type="dxa" w:w="2789"/>
            <w:shd w:fill="F4F6F9"/>
            <w:vAlign w:val="center"/>
          </w:tcPr>
          <w:p>
            <w:pPr>
              <w:jc w:val="center"/>
            </w:pPr>
            <w:r/>
            <w:r>
              <w:rPr>
                <w:rFonts w:ascii="Calibri" w:hAnsi="Calibri"/>
                <w:b/>
                <w:i w:val="0"/>
                <w:color w:val="0B2545"/>
                <w:sz w:val="11"/>
              </w:rPr>
              <w:t>Cumulative Return (%)</w:t>
            </w:r>
          </w:p>
        </w:tc>
        <w:tc>
          <w:tcPr>
            <w:tcW w:type="dxa" w:w="2656"/>
            <w:shd w:fill="F4F6F9"/>
            <w:vAlign w:val="center"/>
          </w:tcPr>
          <w:p>
            <w:pPr>
              <w:jc w:val="center"/>
            </w:pPr>
            <w:r/>
            <w:r>
              <w:rPr>
                <w:rFonts w:ascii="Calibri" w:hAnsi="Calibri"/>
                <w:b/>
                <w:i w:val="0"/>
                <w:color w:val="0B2545"/>
                <w:sz w:val="11"/>
              </w:rPr>
              <w:t>Maximum Drawdown (%)</w:t>
            </w:r>
          </w:p>
        </w:tc>
        <w:tc>
          <w:tcPr>
            <w:tcW w:type="dxa" w:w="1593"/>
            <w:shd w:fill="F4F6F9"/>
            <w:vAlign w:val="center"/>
          </w:tcPr>
          <w:p>
            <w:pPr>
              <w:jc w:val="center"/>
            </w:pPr>
            <w:r/>
            <w:r>
              <w:rPr>
                <w:rFonts w:ascii="Calibri" w:hAnsi="Calibri"/>
                <w:b/>
                <w:i w:val="0"/>
                <w:color w:val="0B2545"/>
                <w:sz w:val="11"/>
              </w:rPr>
              <w:t>Sharpe Ratio</w:t>
            </w:r>
          </w:p>
        </w:tc>
        <w:tc>
          <w:tcPr>
            <w:tcW w:type="dxa" w:w="2921"/>
            <w:shd w:fill="F4F6F9"/>
            <w:vAlign w:val="center"/>
          </w:tcPr>
          <w:p>
            <w:pPr>
              <w:jc w:val="center"/>
            </w:pPr>
            <w:r/>
            <w:r>
              <w:rPr>
                <w:rFonts w:ascii="Calibri" w:hAnsi="Calibri"/>
                <w:b/>
                <w:i w:val="0"/>
                <w:color w:val="0B2545"/>
                <w:sz w:val="11"/>
              </w:rPr>
              <w:t>Number of Transactions</w:t>
            </w:r>
          </w:p>
        </w:tc>
        <w:tc>
          <w:tcPr>
            <w:tcW w:type="dxa" w:w="1597"/>
            <w:shd w:fill="F4F6F9"/>
            <w:vAlign w:val="center"/>
          </w:tcPr>
          <w:p>
            <w:pPr>
              <w:jc w:val="center"/>
            </w:pPr>
            <w:r/>
            <w:r>
              <w:rPr>
                <w:rFonts w:ascii="Calibri" w:hAnsi="Calibri"/>
                <w:b/>
                <w:i w:val="0"/>
                <w:color w:val="0B2545"/>
                <w:sz w:val="11"/>
              </w:rPr>
              <w:t>Hit Rate (%)</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173.96</w:t>
            </w:r>
          </w:p>
        </w:tc>
        <w:tc>
          <w:tcPr>
            <w:tcW w:type="dxa" w:w="2656"/>
            <w:vAlign w:val="center"/>
          </w:tcPr>
          <w:p>
            <w:pPr>
              <w:spacing w:after="0" w:line="240" w:lineRule="auto"/>
              <w:jc w:val="center"/>
            </w:pPr>
            <w:r/>
            <w:r>
              <w:rPr>
                <w:rFonts w:ascii="Calibri" w:hAnsi="Calibri"/>
                <w:b w:val="0"/>
                <w:i w:val="0"/>
                <w:color w:val="000000"/>
                <w:sz w:val="11"/>
              </w:rPr>
              <w:t>-8.84</w:t>
            </w:r>
          </w:p>
        </w:tc>
        <w:tc>
          <w:tcPr>
            <w:tcW w:type="dxa" w:w="1593"/>
            <w:vAlign w:val="center"/>
          </w:tcPr>
          <w:p>
            <w:pPr>
              <w:spacing w:after="0" w:line="240" w:lineRule="auto"/>
              <w:jc w:val="center"/>
            </w:pPr>
            <w:r/>
            <w:r>
              <w:rPr>
                <w:rFonts w:ascii="Calibri" w:hAnsi="Calibri"/>
                <w:b w:val="0"/>
                <w:i w:val="0"/>
                <w:color w:val="000000"/>
                <w:sz w:val="11"/>
              </w:rPr>
              <w:t>5.0752</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68.09</w:t>
            </w:r>
          </w:p>
        </w:tc>
        <w:tc>
          <w:tcPr>
            <w:tcW w:type="dxa" w:w="2656"/>
            <w:vAlign w:val="center"/>
          </w:tcPr>
          <w:p>
            <w:pPr>
              <w:spacing w:after="0" w:line="240" w:lineRule="auto"/>
              <w:jc w:val="center"/>
            </w:pPr>
            <w:r/>
            <w:r>
              <w:rPr>
                <w:rFonts w:ascii="Calibri" w:hAnsi="Calibri"/>
                <w:b w:val="0"/>
                <w:i w:val="0"/>
                <w:color w:val="000000"/>
                <w:sz w:val="11"/>
              </w:rPr>
              <w:t>-5.45</w:t>
            </w:r>
          </w:p>
        </w:tc>
        <w:tc>
          <w:tcPr>
            <w:tcW w:type="dxa" w:w="1593"/>
            <w:vAlign w:val="center"/>
          </w:tcPr>
          <w:p>
            <w:pPr>
              <w:spacing w:after="0" w:line="240" w:lineRule="auto"/>
              <w:jc w:val="center"/>
            </w:pPr>
            <w:r/>
            <w:r>
              <w:rPr>
                <w:rFonts w:ascii="Calibri" w:hAnsi="Calibri"/>
                <w:b w:val="0"/>
                <w:i w:val="0"/>
                <w:color w:val="000000"/>
                <w:sz w:val="11"/>
              </w:rPr>
              <w:t>3.8712</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162.16</w:t>
            </w:r>
          </w:p>
        </w:tc>
        <w:tc>
          <w:tcPr>
            <w:tcW w:type="dxa" w:w="2656"/>
            <w:vAlign w:val="center"/>
          </w:tcPr>
          <w:p>
            <w:pPr>
              <w:spacing w:after="0" w:line="240" w:lineRule="auto"/>
              <w:jc w:val="center"/>
            </w:pPr>
            <w:r/>
            <w:r>
              <w:rPr>
                <w:rFonts w:ascii="Calibri" w:hAnsi="Calibri"/>
                <w:b w:val="0"/>
                <w:i w:val="0"/>
                <w:color w:val="000000"/>
                <w:sz w:val="11"/>
              </w:rPr>
              <w:t>-9.12</w:t>
            </w:r>
          </w:p>
        </w:tc>
        <w:tc>
          <w:tcPr>
            <w:tcW w:type="dxa" w:w="1593"/>
            <w:vAlign w:val="center"/>
          </w:tcPr>
          <w:p>
            <w:pPr>
              <w:spacing w:after="0" w:line="240" w:lineRule="auto"/>
              <w:jc w:val="center"/>
            </w:pPr>
            <w:r/>
            <w:r>
              <w:rPr>
                <w:rFonts w:ascii="Calibri" w:hAnsi="Calibri"/>
                <w:b w:val="0"/>
                <w:i w:val="0"/>
                <w:color w:val="000000"/>
                <w:sz w:val="11"/>
              </w:rPr>
              <w:t>4.8419</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64.00</w:t>
            </w:r>
          </w:p>
        </w:tc>
        <w:tc>
          <w:tcPr>
            <w:tcW w:type="dxa" w:w="2656"/>
            <w:vAlign w:val="center"/>
          </w:tcPr>
          <w:p>
            <w:pPr>
              <w:spacing w:after="0" w:line="240" w:lineRule="auto"/>
              <w:jc w:val="center"/>
            </w:pPr>
            <w:r/>
            <w:r>
              <w:rPr>
                <w:rFonts w:ascii="Calibri" w:hAnsi="Calibri"/>
                <w:b w:val="0"/>
                <w:i w:val="0"/>
                <w:color w:val="000000"/>
                <w:sz w:val="11"/>
              </w:rPr>
              <w:t>-5.69</w:t>
            </w:r>
          </w:p>
        </w:tc>
        <w:tc>
          <w:tcPr>
            <w:tcW w:type="dxa" w:w="1593"/>
            <w:vAlign w:val="center"/>
          </w:tcPr>
          <w:p>
            <w:pPr>
              <w:spacing w:after="0" w:line="240" w:lineRule="auto"/>
              <w:jc w:val="center"/>
            </w:pPr>
            <w:r/>
            <w:r>
              <w:rPr>
                <w:rFonts w:ascii="Calibri" w:hAnsi="Calibri"/>
                <w:b w:val="0"/>
                <w:i w:val="0"/>
                <w:color w:val="000000"/>
                <w:sz w:val="11"/>
              </w:rPr>
              <w:t>3.6666</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28.70</w:t>
            </w:r>
          </w:p>
        </w:tc>
        <w:tc>
          <w:tcPr>
            <w:tcW w:type="dxa" w:w="2656"/>
            <w:vAlign w:val="center"/>
          </w:tcPr>
          <w:p>
            <w:pPr>
              <w:spacing w:after="0" w:line="240" w:lineRule="auto"/>
              <w:jc w:val="center"/>
            </w:pPr>
            <w:r/>
            <w:r>
              <w:rPr>
                <w:rFonts w:ascii="Calibri" w:hAnsi="Calibri"/>
                <w:b w:val="0"/>
                <w:i w:val="0"/>
                <w:color w:val="000000"/>
                <w:sz w:val="11"/>
              </w:rPr>
              <w:t>-38.35</w:t>
            </w:r>
          </w:p>
        </w:tc>
        <w:tc>
          <w:tcPr>
            <w:tcW w:type="dxa" w:w="1593"/>
            <w:vAlign w:val="center"/>
          </w:tcPr>
          <w:p>
            <w:pPr>
              <w:spacing w:after="0" w:line="240" w:lineRule="auto"/>
              <w:jc w:val="center"/>
            </w:pPr>
            <w:r/>
            <w:r>
              <w:rPr>
                <w:rFonts w:ascii="Calibri" w:hAnsi="Calibri"/>
                <w:b w:val="0"/>
                <w:i w:val="0"/>
                <w:color w:val="000000"/>
                <w:sz w:val="11"/>
              </w:rPr>
              <w:t>1.3685</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38.67</w:t>
            </w:r>
          </w:p>
        </w:tc>
        <w:tc>
          <w:tcPr>
            <w:tcW w:type="dxa" w:w="2656"/>
            <w:vAlign w:val="center"/>
          </w:tcPr>
          <w:p>
            <w:pPr>
              <w:spacing w:after="0" w:line="240" w:lineRule="auto"/>
              <w:jc w:val="center"/>
            </w:pPr>
            <w:r/>
            <w:r>
              <w:rPr>
                <w:rFonts w:ascii="Calibri" w:hAnsi="Calibri"/>
                <w:b w:val="0"/>
                <w:i w:val="0"/>
                <w:color w:val="000000"/>
                <w:sz w:val="11"/>
              </w:rPr>
              <w:t>-32.84</w:t>
            </w:r>
          </w:p>
        </w:tc>
        <w:tc>
          <w:tcPr>
            <w:tcW w:type="dxa" w:w="1593"/>
            <w:vAlign w:val="center"/>
          </w:tcPr>
          <w:p>
            <w:pPr>
              <w:spacing w:after="0" w:line="240" w:lineRule="auto"/>
              <w:jc w:val="center"/>
            </w:pPr>
            <w:r/>
            <w:r>
              <w:rPr>
                <w:rFonts w:ascii="Calibri" w:hAnsi="Calibri"/>
                <w:b w:val="0"/>
                <w:i w:val="0"/>
                <w:color w:val="000000"/>
                <w:sz w:val="11"/>
              </w:rPr>
              <w:t>2.0662</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27.21</w:t>
            </w:r>
          </w:p>
        </w:tc>
        <w:tc>
          <w:tcPr>
            <w:tcW w:type="dxa" w:w="2656"/>
            <w:vAlign w:val="center"/>
          </w:tcPr>
          <w:p>
            <w:pPr>
              <w:spacing w:after="0" w:line="240" w:lineRule="auto"/>
              <w:jc w:val="center"/>
            </w:pPr>
            <w:r/>
            <w:r>
              <w:rPr>
                <w:rFonts w:ascii="Calibri" w:hAnsi="Calibri"/>
                <w:b w:val="0"/>
                <w:i w:val="0"/>
                <w:color w:val="000000"/>
                <w:sz w:val="11"/>
              </w:rPr>
              <w:t>-39.12</w:t>
            </w:r>
          </w:p>
        </w:tc>
        <w:tc>
          <w:tcPr>
            <w:tcW w:type="dxa" w:w="1593"/>
            <w:vAlign w:val="center"/>
          </w:tcPr>
          <w:p>
            <w:pPr>
              <w:spacing w:after="0" w:line="240" w:lineRule="auto"/>
              <w:jc w:val="center"/>
            </w:pPr>
            <w:r/>
            <w:r>
              <w:rPr>
                <w:rFonts w:ascii="Calibri" w:hAnsi="Calibri"/>
                <w:b w:val="0"/>
                <w:i w:val="0"/>
                <w:color w:val="000000"/>
                <w:sz w:val="11"/>
              </w:rPr>
              <w:t>1.2887</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36.40</w:t>
            </w:r>
          </w:p>
        </w:tc>
        <w:tc>
          <w:tcPr>
            <w:tcW w:type="dxa" w:w="2656"/>
            <w:vAlign w:val="center"/>
          </w:tcPr>
          <w:p>
            <w:pPr>
              <w:spacing w:after="0" w:line="240" w:lineRule="auto"/>
              <w:jc w:val="center"/>
            </w:pPr>
            <w:r/>
            <w:r>
              <w:rPr>
                <w:rFonts w:ascii="Calibri" w:hAnsi="Calibri"/>
                <w:b w:val="0"/>
                <w:i w:val="0"/>
                <w:color w:val="000000"/>
                <w:sz w:val="11"/>
              </w:rPr>
              <w:t>-33.48</w:t>
            </w:r>
          </w:p>
        </w:tc>
        <w:tc>
          <w:tcPr>
            <w:tcW w:type="dxa" w:w="1593"/>
            <w:vAlign w:val="center"/>
          </w:tcPr>
          <w:p>
            <w:pPr>
              <w:spacing w:after="0" w:line="240" w:lineRule="auto"/>
              <w:jc w:val="center"/>
            </w:pPr>
            <w:r/>
            <w:r>
              <w:rPr>
                <w:rFonts w:ascii="Calibri" w:hAnsi="Calibri"/>
                <w:b w:val="0"/>
                <w:i w:val="0"/>
                <w:color w:val="000000"/>
                <w:sz w:val="11"/>
              </w:rPr>
              <w:t>1.9759</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26.39</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0.9999</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27.41</w:t>
            </w:r>
          </w:p>
        </w:tc>
        <w:tc>
          <w:tcPr>
            <w:tcW w:type="dxa" w:w="2656"/>
            <w:vAlign w:val="center"/>
          </w:tcPr>
          <w:p>
            <w:pPr>
              <w:spacing w:after="0" w:line="240" w:lineRule="auto"/>
              <w:jc w:val="center"/>
            </w:pPr>
            <w:r/>
            <w:r>
              <w:rPr>
                <w:rFonts w:ascii="Calibri" w:hAnsi="Calibri"/>
                <w:b w:val="0"/>
                <w:i w:val="0"/>
                <w:color w:val="000000"/>
                <w:sz w:val="11"/>
              </w:rPr>
              <w:t>-44.20</w:t>
            </w:r>
          </w:p>
        </w:tc>
        <w:tc>
          <w:tcPr>
            <w:tcW w:type="dxa" w:w="1593"/>
            <w:vAlign w:val="center"/>
          </w:tcPr>
          <w:p>
            <w:pPr>
              <w:spacing w:after="0" w:line="240" w:lineRule="auto"/>
              <w:jc w:val="center"/>
            </w:pPr>
            <w:r/>
            <w:r>
              <w:rPr>
                <w:rFonts w:ascii="Calibri" w:hAnsi="Calibri"/>
                <w:b w:val="0"/>
                <w:i w:val="0"/>
                <w:color w:val="000000"/>
                <w:sz w:val="11"/>
              </w:rPr>
              <w:t>1.0830</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26.27</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0.9951</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27.24</w:t>
            </w:r>
          </w:p>
        </w:tc>
        <w:tc>
          <w:tcPr>
            <w:tcW w:type="dxa" w:w="2656"/>
            <w:vAlign w:val="center"/>
          </w:tcPr>
          <w:p>
            <w:pPr>
              <w:spacing w:after="0" w:line="240" w:lineRule="auto"/>
              <w:jc w:val="center"/>
            </w:pPr>
            <w:r/>
            <w:r>
              <w:rPr>
                <w:rFonts w:ascii="Calibri" w:hAnsi="Calibri"/>
                <w:b w:val="0"/>
                <w:i w:val="0"/>
                <w:color w:val="000000"/>
                <w:sz w:val="11"/>
              </w:rPr>
              <w:t>-44.23</w:t>
            </w:r>
          </w:p>
        </w:tc>
        <w:tc>
          <w:tcPr>
            <w:tcW w:type="dxa" w:w="1593"/>
            <w:vAlign w:val="center"/>
          </w:tcPr>
          <w:p>
            <w:pPr>
              <w:spacing w:after="0" w:line="240" w:lineRule="auto"/>
              <w:jc w:val="center"/>
            </w:pPr>
            <w:r/>
            <w:r>
              <w:rPr>
                <w:rFonts w:ascii="Calibri" w:hAnsi="Calibri"/>
                <w:b w:val="0"/>
                <w:i w:val="0"/>
                <w:color w:val="000000"/>
                <w:sz w:val="11"/>
              </w:rPr>
              <w:t>1.0747</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62.12</w:t>
            </w:r>
          </w:p>
        </w:tc>
        <w:tc>
          <w:tcPr>
            <w:tcW w:type="dxa" w:w="2656"/>
            <w:vAlign w:val="center"/>
          </w:tcPr>
          <w:p>
            <w:pPr>
              <w:spacing w:after="0" w:line="240" w:lineRule="auto"/>
              <w:jc w:val="center"/>
            </w:pPr>
            <w:r/>
            <w:r>
              <w:rPr>
                <w:rFonts w:ascii="Calibri" w:hAnsi="Calibri"/>
                <w:b w:val="0"/>
                <w:i w:val="0"/>
                <w:color w:val="000000"/>
                <w:sz w:val="11"/>
              </w:rPr>
              <w:t>-21.25</w:t>
            </w:r>
          </w:p>
        </w:tc>
        <w:tc>
          <w:tcPr>
            <w:tcW w:type="dxa" w:w="1593"/>
            <w:vAlign w:val="center"/>
          </w:tcPr>
          <w:p>
            <w:pPr>
              <w:spacing w:after="0" w:line="240" w:lineRule="auto"/>
              <w:jc w:val="center"/>
            </w:pPr>
            <w:r/>
            <w:r>
              <w:rPr>
                <w:rFonts w:ascii="Calibri" w:hAnsi="Calibri"/>
                <w:b w:val="0"/>
                <w:i w:val="0"/>
                <w:color w:val="000000"/>
                <w:sz w:val="11"/>
              </w:rPr>
              <w:t>2.0651</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47.84</w:t>
            </w:r>
          </w:p>
        </w:tc>
        <w:tc>
          <w:tcPr>
            <w:tcW w:type="dxa" w:w="2656"/>
            <w:vAlign w:val="center"/>
          </w:tcPr>
          <w:p>
            <w:pPr>
              <w:spacing w:after="0" w:line="240" w:lineRule="auto"/>
              <w:jc w:val="center"/>
            </w:pPr>
            <w:r/>
            <w:r>
              <w:rPr>
                <w:rFonts w:ascii="Calibri" w:hAnsi="Calibri"/>
                <w:b w:val="0"/>
                <w:i w:val="0"/>
                <w:color w:val="000000"/>
                <w:sz w:val="11"/>
              </w:rPr>
              <w:t>-10.96</w:t>
            </w:r>
          </w:p>
        </w:tc>
        <w:tc>
          <w:tcPr>
            <w:tcW w:type="dxa" w:w="1593"/>
            <w:vAlign w:val="center"/>
          </w:tcPr>
          <w:p>
            <w:pPr>
              <w:spacing w:after="0" w:line="240" w:lineRule="auto"/>
              <w:jc w:val="center"/>
            </w:pPr>
            <w:r/>
            <w:r>
              <w:rPr>
                <w:rFonts w:ascii="Calibri" w:hAnsi="Calibri"/>
                <w:b w:val="0"/>
                <w:i w:val="0"/>
                <w:color w:val="000000"/>
                <w:sz w:val="11"/>
              </w:rPr>
              <w:t>2.5043</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58.35</w:t>
            </w:r>
          </w:p>
        </w:tc>
        <w:tc>
          <w:tcPr>
            <w:tcW w:type="dxa" w:w="2656"/>
            <w:vAlign w:val="center"/>
          </w:tcPr>
          <w:p>
            <w:pPr>
              <w:spacing w:after="0" w:line="240" w:lineRule="auto"/>
              <w:jc w:val="center"/>
            </w:pPr>
            <w:r/>
            <w:r>
              <w:rPr>
                <w:rFonts w:ascii="Calibri" w:hAnsi="Calibri"/>
                <w:b w:val="0"/>
                <w:i w:val="0"/>
                <w:color w:val="000000"/>
                <w:sz w:val="11"/>
              </w:rPr>
              <w:t>-21.98</w:t>
            </w:r>
          </w:p>
        </w:tc>
        <w:tc>
          <w:tcPr>
            <w:tcW w:type="dxa" w:w="1593"/>
            <w:vAlign w:val="center"/>
          </w:tcPr>
          <w:p>
            <w:pPr>
              <w:spacing w:after="0" w:line="240" w:lineRule="auto"/>
              <w:jc w:val="center"/>
            </w:pPr>
            <w:r/>
            <w:r>
              <w:rPr>
                <w:rFonts w:ascii="Calibri" w:hAnsi="Calibri"/>
                <w:b w:val="0"/>
                <w:i w:val="0"/>
                <w:color w:val="000000"/>
                <w:sz w:val="11"/>
              </w:rPr>
              <w:t>1.9585</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45.50</w:t>
            </w:r>
          </w:p>
        </w:tc>
        <w:tc>
          <w:tcPr>
            <w:tcW w:type="dxa" w:w="2656"/>
            <w:vAlign w:val="center"/>
          </w:tcPr>
          <w:p>
            <w:pPr>
              <w:spacing w:after="0" w:line="240" w:lineRule="auto"/>
              <w:jc w:val="center"/>
            </w:pPr>
            <w:r/>
            <w:r>
              <w:rPr>
                <w:rFonts w:ascii="Calibri" w:hAnsi="Calibri"/>
                <w:b w:val="0"/>
                <w:i w:val="0"/>
                <w:color w:val="000000"/>
                <w:sz w:val="11"/>
              </w:rPr>
              <w:t>-11.27</w:t>
            </w:r>
          </w:p>
        </w:tc>
        <w:tc>
          <w:tcPr>
            <w:tcW w:type="dxa" w:w="1593"/>
            <w:vAlign w:val="center"/>
          </w:tcPr>
          <w:p>
            <w:pPr>
              <w:spacing w:after="0" w:line="240" w:lineRule="auto"/>
              <w:jc w:val="center"/>
            </w:pPr>
            <w:r/>
            <w:r>
              <w:rPr>
                <w:rFonts w:ascii="Calibri" w:hAnsi="Calibri"/>
                <w:b w:val="0"/>
                <w:i w:val="0"/>
                <w:color w:val="000000"/>
                <w:sz w:val="11"/>
              </w:rPr>
              <w:t>2.4026</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86.64</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3.2583</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51.91</w:t>
            </w:r>
          </w:p>
        </w:tc>
        <w:tc>
          <w:tcPr>
            <w:tcW w:type="dxa" w:w="2656"/>
            <w:vAlign w:val="center"/>
          </w:tcPr>
          <w:p>
            <w:pPr>
              <w:spacing w:after="0" w:line="240" w:lineRule="auto"/>
              <w:jc w:val="center"/>
            </w:pPr>
            <w:r/>
            <w:r>
              <w:rPr>
                <w:rFonts w:ascii="Calibri" w:hAnsi="Calibri"/>
                <w:b w:val="0"/>
                <w:i w:val="0"/>
                <w:color w:val="000000"/>
                <w:sz w:val="11"/>
              </w:rPr>
              <w:t>-8.41</w:t>
            </w:r>
          </w:p>
        </w:tc>
        <w:tc>
          <w:tcPr>
            <w:tcW w:type="dxa" w:w="1593"/>
            <w:vAlign w:val="center"/>
          </w:tcPr>
          <w:p>
            <w:pPr>
              <w:spacing w:after="0" w:line="240" w:lineRule="auto"/>
              <w:jc w:val="center"/>
            </w:pPr>
            <w:r/>
            <w:r>
              <w:rPr>
                <w:rFonts w:ascii="Calibri" w:hAnsi="Calibri"/>
                <w:b w:val="0"/>
                <w:i w:val="0"/>
                <w:color w:val="000000"/>
                <w:sz w:val="11"/>
              </w:rPr>
              <w:t>2.5524</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84.91</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3.2216</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49.59</w:t>
            </w:r>
          </w:p>
        </w:tc>
        <w:tc>
          <w:tcPr>
            <w:tcW w:type="dxa" w:w="2656"/>
            <w:vAlign w:val="center"/>
          </w:tcPr>
          <w:p>
            <w:pPr>
              <w:spacing w:after="0" w:line="240" w:lineRule="auto"/>
              <w:jc w:val="center"/>
            </w:pPr>
            <w:r/>
            <w:r>
              <w:rPr>
                <w:rFonts w:ascii="Calibri" w:hAnsi="Calibri"/>
                <w:b w:val="0"/>
                <w:i w:val="0"/>
                <w:color w:val="000000"/>
                <w:sz w:val="11"/>
              </w:rPr>
              <w:t>-8.69</w:t>
            </w:r>
          </w:p>
        </w:tc>
        <w:tc>
          <w:tcPr>
            <w:tcW w:type="dxa" w:w="1593"/>
            <w:vAlign w:val="center"/>
          </w:tcPr>
          <w:p>
            <w:pPr>
              <w:spacing w:after="0" w:line="240" w:lineRule="auto"/>
              <w:jc w:val="center"/>
            </w:pPr>
            <w:r/>
            <w:r>
              <w:rPr>
                <w:rFonts w:ascii="Calibri" w:hAnsi="Calibri"/>
                <w:b w:val="0"/>
                <w:i w:val="0"/>
                <w:color w:val="000000"/>
                <w:sz w:val="11"/>
              </w:rPr>
              <w:t>2.4465</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74.35</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2.3810</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17.09</w:t>
            </w:r>
          </w:p>
        </w:tc>
        <w:tc>
          <w:tcPr>
            <w:tcW w:type="dxa" w:w="2656"/>
            <w:vAlign w:val="center"/>
          </w:tcPr>
          <w:p>
            <w:pPr>
              <w:spacing w:after="0" w:line="240" w:lineRule="auto"/>
              <w:jc w:val="center"/>
            </w:pPr>
            <w:r/>
            <w:r>
              <w:rPr>
                <w:rFonts w:ascii="Calibri" w:hAnsi="Calibri"/>
                <w:b w:val="0"/>
                <w:i w:val="0"/>
                <w:color w:val="000000"/>
                <w:sz w:val="11"/>
              </w:rPr>
              <w:t>-15.92</w:t>
            </w:r>
          </w:p>
        </w:tc>
        <w:tc>
          <w:tcPr>
            <w:tcW w:type="dxa" w:w="1593"/>
            <w:vAlign w:val="center"/>
          </w:tcPr>
          <w:p>
            <w:pPr>
              <w:spacing w:after="0" w:line="240" w:lineRule="auto"/>
              <w:jc w:val="center"/>
            </w:pPr>
            <w:r/>
            <w:r>
              <w:rPr>
                <w:rFonts w:ascii="Calibri" w:hAnsi="Calibri"/>
                <w:b w:val="0"/>
                <w:i w:val="0"/>
                <w:color w:val="000000"/>
                <w:sz w:val="11"/>
              </w:rPr>
              <w:t>1.0037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71.78</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2.3151</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15.87</w:t>
            </w:r>
          </w:p>
        </w:tc>
        <w:tc>
          <w:tcPr>
            <w:tcW w:type="dxa" w:w="2656"/>
            <w:vAlign w:val="center"/>
          </w:tcPr>
          <w:p>
            <w:pPr>
              <w:spacing w:after="0" w:line="240" w:lineRule="auto"/>
              <w:jc w:val="center"/>
            </w:pPr>
            <w:r/>
            <w:r>
              <w:rPr>
                <w:rFonts w:ascii="Calibri" w:hAnsi="Calibri"/>
                <w:b w:val="0"/>
                <w:i w:val="0"/>
                <w:color w:val="000000"/>
                <w:sz w:val="11"/>
              </w:rPr>
              <w:t>-16.00</w:t>
            </w:r>
          </w:p>
        </w:tc>
        <w:tc>
          <w:tcPr>
            <w:tcW w:type="dxa" w:w="1593"/>
            <w:vAlign w:val="center"/>
          </w:tcPr>
          <w:p>
            <w:pPr>
              <w:spacing w:after="0" w:line="240" w:lineRule="auto"/>
              <w:jc w:val="center"/>
            </w:pPr>
            <w:r/>
            <w:r>
              <w:rPr>
                <w:rFonts w:ascii="Calibri" w:hAnsi="Calibri"/>
                <w:b w:val="0"/>
                <w:i w:val="0"/>
                <w:color w:val="000000"/>
                <w:sz w:val="11"/>
              </w:rPr>
              <w:t>0.9425</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140.37</w:t>
            </w:r>
          </w:p>
        </w:tc>
        <w:tc>
          <w:tcPr>
            <w:tcW w:type="dxa" w:w="2656"/>
            <w:vAlign w:val="center"/>
          </w:tcPr>
          <w:p>
            <w:pPr>
              <w:spacing w:after="0" w:line="240" w:lineRule="auto"/>
              <w:jc w:val="center"/>
            </w:pPr>
            <w:r/>
            <w:r>
              <w:rPr>
                <w:rFonts w:ascii="Calibri" w:hAnsi="Calibri"/>
                <w:b w:val="0"/>
                <w:i w:val="0"/>
                <w:color w:val="000000"/>
                <w:sz w:val="11"/>
              </w:rPr>
              <w:t>-13.62</w:t>
            </w:r>
          </w:p>
        </w:tc>
        <w:tc>
          <w:tcPr>
            <w:tcW w:type="dxa" w:w="1593"/>
            <w:vAlign w:val="center"/>
          </w:tcPr>
          <w:p>
            <w:pPr>
              <w:spacing w:after="0" w:line="240" w:lineRule="auto"/>
              <w:jc w:val="center"/>
            </w:pPr>
            <w:r/>
            <w:r>
              <w:rPr>
                <w:rFonts w:ascii="Calibri" w:hAnsi="Calibri"/>
                <w:b w:val="0"/>
                <w:i w:val="0"/>
                <w:color w:val="000000"/>
                <w:sz w:val="11"/>
              </w:rPr>
              <w:t>4.0987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58.89</w:t>
            </w:r>
          </w:p>
        </w:tc>
        <w:tc>
          <w:tcPr>
            <w:tcW w:type="dxa" w:w="2656"/>
            <w:vAlign w:val="center"/>
          </w:tcPr>
          <w:p>
            <w:pPr>
              <w:spacing w:after="0" w:line="240" w:lineRule="auto"/>
              <w:jc w:val="center"/>
            </w:pPr>
            <w:r/>
            <w:r>
              <w:rPr>
                <w:rFonts w:ascii="Calibri" w:hAnsi="Calibri"/>
                <w:b w:val="0"/>
                <w:i w:val="0"/>
                <w:color w:val="000000"/>
                <w:sz w:val="11"/>
              </w:rPr>
              <w:t>-0.46</w:t>
            </w:r>
          </w:p>
        </w:tc>
        <w:tc>
          <w:tcPr>
            <w:tcW w:type="dxa" w:w="1593"/>
            <w:vAlign w:val="center"/>
          </w:tcPr>
          <w:p>
            <w:pPr>
              <w:spacing w:after="0" w:line="240" w:lineRule="auto"/>
              <w:jc w:val="center"/>
            </w:pPr>
            <w:r/>
            <w:r>
              <w:rPr>
                <w:rFonts w:ascii="Calibri" w:hAnsi="Calibri"/>
                <w:b w:val="0"/>
                <w:i w:val="0"/>
                <w:color w:val="000000"/>
                <w:sz w:val="11"/>
              </w:rPr>
              <w:t>4.4424</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135.82</w:t>
            </w:r>
          </w:p>
        </w:tc>
        <w:tc>
          <w:tcPr>
            <w:tcW w:type="dxa" w:w="2656"/>
            <w:vAlign w:val="center"/>
          </w:tcPr>
          <w:p>
            <w:pPr>
              <w:spacing w:after="0" w:line="240" w:lineRule="auto"/>
              <w:jc w:val="center"/>
            </w:pPr>
            <w:r/>
            <w:r>
              <w:rPr>
                <w:rFonts w:ascii="Calibri" w:hAnsi="Calibri"/>
                <w:b w:val="0"/>
                <w:i w:val="0"/>
                <w:color w:val="000000"/>
                <w:sz w:val="11"/>
              </w:rPr>
              <w:t>-13.80</w:t>
            </w:r>
          </w:p>
        </w:tc>
        <w:tc>
          <w:tcPr>
            <w:tcW w:type="dxa" w:w="1593"/>
            <w:vAlign w:val="center"/>
          </w:tcPr>
          <w:p>
            <w:pPr>
              <w:spacing w:after="0" w:line="240" w:lineRule="auto"/>
              <w:jc w:val="center"/>
            </w:pPr>
            <w:r/>
            <w:r>
              <w:rPr>
                <w:rFonts w:ascii="Calibri" w:hAnsi="Calibri"/>
                <w:b w:val="0"/>
                <w:i w:val="0"/>
                <w:color w:val="000000"/>
                <w:sz w:val="11"/>
              </w:rPr>
              <w:t>4.0019</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57.66</w:t>
            </w:r>
          </w:p>
        </w:tc>
        <w:tc>
          <w:tcPr>
            <w:tcW w:type="dxa" w:w="2656"/>
            <w:vAlign w:val="center"/>
          </w:tcPr>
          <w:p>
            <w:pPr>
              <w:spacing w:after="0" w:line="240" w:lineRule="auto"/>
              <w:jc w:val="center"/>
            </w:pPr>
            <w:r/>
            <w:r>
              <w:rPr>
                <w:rFonts w:ascii="Calibri" w:hAnsi="Calibri"/>
                <w:b w:val="0"/>
                <w:i w:val="0"/>
                <w:color w:val="000000"/>
                <w:sz w:val="11"/>
              </w:rPr>
              <w:t>-0.52</w:t>
            </w:r>
          </w:p>
        </w:tc>
        <w:tc>
          <w:tcPr>
            <w:tcW w:type="dxa" w:w="1593"/>
            <w:vAlign w:val="center"/>
          </w:tcPr>
          <w:p>
            <w:pPr>
              <w:spacing w:after="0" w:line="240" w:lineRule="auto"/>
              <w:jc w:val="center"/>
            </w:pPr>
            <w:r/>
            <w:r>
              <w:rPr>
                <w:rFonts w:ascii="Calibri" w:hAnsi="Calibri"/>
                <w:b w:val="0"/>
                <w:i w:val="0"/>
                <w:color w:val="000000"/>
                <w:sz w:val="11"/>
              </w:rPr>
              <w:t>4.3905</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bl>
    <w:p>
      <w:pPr>
        <w:spacing w:after="60"/>
      </w:pPr>
    </w:p>
    <w:p>
      <w:pPr>
        <w:pStyle w:val="Heading3"/>
      </w:pPr>
      <w:r>
        <w:t>Interpretation of Table 12</w:t>
      </w:r>
    </w:p>
    <w:p>
      <w:pPr>
        <w:spacing w:after="160" w:line="320" w:lineRule="auto"/>
        <w:jc w:val="both"/>
      </w:pPr>
      <w:r>
        <w:rPr>
          <w:rFonts w:ascii="Calibri" w:hAnsi="Calibri"/>
          <w:b/>
          <w:i w:val="0"/>
          <w:color w:val="000000"/>
          <w:sz w:val="22"/>
        </w:rPr>
        <w:t>Single-model leader:</w:t>
      </w:r>
      <w:r>
        <w:rPr>
          <w:rFonts w:ascii="Calibri" w:hAnsi="Calibri"/>
          <w:b w:val="0"/>
          <w:i w:val="0"/>
          <w:color w:val="000000"/>
          <w:sz w:val="22"/>
        </w:rPr>
        <w:t xml:space="preserve"> ARIMA produces the highest unfiltered single-model results: Scheme 1 returns 173.96% with Sharpe 5.0752, while cost-adjusted Scheme 2 returns 162.16% with Sharpe 4.8419. This trading ranking is consistent with ARIMA's strong level-error performance in Table 7.</w:t>
      </w:r>
    </w:p>
    <w:p>
      <w:pPr>
        <w:spacing w:after="160" w:line="320" w:lineRule="auto"/>
        <w:jc w:val="both"/>
      </w:pPr>
      <w:r>
        <w:rPr>
          <w:rFonts w:ascii="Calibri" w:hAnsi="Calibri"/>
          <w:b/>
          <w:i w:val="0"/>
          <w:color w:val="000000"/>
          <w:sz w:val="22"/>
        </w:rPr>
        <w:t>Risk-return trade-off:</w:t>
      </w:r>
      <w:r>
        <w:rPr>
          <w:rFonts w:ascii="Calibri" w:hAnsi="Calibri"/>
          <w:b w:val="0"/>
          <w:i w:val="0"/>
          <w:color w:val="000000"/>
          <w:sz w:val="22"/>
        </w:rPr>
        <w:t xml:space="preserve"> SVR's optimized schemes sharply reduce average maximum drawdown—from -13.62% in Scheme 1 to -0.46% in Scheme 1'—and raise Sharpe from 4.0987 to 4.4424, but cumulative return falls from 140.37% to 58.89%. The filter therefore changes the exposure profile rather than providing a free performance improvement.</w:t>
      </w:r>
    </w:p>
    <w:p>
      <w:pPr>
        <w:spacing w:after="160" w:line="320" w:lineRule="auto"/>
        <w:jc w:val="both"/>
      </w:pPr>
      <w:r>
        <w:rPr>
          <w:rFonts w:ascii="Calibri" w:hAnsi="Calibri"/>
          <w:b/>
          <w:i w:val="0"/>
          <w:color w:val="000000"/>
          <w:sz w:val="22"/>
        </w:rPr>
        <w:t>Comparison with Table 11:</w:t>
      </w:r>
      <w:r>
        <w:rPr>
          <w:rFonts w:ascii="Calibri" w:hAnsi="Calibri"/>
          <w:b w:val="0"/>
          <w:i w:val="0"/>
          <w:color w:val="000000"/>
          <w:sz w:val="22"/>
        </w:rPr>
        <w:t xml:space="preserve"> The best decomposition strategies exceed the best single-model strategies on average, but the difference cannot be separated from the noncausal decomposition and filtering choices. Table 12 is a within-protocol benchmark, not evidence that a trader could have earned the reported returns in real time.</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Intervals illustrate the uncertainty surrounding point paths, but the static residual calibration and noncausal forecast construction preclude operational coverage claims. Trading results can appear economically large because the observed-test filtering path responds to information inside the test set. They quantify the proposed method inside the declared retrospective experiment and must not be read as investable performance estimates.</w:t>
      </w:r>
    </w:p>
    <w:p>
      <w:pPr>
        <w:pStyle w:val="Heading1"/>
      </w:pPr>
      <w:r>
        <w:t>8. Discussion</w:t>
      </w:r>
    </w:p>
    <w:p>
      <w:pPr>
        <w:spacing w:after="160" w:line="320" w:lineRule="auto"/>
        <w:jc w:val="both"/>
      </w:pPr>
      <w:r>
        <w:rPr>
          <w:rFonts w:ascii="Calibri" w:hAnsi="Calibri"/>
          <w:b w:val="0"/>
          <w:i w:val="0"/>
          <w:color w:val="000000"/>
          <w:sz w:val="22"/>
        </w:rPr>
        <w:t>The lithium application supports the central modelling intuition that decomposition can improve difficult price forecasts, but it qualifies the stronger claim that one hybrid is always best. Low-frequency modes are handled effectively by ARIMA in hydroxide, while CEEMDAN-LSTM tracks carbonate well. This heterogeneity suggests that routing and decomposition family should be justified by development-only evidence rather than fixed universally.</w:t>
      </w:r>
    </w:p>
    <w:p>
      <w:pPr>
        <w:spacing w:after="160" w:line="320" w:lineRule="auto"/>
        <w:jc w:val="both"/>
      </w:pPr>
      <w:r>
        <w:rPr>
          <w:rFonts w:ascii="Calibri" w:hAnsi="Calibri"/>
          <w:b w:val="0"/>
          <w:i w:val="0"/>
          <w:color w:val="000000"/>
          <w:sz w:val="22"/>
        </w:rPr>
        <w:t>The multimodal blocks have coherent economic roles. Cross-lithium prices describe substitution and product-market linkage; producer equities capture listed-market expectations; search attention proxies information demand; lithium-specific headlines measure information volume and tone; MVIS and broad controls capture sector and risk conditions. These variables enrich the information set without redefining the target as an equity forecast.</w:t>
      </w:r>
    </w:p>
    <w:p>
      <w:pPr>
        <w:pStyle w:val="Heading2"/>
      </w:pPr>
      <w:r>
        <w:t>8.1 Research-integrity limitation</w:t>
      </w:r>
    </w:p>
    <w:p>
      <w:pPr>
        <w:spacing w:after="160" w:line="320" w:lineRule="auto"/>
        <w:jc w:val="both"/>
      </w:pPr>
      <w:r>
        <w:rPr>
          <w:rFonts w:ascii="Calibri" w:hAnsi="Calibri"/>
          <w:b w:val="0"/>
          <w:i w:val="0"/>
          <w:color w:val="000000"/>
          <w:sz w:val="22"/>
        </w:rPr>
        <w:t>The defining limitation is evaluation timing. Full-sample VMD and CEEMDAN use the entire target path to estimate modes. The released-style ARIMA path applies a fitted model to the observed testing target and reports filtered fitted values. Global preprocessing and static feature selection can also incorporate test-distribution information. Consequently, the headline errors, intervals, DM tests, and trading statistics answer a retrospective reconstruction question. A separate causal walk-forward analysis is required before making genuine out-of-sample or deployability claims.</w:t>
      </w:r>
    </w:p>
    <w:p>
      <w:pPr>
        <w:spacing w:after="160" w:line="320" w:lineRule="auto"/>
        <w:jc w:val="both"/>
      </w:pPr>
      <w:r>
        <w:rPr>
          <w:rFonts w:ascii="Calibri" w:hAnsi="Calibri"/>
          <w:b w:val="0"/>
          <w:i w:val="0"/>
          <w:color w:val="000000"/>
          <w:sz w:val="22"/>
        </w:rPr>
        <w:t>Additional limitations include a short post-2023 common sample, differing price units and market microstructure, potential continuation-series roll effects, daily aggregation of sparse news, Google Trends normalization, and the absence of inventories, physical premia, freight, conversion margins, and contract-level liquidity. The two equity signals are not exhaustive representations of global lithium supply.</w:t>
      </w:r>
    </w:p>
    <w:p>
      <w:pPr>
        <w:pStyle w:val="Heading1"/>
      </w:pPr>
      <w:r>
        <w:t>9. Conclusion</w:t>
      </w:r>
    </w:p>
    <w:p>
      <w:pPr>
        <w:spacing w:after="160" w:line="320" w:lineRule="auto"/>
        <w:jc w:val="both"/>
      </w:pPr>
      <w:r>
        <w:rPr>
          <w:rFonts w:ascii="Calibri" w:hAnsi="Calibri"/>
          <w:b w:val="0"/>
          <w:i w:val="0"/>
          <w:color w:val="000000"/>
          <w:sz w:val="22"/>
        </w:rPr>
        <w:t>This study develops an end-to-end multimodal lithium-price forecasting method and evaluates it through twelve complementary tables and thirteen figures. It constructs a lithium-specific database, evaluates two price targets, compares single and decomposition models, tests predictive-loss differences, reports intervals, and translates forecasts into four trading schemes. The proposed hybrid is competitive and improves on the best single model for hydroxide, but decomposition alternatives lead on overall RMSE for both targets. The most defensible conclusion is therefore conditional: multimodal decomposition is useful in this sample, while architecture superiority and economic performance depend on the target and evaluation protocol.</w:t>
      </w:r>
    </w:p>
    <w:p>
      <w:pPr>
        <w:pStyle w:val="Heading1"/>
      </w:pPr>
      <w:r>
        <w:t>References</w:t>
      </w:r>
    </w:p>
    <w:p>
      <w:pPr>
        <w:spacing w:after="80"/>
        <w:ind w:left="360" w:hanging="360"/>
      </w:pPr>
      <w:r>
        <w:rPr>
          <w:rFonts w:ascii="Calibri" w:hAnsi="Calibri"/>
          <w:b w:val="0"/>
          <w:i w:val="0"/>
          <w:color w:val="000000"/>
          <w:sz w:val="19"/>
        </w:rPr>
        <w:t>Diebold, F. X., &amp; Mariano, R. S. (1995). Comparing predictive accuracy. Journal of Business &amp; Economic Statistics, 13(3), 253–263.</w:t>
      </w:r>
    </w:p>
    <w:p>
      <w:pPr>
        <w:spacing w:after="80"/>
        <w:ind w:left="360" w:hanging="360"/>
      </w:pPr>
      <w:r>
        <w:rPr>
          <w:rFonts w:ascii="Calibri" w:hAnsi="Calibri"/>
          <w:b w:val="0"/>
          <w:i w:val="0"/>
          <w:color w:val="000000"/>
          <w:sz w:val="19"/>
        </w:rPr>
        <w:t>Dragomiretskiy, K., &amp; Zosso, D. (2014). Variational mode decomposition. IEEE Transactions on Signal Processing, 62(3), 531–544.</w:t>
      </w:r>
    </w:p>
    <w:p>
      <w:pPr>
        <w:spacing w:after="80"/>
        <w:ind w:left="360" w:hanging="360"/>
      </w:pPr>
      <w:r>
        <w:rPr>
          <w:rFonts w:ascii="Calibri" w:hAnsi="Calibri"/>
          <w:b w:val="0"/>
          <w:i w:val="0"/>
          <w:color w:val="000000"/>
          <w:sz w:val="19"/>
        </w:rPr>
        <w:t>Hochreiter, S., &amp; Schmidhuber, J. (1997). Long short-term memory. Neural Computation, 9(8), 1735–1780.</w:t>
      </w:r>
    </w:p>
    <w:p>
      <w:pPr>
        <w:spacing w:after="80"/>
        <w:ind w:left="360" w:hanging="360"/>
      </w:pPr>
      <w:r>
        <w:rPr>
          <w:rFonts w:ascii="Calibri" w:hAnsi="Calibri"/>
          <w:b w:val="0"/>
          <w:i w:val="0"/>
          <w:color w:val="000000"/>
          <w:sz w:val="19"/>
        </w:rPr>
        <w:t>Box, G. E. P., Jenkins, G. M., Reinsel, G. C., &amp; Ljung, G. M. (2015). Time Series Analysis: Forecasting and Control (5th ed.). Wiley.</w:t>
      </w:r>
    </w:p>
    <w:p>
      <w:pPr>
        <w:spacing w:after="80"/>
        <w:ind w:left="360" w:hanging="360"/>
      </w:pPr>
      <w:r>
        <w:rPr>
          <w:rFonts w:ascii="Calibri" w:hAnsi="Calibri"/>
          <w:b w:val="0"/>
          <w:i w:val="0"/>
          <w:color w:val="000000"/>
          <w:sz w:val="19"/>
        </w:rPr>
        <w:t>Tibshirani, R. (1996). Regression shrinkage and selection via the lasso. Journal of the Royal Statistical Society: Series B, 58(1), 267–288.</w:t>
      </w:r>
    </w:p>
    <w:p>
      <w:pPr>
        <w:spacing w:after="80"/>
        <w:ind w:left="360" w:hanging="360"/>
      </w:pPr>
      <w:r>
        <w:rPr>
          <w:rFonts w:ascii="Calibri" w:hAnsi="Calibri"/>
          <w:b w:val="0"/>
          <w:i w:val="0"/>
          <w:color w:val="000000"/>
          <w:sz w:val="19"/>
        </w:rPr>
        <w:t>Torres, M. E., Colominas, M. A., Schlotthauer, G., &amp; Flandrin, P. (2011). A complete ensemble empirical mode decomposition with adaptive noise. Proceedings of ICASSP, 4144–4147.</w:t>
      </w:r>
    </w:p>
    <w:p>
      <w:pPr>
        <w:spacing w:after="80"/>
        <w:ind w:left="360" w:hanging="360"/>
      </w:pPr>
      <w:r>
        <w:rPr>
          <w:rFonts w:ascii="Calibri" w:hAnsi="Calibri"/>
          <w:b w:val="0"/>
          <w:i w:val="0"/>
          <w:color w:val="000000"/>
          <w:sz w:val="19"/>
        </w:rPr>
        <w:t>Data sources: project-supplied COMEX and SMM workbooks; Yahoo Finance market and equity histories; Google Trends; MediaCloud; and MVIS. Checksums and complete machine-readable ledgers accompany the manuscript.</w:t>
      </w:r>
    </w:p>
    <w:p>
      <w:pPr>
        <w:pStyle w:val="Heading1"/>
      </w:pPr>
      <w:r>
        <w:t>Appendix: reproducibility and robustness</w:t>
      </w:r>
    </w:p>
    <w:p>
      <w:pPr>
        <w:spacing w:after="160" w:line="320" w:lineRule="auto"/>
        <w:jc w:val="both"/>
      </w:pPr>
      <w:r>
        <w:rPr>
          <w:rFonts w:ascii="Calibri" w:hAnsi="Calibri"/>
          <w:b w:val="0"/>
          <w:i w:val="0"/>
          <w:color w:val="000000"/>
          <w:sz w:val="22"/>
        </w:rPr>
        <w:t>The companion appendix_ledgers directory contains every publication-facing forecast, metric, DM comparison, interval observation, interval metric, trading result, mode-level selection, and component summary. The asset manifest records the empirical run identifier, protocol classification, captions, and SHA-256 checksums. The exported ledgers use the same seven single-model and five decomposition-model comparison set reported in the manuscript.</w:t>
      </w:r>
    </w:p>
    <w:sectPr w:rsidR="00FC693F" w:rsidRPr="0006063C" w:rsidSect="00034616">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55555"/>
        <w:sz w:val="17"/>
      </w:rPr>
      <w:t xml:space="preserve">Static retrospective evaluation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555555"/>
        <w:sz w:val="17"/>
      </w:rPr>
      <w:t>Multimodal Lithium-Price Forecasting | Proposed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