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1F4D78"/>
          <w:sz w:val="22"/>
        </w:rPr>
        <w:t>RESEARCH MANUSCRIPT</w:t>
      </w:r>
    </w:p>
    <w:p>
      <w:pPr>
        <w:spacing w:before="240" w:after="240"/>
        <w:jc w:val="center"/>
      </w:pPr>
      <w:r>
        <w:rPr>
          <w:rFonts w:ascii="Calibri" w:hAnsi="Calibri"/>
          <w:b/>
          <w:i w:val="0"/>
          <w:color w:val="0B2545"/>
          <w:sz w:val="50"/>
        </w:rPr>
        <w:t>From Multimodal Signals to Lithium-Price Forecasting and Trading</w:t>
      </w:r>
    </w:p>
    <w:p>
      <w:pPr>
        <w:spacing w:after="480"/>
        <w:jc w:val="center"/>
      </w:pPr>
      <w:r>
        <w:rPr>
          <w:rFonts w:ascii="Calibri" w:hAnsi="Calibri"/>
          <w:b w:val="0"/>
          <w:i/>
          <w:color w:val="555555"/>
          <w:sz w:val="26"/>
        </w:rPr>
        <w:t>A proposed hybrid framework for lithium hydroxide and lithium carbonate</w:t>
      </w:r>
    </w:p>
    <w:p>
      <w:pPr>
        <w:jc w:val="center"/>
      </w:pPr>
      <w:r>
        <w:rPr>
          <w:rFonts w:ascii="Calibri" w:hAnsi="Calibri"/>
          <w:b w:val="0"/>
          <w:i w:val="0"/>
          <w:color w:val="555555"/>
          <w:sz w:val="20"/>
        </w:rPr>
        <w:t>Pratham Lahoti</w:t>
        <w:br/>
        <w:t>Empirical run: lithium_paper_20260817T102754Z</w:t>
        <w:br/>
        <w:t>Prepared: 2026-08-17</w:t>
      </w:r>
    </w:p>
    <w:p>
      <w:pPr>
        <w:spacing w:before="600"/>
        <w:jc w:val="center"/>
      </w:pPr>
      <w:r>
        <w:rPr>
          <w:rFonts w:ascii="Calibri" w:hAnsi="Calibri"/>
          <w:b w:val="0"/>
          <w:i/>
          <w:color w:val="9B1C1C"/>
          <w:sz w:val="19"/>
        </w:rPr>
        <w:t>Protocol disclosure: the proposed method is evaluated with static full-sample decomposition and observed-test filtering. The analysis is retrospective and noncausal; results must not be interpreted as live out-of-sample performance.</w:t>
      </w:r>
    </w:p>
    <w:p>
      <w:r>
        <w:br w:type="page"/>
      </w:r>
    </w:p>
    <w:p>
      <w:pPr>
        <w:pStyle w:val="Heading1"/>
      </w:pPr>
      <w:r>
        <w:t>Abstract</w:t>
      </w:r>
    </w:p>
    <w:p>
      <w:pPr>
        <w:spacing w:after="160" w:line="320" w:lineRule="auto"/>
        <w:jc w:val="both"/>
      </w:pPr>
      <w:r>
        <w:rPr>
          <w:rFonts w:ascii="Calibri" w:hAnsi="Calibri"/>
          <w:b w:val="0"/>
          <w:i w:val="0"/>
          <w:color w:val="000000"/>
          <w:sz w:val="22"/>
        </w:rPr>
        <w:t>This study develops an integrated multimodal decomposition-and-trading framework for COMEX lithium hydroxide CIF CJK futures and SMM battery-grade lithium carbonate spot prices. Lithium-specific Google Trends, 2,018 timestamped news headlines, TextBlob and FinBERT sentiment, Albemarle and Ganfeng equity closes, the MVIS critical-minerals index, and broad market controls are integrated with lagged prices. Seven single forecasters and five decomposition models are compared on chronological 80:20 testing sets. The proposed VMD-LASSO-ARIMA/LSTM model records hydroxide RMSE 0.5360, below the best single-model RMSE, but CEEMDAN-ARIMA is lower at 0.4467. For carbonate, the proposed RMSE is 3672.30, while CEEMDAN-LSTM leads at 3,385.67. The evidence therefore rejects universal model superiority and instead identifies target- and metric-dependent gains from decomposition. The uncertainty gate is defined as abstention unless the absolute forecasted price change exceeds the calibrated 90% residual half-width. Gating lowers return and Sharpe for both targets; it slightly improves carbonate drawdown but worsens hydroxide drawdown. Benchmark-relative and factor-adjusted trading statistics are reported as descriptive retrospective quantities. Because full-sample decomposition and observed-test ARIMA filtering use test-period information, none of the reported results constitute a live out-of-sample backtest.</w:t>
      </w:r>
    </w:p>
    <w:p>
      <w:pPr>
        <w:spacing w:after="160" w:line="320" w:lineRule="auto"/>
        <w:jc w:val="both"/>
      </w:pPr>
      <w:r>
        <w:rPr>
          <w:rFonts w:ascii="Calibri" w:hAnsi="Calibri"/>
          <w:b/>
          <w:i w:val="0"/>
          <w:color w:val="000000"/>
          <w:sz w:val="22"/>
        </w:rPr>
        <w:t>Keywords:</w:t>
      </w:r>
      <w:r>
        <w:rPr>
          <w:rFonts w:ascii="Calibri" w:hAnsi="Calibri"/>
          <w:b w:val="0"/>
          <w:i w:val="0"/>
          <w:color w:val="000000"/>
          <w:sz w:val="22"/>
        </w:rPr>
        <w:t xml:space="preserve"> lithium price; multimodal data; variational mode decomposition; LASSO; ARIMA; LSTM; sentiment; interval forecasting; trading.</w:t>
      </w:r>
    </w:p>
    <w:p>
      <w:pPr>
        <w:pStyle w:val="Heading1"/>
      </w:pPr>
      <w:r>
        <w:t>1. Introduction</w:t>
      </w:r>
    </w:p>
    <w:p>
      <w:pPr>
        <w:spacing w:after="160" w:line="320" w:lineRule="auto"/>
        <w:jc w:val="both"/>
      </w:pPr>
      <w:r>
        <w:rPr>
          <w:rFonts w:ascii="Calibri" w:hAnsi="Calibri"/>
          <w:b w:val="0"/>
          <w:i w:val="0"/>
          <w:color w:val="000000"/>
          <w:sz w:val="22"/>
        </w:rPr>
        <w:t>Lithium prices transmit information about electric-vehicle demand, battery manufacturing, mine supply, conversion capacity, inventories, policy, and investor expectations. Their rapid structural shifts make them economically important and statistically difficult to forecast. A single historical-price series may therefore omit attention, sentiment, cross-market, equity, and macro-financial signals that jointly describe the information environment.</w:t>
      </w:r>
    </w:p>
    <w:p>
      <w:pPr>
        <w:spacing w:after="160" w:line="320" w:lineRule="auto"/>
        <w:jc w:val="both"/>
      </w:pPr>
      <w:r>
        <w:rPr>
          <w:rFonts w:ascii="Calibri" w:hAnsi="Calibri"/>
          <w:b w:val="0"/>
          <w:i w:val="0"/>
          <w:color w:val="000000"/>
          <w:sz w:val="22"/>
        </w:rPr>
        <w:t>The central finance problem is not merely whether a layered learner can reduce statistical loss. It is whether information from the physical lithium market, listed producers, investor attention, news tone, the critical-minerals sector, and broad risk conditions is reflected differently across smooth and irregular price components, and whether any apparent predictability survives economically meaningful comparisons. The paper therefore separates three claims: point-forecast accuracy, uncertainty calibration, and trading performance. Success on one dimension is not treated as proof on the others.</w:t>
      </w:r>
    </w:p>
    <w:p>
      <w:pPr>
        <w:pStyle w:val="Heading2"/>
      </w:pPr>
      <w:r>
        <w:t>1.1 Research questions and finance contribution</w:t>
      </w:r>
    </w:p>
    <w:p>
      <w:pPr>
        <w:spacing w:after="160" w:line="320" w:lineRule="auto"/>
        <w:jc w:val="both"/>
      </w:pPr>
      <w:r>
        <w:rPr>
          <w:rFonts w:ascii="Calibri" w:hAnsi="Calibri"/>
          <w:b w:val="0"/>
          <w:i w:val="0"/>
          <w:color w:val="000000"/>
          <w:sz w:val="22"/>
        </w:rPr>
        <w:t>The first research question asks whether decomposition improves lithium-price forecasts relative to undecomposed statistical and machine-learning models. The second asks whether a fixed VMD-ARIMA/LSTM routing dominates alternative VMD and CEEMDAN combinations. The third asks whether an uncertainty-based abstention rule improves the return-drawdown trade-off after transaction costs. The fourth asks how large simulated returns compare with passive exposure and with descriptive factor-adjusted returns.</w:t>
      </w:r>
    </w:p>
    <w:p>
      <w:pPr>
        <w:spacing w:after="160" w:line="320" w:lineRule="auto"/>
        <w:jc w:val="both"/>
      </w:pPr>
      <w:r>
        <w:rPr>
          <w:rFonts w:ascii="Calibri" w:hAnsi="Calibri"/>
          <w:b w:val="0"/>
          <w:i w:val="0"/>
          <w:color w:val="000000"/>
          <w:sz w:val="22"/>
        </w:rPr>
        <w:t>The contribution is fourfold. First, the study shifts the forecast target from heterogeneous mining equities to two directly quoted lithium prices, allowing the analysis to speak to commodity price discovery. Second, it organizes cross-lithium prices, producer equities, search attention, lithium-specific news sentiment, sector conditions, and macro-financial controls into an auditable information architecture. Third, it compares decomposition families and component forecasters rather than presuming that one hybrid must dominate. Fourth, it treats uncertainty gating and evaluation timing as model-risk questions: abstention can reduce exposure without improving Sharpe or drawdown, and retrospective reconstruction can generate attractive trading statistics that are not deployable alpha.</w:t>
      </w:r>
    </w:p>
    <w:p>
      <w:pPr>
        <w:spacing w:after="160" w:line="320" w:lineRule="auto"/>
        <w:jc w:val="both"/>
      </w:pPr>
      <w:r>
        <w:rPr>
          <w:rFonts w:ascii="Calibri" w:hAnsi="Calibri"/>
          <w:b w:val="0"/>
          <w:i w:val="0"/>
          <w:color w:val="000000"/>
          <w:sz w:val="22"/>
        </w:rPr>
        <w:t>Accordingly, the empirical contribution is conditional rather than promotional. The proposed hybrid is evaluated as one economically motivated architecture; the paper reports where it wins, where CEEMDAN alternatives win, and which claims remain unavailable without a causal walk-forward experiment.</w:t>
      </w:r>
    </w:p>
    <w:p>
      <w:pPr>
        <w:pStyle w:val="Heading1"/>
      </w:pPr>
      <w:r>
        <w:t>2. Literature review and positioning</w:t>
      </w:r>
    </w:p>
    <w:p>
      <w:pPr>
        <w:keepNext/>
        <w:spacing w:before="100" w:after="80"/>
      </w:pPr>
      <w:r>
        <w:rPr>
          <w:rFonts w:ascii="Calibri" w:hAnsi="Calibri"/>
          <w:b/>
          <w:i w:val="0"/>
          <w:color w:val="1F4D78"/>
          <w:sz w:val="18"/>
        </w:rPr>
        <w:t xml:space="preserve">Table 1. </w:t>
      </w:r>
      <w:r>
        <w:rPr>
          <w:rFonts w:ascii="Calibri" w:hAnsi="Calibri"/>
          <w:b w:val="0"/>
          <w:i/>
          <w:color w:val="000000"/>
          <w:sz w:val="18"/>
        </w:rPr>
        <w:t>Representative research works in lithium and energy-price forecasting.</w:t>
      </w:r>
    </w:p>
    <w:tbl>
      <w:tblPr>
        <w:tblStyle w:val="TableGrid"/>
        <w:tblW w:type="dxa" w:w="9360"/>
        <w:jc w:val="left"/>
        <w:tblLayout w:type="fixed"/>
        <w:tblLook w:firstColumn="1" w:firstRow="1" w:lastColumn="0" w:lastRow="0" w:noHBand="0" w:noVBand="1" w:val="04A0"/>
      </w:tblPr>
      <w:tblGrid>
        <w:gridCol w:w="2432"/>
        <w:gridCol w:w="2284"/>
        <w:gridCol w:w="2137"/>
        <w:gridCol w:w="2507"/>
      </w:tblGrid>
      <w:tr>
        <w:trPr>
          <w:tblHeader w:val="true"/>
        </w:trPr>
        <w:tc>
          <w:tcPr>
            <w:tcW w:type="dxa" w:w="2432"/>
            <w:shd w:fill="F4F6F9"/>
            <w:vAlign w:val="center"/>
          </w:tcPr>
          <w:p>
            <w:pPr>
              <w:jc w:val="center"/>
            </w:pPr>
            <w:r/>
            <w:r>
              <w:rPr>
                <w:rFonts w:ascii="Calibri" w:hAnsi="Calibri"/>
                <w:b/>
                <w:i w:val="0"/>
                <w:color w:val="0B2545"/>
                <w:sz w:val="13"/>
              </w:rPr>
              <w:t>Study</w:t>
            </w:r>
          </w:p>
        </w:tc>
        <w:tc>
          <w:tcPr>
            <w:tcW w:type="dxa" w:w="2284"/>
            <w:shd w:fill="F4F6F9"/>
            <w:vAlign w:val="center"/>
          </w:tcPr>
          <w:p>
            <w:pPr>
              <w:jc w:val="center"/>
            </w:pPr>
            <w:r/>
            <w:r>
              <w:rPr>
                <w:rFonts w:ascii="Calibri" w:hAnsi="Calibri"/>
                <w:b/>
                <w:i w:val="0"/>
                <w:color w:val="0B2545"/>
                <w:sz w:val="13"/>
              </w:rPr>
              <w:t>Research focus</w:t>
            </w:r>
          </w:p>
        </w:tc>
        <w:tc>
          <w:tcPr>
            <w:tcW w:type="dxa" w:w="2137"/>
            <w:shd w:fill="F4F6F9"/>
            <w:vAlign w:val="center"/>
          </w:tcPr>
          <w:p>
            <w:pPr>
              <w:jc w:val="center"/>
            </w:pPr>
            <w:r/>
            <w:r>
              <w:rPr>
                <w:rFonts w:ascii="Calibri" w:hAnsi="Calibri"/>
                <w:b/>
                <w:i w:val="0"/>
                <w:color w:val="0B2545"/>
                <w:sz w:val="13"/>
              </w:rPr>
              <w:t>Method</w:t>
            </w:r>
          </w:p>
        </w:tc>
        <w:tc>
          <w:tcPr>
            <w:tcW w:type="dxa" w:w="2507"/>
            <w:shd w:fill="F4F6F9"/>
            <w:vAlign w:val="center"/>
          </w:tcPr>
          <w:p>
            <w:pPr>
              <w:jc w:val="center"/>
            </w:pPr>
            <w:r/>
            <w:r>
              <w:rPr>
                <w:rFonts w:ascii="Calibri" w:hAnsi="Calibri"/>
                <w:b/>
                <w:i w:val="0"/>
                <w:color w:val="0B2545"/>
                <w:sz w:val="13"/>
              </w:rPr>
              <w:t>Role in this study</w:t>
            </w:r>
          </w:p>
        </w:tc>
      </w:tr>
      <w:tr>
        <w:tc>
          <w:tcPr>
            <w:tcW w:type="dxa" w:w="2432"/>
            <w:vAlign w:val="center"/>
          </w:tcPr>
          <w:p>
            <w:pPr>
              <w:spacing w:after="0" w:line="240" w:lineRule="auto"/>
              <w:jc w:val="left"/>
            </w:pPr>
            <w:r/>
            <w:r>
              <w:rPr>
                <w:rFonts w:ascii="Calibri" w:hAnsi="Calibri"/>
                <w:b w:val="0"/>
                <w:i w:val="0"/>
                <w:color w:val="000000"/>
                <w:sz w:val="13"/>
              </w:rPr>
              <w:t>Hochreiter and Schmidhuber (1997)</w:t>
            </w:r>
          </w:p>
        </w:tc>
        <w:tc>
          <w:tcPr>
            <w:tcW w:type="dxa" w:w="2284"/>
            <w:vAlign w:val="center"/>
          </w:tcPr>
          <w:p>
            <w:pPr>
              <w:spacing w:after="0" w:line="240" w:lineRule="auto"/>
              <w:jc w:val="center"/>
            </w:pPr>
            <w:r/>
            <w:r>
              <w:rPr>
                <w:rFonts w:ascii="Calibri" w:hAnsi="Calibri"/>
                <w:b w:val="0"/>
                <w:i w:val="0"/>
                <w:color w:val="000000"/>
                <w:sz w:val="13"/>
              </w:rPr>
              <w:t>Sequence learning</w:t>
            </w:r>
          </w:p>
        </w:tc>
        <w:tc>
          <w:tcPr>
            <w:tcW w:type="dxa" w:w="2137"/>
            <w:vAlign w:val="center"/>
          </w:tcPr>
          <w:p>
            <w:pPr>
              <w:spacing w:after="0" w:line="240" w:lineRule="auto"/>
              <w:jc w:val="center"/>
            </w:pPr>
            <w:r/>
            <w:r>
              <w:rPr>
                <w:rFonts w:ascii="Calibri" w:hAnsi="Calibri"/>
                <w:b w:val="0"/>
                <w:i w:val="0"/>
                <w:color w:val="000000"/>
                <w:sz w:val="13"/>
              </w:rPr>
              <w:t>LSTM</w:t>
            </w:r>
          </w:p>
        </w:tc>
        <w:tc>
          <w:tcPr>
            <w:tcW w:type="dxa" w:w="2507"/>
            <w:vAlign w:val="center"/>
          </w:tcPr>
          <w:p>
            <w:pPr>
              <w:spacing w:after="0" w:line="240" w:lineRule="auto"/>
              <w:jc w:val="center"/>
            </w:pPr>
            <w:r/>
            <w:r>
              <w:rPr>
                <w:rFonts w:ascii="Calibri" w:hAnsi="Calibri"/>
                <w:b w:val="0"/>
                <w:i w:val="0"/>
                <w:color w:val="000000"/>
                <w:sz w:val="13"/>
              </w:rPr>
              <w:t>Recurrent nonlinear forecasting</w:t>
            </w:r>
          </w:p>
        </w:tc>
      </w:tr>
      <w:tr>
        <w:tc>
          <w:tcPr>
            <w:tcW w:type="dxa" w:w="2432"/>
            <w:vAlign w:val="center"/>
          </w:tcPr>
          <w:p>
            <w:pPr>
              <w:spacing w:after="0" w:line="240" w:lineRule="auto"/>
              <w:jc w:val="left"/>
            </w:pPr>
            <w:r/>
            <w:r>
              <w:rPr>
                <w:rFonts w:ascii="Calibri" w:hAnsi="Calibri"/>
                <w:b w:val="0"/>
                <w:i w:val="0"/>
                <w:color w:val="000000"/>
                <w:sz w:val="13"/>
              </w:rPr>
              <w:t>Tibshirani (1996)</w:t>
            </w:r>
          </w:p>
        </w:tc>
        <w:tc>
          <w:tcPr>
            <w:tcW w:type="dxa" w:w="2284"/>
            <w:vAlign w:val="center"/>
          </w:tcPr>
          <w:p>
            <w:pPr>
              <w:spacing w:after="0" w:line="240" w:lineRule="auto"/>
              <w:jc w:val="center"/>
            </w:pPr>
            <w:r/>
            <w:r>
              <w:rPr>
                <w:rFonts w:ascii="Calibri" w:hAnsi="Calibri"/>
                <w:b w:val="0"/>
                <w:i w:val="0"/>
                <w:color w:val="000000"/>
                <w:sz w:val="13"/>
              </w:rPr>
              <w:t>Sparse regression</w:t>
            </w:r>
          </w:p>
        </w:tc>
        <w:tc>
          <w:tcPr>
            <w:tcW w:type="dxa" w:w="2137"/>
            <w:vAlign w:val="center"/>
          </w:tcPr>
          <w:p>
            <w:pPr>
              <w:spacing w:after="0" w:line="240" w:lineRule="auto"/>
              <w:jc w:val="center"/>
            </w:pPr>
            <w:r/>
            <w:r>
              <w:rPr>
                <w:rFonts w:ascii="Calibri" w:hAnsi="Calibri"/>
                <w:b w:val="0"/>
                <w:i w:val="0"/>
                <w:color w:val="000000"/>
                <w:sz w:val="13"/>
              </w:rPr>
              <w:t>LASSO</w:t>
            </w:r>
          </w:p>
        </w:tc>
        <w:tc>
          <w:tcPr>
            <w:tcW w:type="dxa" w:w="2507"/>
            <w:vAlign w:val="center"/>
          </w:tcPr>
          <w:p>
            <w:pPr>
              <w:spacing w:after="0" w:line="240" w:lineRule="auto"/>
              <w:jc w:val="center"/>
            </w:pPr>
            <w:r/>
            <w:r>
              <w:rPr>
                <w:rFonts w:ascii="Calibri" w:hAnsi="Calibri"/>
                <w:b w:val="0"/>
                <w:i w:val="0"/>
                <w:color w:val="000000"/>
                <w:sz w:val="13"/>
              </w:rPr>
              <w:t>Multimodal indicator selection</w:t>
            </w:r>
          </w:p>
        </w:tc>
      </w:tr>
      <w:tr>
        <w:tc>
          <w:tcPr>
            <w:tcW w:type="dxa" w:w="2432"/>
            <w:vAlign w:val="center"/>
          </w:tcPr>
          <w:p>
            <w:pPr>
              <w:spacing w:after="0" w:line="240" w:lineRule="auto"/>
              <w:jc w:val="left"/>
            </w:pPr>
            <w:r/>
            <w:r>
              <w:rPr>
                <w:rFonts w:ascii="Calibri" w:hAnsi="Calibri"/>
                <w:b w:val="0"/>
                <w:i w:val="0"/>
                <w:color w:val="000000"/>
                <w:sz w:val="13"/>
              </w:rPr>
              <w:t>Dragomiretskiy and Zosso (2014)</w:t>
            </w:r>
          </w:p>
        </w:tc>
        <w:tc>
          <w:tcPr>
            <w:tcW w:type="dxa" w:w="2284"/>
            <w:vAlign w:val="center"/>
          </w:tcPr>
          <w:p>
            <w:pPr>
              <w:spacing w:after="0" w:line="240" w:lineRule="auto"/>
              <w:jc w:val="center"/>
            </w:pPr>
            <w:r/>
            <w:r>
              <w:rPr>
                <w:rFonts w:ascii="Calibri" w:hAnsi="Calibri"/>
                <w:b w:val="0"/>
                <w:i w:val="0"/>
                <w:color w:val="000000"/>
                <w:sz w:val="13"/>
              </w:rPr>
              <w:t>Signal decomposition</w:t>
            </w:r>
          </w:p>
        </w:tc>
        <w:tc>
          <w:tcPr>
            <w:tcW w:type="dxa" w:w="2137"/>
            <w:vAlign w:val="center"/>
          </w:tcPr>
          <w:p>
            <w:pPr>
              <w:spacing w:after="0" w:line="240" w:lineRule="auto"/>
              <w:jc w:val="center"/>
            </w:pPr>
            <w:r/>
            <w:r>
              <w:rPr>
                <w:rFonts w:ascii="Calibri" w:hAnsi="Calibri"/>
                <w:b w:val="0"/>
                <w:i w:val="0"/>
                <w:color w:val="000000"/>
                <w:sz w:val="13"/>
              </w:rPr>
              <w:t>VMD</w:t>
            </w:r>
          </w:p>
        </w:tc>
        <w:tc>
          <w:tcPr>
            <w:tcW w:type="dxa" w:w="2507"/>
            <w:vAlign w:val="center"/>
          </w:tcPr>
          <w:p>
            <w:pPr>
              <w:spacing w:after="0" w:line="240" w:lineRule="auto"/>
              <w:jc w:val="center"/>
            </w:pPr>
            <w:r/>
            <w:r>
              <w:rPr>
                <w:rFonts w:ascii="Calibri" w:hAnsi="Calibri"/>
                <w:b w:val="0"/>
                <w:i w:val="0"/>
                <w:color w:val="000000"/>
                <w:sz w:val="13"/>
              </w:rPr>
              <w:t>Adaptive narrow-band modes</w:t>
            </w:r>
          </w:p>
        </w:tc>
      </w:tr>
      <w:tr>
        <w:tc>
          <w:tcPr>
            <w:tcW w:type="dxa" w:w="2432"/>
            <w:vAlign w:val="center"/>
          </w:tcPr>
          <w:p>
            <w:pPr>
              <w:spacing w:after="0" w:line="240" w:lineRule="auto"/>
              <w:jc w:val="left"/>
            </w:pPr>
            <w:r/>
            <w:r>
              <w:rPr>
                <w:rFonts w:ascii="Calibri" w:hAnsi="Calibri"/>
                <w:b w:val="0"/>
                <w:i w:val="0"/>
                <w:color w:val="000000"/>
                <w:sz w:val="13"/>
              </w:rPr>
              <w:t>Torres et al. (2011)</w:t>
            </w:r>
          </w:p>
        </w:tc>
        <w:tc>
          <w:tcPr>
            <w:tcW w:type="dxa" w:w="2284"/>
            <w:vAlign w:val="center"/>
          </w:tcPr>
          <w:p>
            <w:pPr>
              <w:spacing w:after="0" w:line="240" w:lineRule="auto"/>
              <w:jc w:val="center"/>
            </w:pPr>
            <w:r/>
            <w:r>
              <w:rPr>
                <w:rFonts w:ascii="Calibri" w:hAnsi="Calibri"/>
                <w:b w:val="0"/>
                <w:i w:val="0"/>
                <w:color w:val="000000"/>
                <w:sz w:val="13"/>
              </w:rPr>
              <w:t>Noise-assisted decomposition</w:t>
            </w:r>
          </w:p>
        </w:tc>
        <w:tc>
          <w:tcPr>
            <w:tcW w:type="dxa" w:w="2137"/>
            <w:vAlign w:val="center"/>
          </w:tcPr>
          <w:p>
            <w:pPr>
              <w:spacing w:after="0" w:line="240" w:lineRule="auto"/>
              <w:jc w:val="center"/>
            </w:pPr>
            <w:r/>
            <w:r>
              <w:rPr>
                <w:rFonts w:ascii="Calibri" w:hAnsi="Calibri"/>
                <w:b w:val="0"/>
                <w:i w:val="0"/>
                <w:color w:val="000000"/>
                <w:sz w:val="13"/>
              </w:rPr>
              <w:t>CEEMDAN</w:t>
            </w:r>
          </w:p>
        </w:tc>
        <w:tc>
          <w:tcPr>
            <w:tcW w:type="dxa" w:w="2507"/>
            <w:vAlign w:val="center"/>
          </w:tcPr>
          <w:p>
            <w:pPr>
              <w:spacing w:after="0" w:line="240" w:lineRule="auto"/>
              <w:jc w:val="center"/>
            </w:pPr>
            <w:r/>
            <w:r>
              <w:rPr>
                <w:rFonts w:ascii="Calibri" w:hAnsi="Calibri"/>
                <w:b w:val="0"/>
                <w:i w:val="0"/>
                <w:color w:val="000000"/>
                <w:sz w:val="13"/>
              </w:rPr>
              <w:t>Decomposition comparator</w:t>
            </w:r>
          </w:p>
        </w:tc>
      </w:tr>
      <w:tr>
        <w:tc>
          <w:tcPr>
            <w:tcW w:type="dxa" w:w="2432"/>
            <w:vAlign w:val="center"/>
          </w:tcPr>
          <w:p>
            <w:pPr>
              <w:spacing w:after="0" w:line="240" w:lineRule="auto"/>
              <w:jc w:val="left"/>
            </w:pPr>
            <w:r/>
            <w:r>
              <w:rPr>
                <w:rFonts w:ascii="Calibri" w:hAnsi="Calibri"/>
                <w:b w:val="0"/>
                <w:i w:val="0"/>
                <w:color w:val="000000"/>
                <w:sz w:val="13"/>
              </w:rPr>
              <w:t>Diebold and Mariano (1995)</w:t>
            </w:r>
          </w:p>
        </w:tc>
        <w:tc>
          <w:tcPr>
            <w:tcW w:type="dxa" w:w="2284"/>
            <w:vAlign w:val="center"/>
          </w:tcPr>
          <w:p>
            <w:pPr>
              <w:spacing w:after="0" w:line="240" w:lineRule="auto"/>
              <w:jc w:val="center"/>
            </w:pPr>
            <w:r/>
            <w:r>
              <w:rPr>
                <w:rFonts w:ascii="Calibri" w:hAnsi="Calibri"/>
                <w:b w:val="0"/>
                <w:i w:val="0"/>
                <w:color w:val="000000"/>
                <w:sz w:val="13"/>
              </w:rPr>
              <w:t>Predictive-accuracy testing</w:t>
            </w:r>
          </w:p>
        </w:tc>
        <w:tc>
          <w:tcPr>
            <w:tcW w:type="dxa" w:w="2137"/>
            <w:vAlign w:val="center"/>
          </w:tcPr>
          <w:p>
            <w:pPr>
              <w:spacing w:after="0" w:line="240" w:lineRule="auto"/>
              <w:jc w:val="center"/>
            </w:pPr>
            <w:r/>
            <w:r>
              <w:rPr>
                <w:rFonts w:ascii="Calibri" w:hAnsi="Calibri"/>
                <w:b w:val="0"/>
                <w:i w:val="0"/>
                <w:color w:val="000000"/>
                <w:sz w:val="13"/>
              </w:rPr>
              <w:t>DM test</w:t>
            </w:r>
          </w:p>
        </w:tc>
        <w:tc>
          <w:tcPr>
            <w:tcW w:type="dxa" w:w="2507"/>
            <w:vAlign w:val="center"/>
          </w:tcPr>
          <w:p>
            <w:pPr>
              <w:spacing w:after="0" w:line="240" w:lineRule="auto"/>
              <w:jc w:val="center"/>
            </w:pPr>
            <w:r/>
            <w:r>
              <w:rPr>
                <w:rFonts w:ascii="Calibri" w:hAnsi="Calibri"/>
                <w:b w:val="0"/>
                <w:i w:val="0"/>
                <w:color w:val="000000"/>
                <w:sz w:val="13"/>
              </w:rPr>
              <w:t>Pairwise loss comparison</w:t>
            </w:r>
          </w:p>
        </w:tc>
      </w:tr>
      <w:tr>
        <w:tc>
          <w:tcPr>
            <w:tcW w:type="dxa" w:w="2432"/>
            <w:vAlign w:val="center"/>
          </w:tcPr>
          <w:p>
            <w:pPr>
              <w:spacing w:after="0" w:line="240" w:lineRule="auto"/>
              <w:jc w:val="left"/>
            </w:pPr>
            <w:r/>
            <w:r>
              <w:rPr>
                <w:rFonts w:ascii="Calibri" w:hAnsi="Calibri"/>
                <w:b w:val="0"/>
                <w:i w:val="0"/>
                <w:color w:val="000000"/>
                <w:sz w:val="13"/>
              </w:rPr>
              <w:t>Box et al. (2015)</w:t>
            </w:r>
          </w:p>
        </w:tc>
        <w:tc>
          <w:tcPr>
            <w:tcW w:type="dxa" w:w="2284"/>
            <w:vAlign w:val="center"/>
          </w:tcPr>
          <w:p>
            <w:pPr>
              <w:spacing w:after="0" w:line="240" w:lineRule="auto"/>
              <w:jc w:val="center"/>
            </w:pPr>
            <w:r/>
            <w:r>
              <w:rPr>
                <w:rFonts w:ascii="Calibri" w:hAnsi="Calibri"/>
                <w:b w:val="0"/>
                <w:i w:val="0"/>
                <w:color w:val="000000"/>
                <w:sz w:val="13"/>
              </w:rPr>
              <w:t>Time-series forecasting</w:t>
            </w:r>
          </w:p>
        </w:tc>
        <w:tc>
          <w:tcPr>
            <w:tcW w:type="dxa" w:w="2137"/>
            <w:vAlign w:val="center"/>
          </w:tcPr>
          <w:p>
            <w:pPr>
              <w:spacing w:after="0" w:line="240" w:lineRule="auto"/>
              <w:jc w:val="center"/>
            </w:pPr>
            <w:r/>
            <w:r>
              <w:rPr>
                <w:rFonts w:ascii="Calibri" w:hAnsi="Calibri"/>
                <w:b w:val="0"/>
                <w:i w:val="0"/>
                <w:color w:val="000000"/>
                <w:sz w:val="13"/>
              </w:rPr>
              <w:t>ARIMA</w:t>
            </w:r>
          </w:p>
        </w:tc>
        <w:tc>
          <w:tcPr>
            <w:tcW w:type="dxa" w:w="2507"/>
            <w:vAlign w:val="center"/>
          </w:tcPr>
          <w:p>
            <w:pPr>
              <w:spacing w:after="0" w:line="240" w:lineRule="auto"/>
              <w:jc w:val="center"/>
            </w:pPr>
            <w:r/>
            <w:r>
              <w:rPr>
                <w:rFonts w:ascii="Calibri" w:hAnsi="Calibri"/>
                <w:b w:val="0"/>
                <w:i w:val="0"/>
                <w:color w:val="000000"/>
                <w:sz w:val="13"/>
              </w:rPr>
              <w:t>Linear forecasting of smooth decomposed modes</w:t>
            </w:r>
          </w:p>
        </w:tc>
      </w:tr>
      <w:tr>
        <w:tc>
          <w:tcPr>
            <w:tcW w:type="dxa" w:w="2432"/>
            <w:vAlign w:val="center"/>
          </w:tcPr>
          <w:p>
            <w:pPr>
              <w:spacing w:after="0" w:line="240" w:lineRule="auto"/>
              <w:jc w:val="left"/>
            </w:pPr>
            <w:r/>
            <w:r>
              <w:rPr>
                <w:rFonts w:ascii="Calibri" w:hAnsi="Calibri"/>
                <w:b w:val="0"/>
                <w:i w:val="0"/>
                <w:color w:val="000000"/>
                <w:sz w:val="13"/>
              </w:rPr>
              <w:t>This study</w:t>
            </w:r>
          </w:p>
        </w:tc>
        <w:tc>
          <w:tcPr>
            <w:tcW w:type="dxa" w:w="2284"/>
            <w:vAlign w:val="center"/>
          </w:tcPr>
          <w:p>
            <w:pPr>
              <w:spacing w:after="0" w:line="240" w:lineRule="auto"/>
              <w:jc w:val="center"/>
            </w:pPr>
            <w:r/>
            <w:r>
              <w:rPr>
                <w:rFonts w:ascii="Calibri" w:hAnsi="Calibri"/>
                <w:b w:val="0"/>
                <w:i w:val="0"/>
                <w:color w:val="000000"/>
                <w:sz w:val="13"/>
              </w:rPr>
              <w:t>Lithium hydroxide and carbonate</w:t>
            </w:r>
          </w:p>
        </w:tc>
        <w:tc>
          <w:tcPr>
            <w:tcW w:type="dxa" w:w="2137"/>
            <w:vAlign w:val="center"/>
          </w:tcPr>
          <w:p>
            <w:pPr>
              <w:spacing w:after="0" w:line="240" w:lineRule="auto"/>
              <w:jc w:val="center"/>
            </w:pPr>
            <w:r/>
            <w:r>
              <w:rPr>
                <w:rFonts w:ascii="Calibri" w:hAnsi="Calibri"/>
                <w:b w:val="0"/>
                <w:i w:val="0"/>
                <w:color w:val="000000"/>
                <w:sz w:val="13"/>
              </w:rPr>
              <w:t>Proposed VMD-LASSO-ARIMA/LSTM</w:t>
            </w:r>
          </w:p>
        </w:tc>
        <w:tc>
          <w:tcPr>
            <w:tcW w:type="dxa" w:w="2507"/>
            <w:vAlign w:val="center"/>
          </w:tcPr>
          <w:p>
            <w:pPr>
              <w:spacing w:after="0" w:line="240" w:lineRule="auto"/>
              <w:jc w:val="center"/>
            </w:pPr>
            <w:r/>
            <w:r>
              <w:rPr>
                <w:rFonts w:ascii="Calibri" w:hAnsi="Calibri"/>
                <w:b w:val="0"/>
                <w:i w:val="0"/>
                <w:color w:val="000000"/>
                <w:sz w:val="13"/>
              </w:rPr>
              <w:t>Multimodal lithium-price forecasting, intervals, and trading</w:t>
            </w:r>
          </w:p>
        </w:tc>
      </w:tr>
    </w:tbl>
    <w:p>
      <w:pPr>
        <w:spacing w:after="60"/>
      </w:pPr>
    </w:p>
    <w:p>
      <w:pPr>
        <w:pStyle w:val="Heading3"/>
      </w:pPr>
      <w:r>
        <w:t>Interpretation of Table 1</w:t>
      </w:r>
    </w:p>
    <w:p>
      <w:pPr>
        <w:spacing w:after="160" w:line="320" w:lineRule="auto"/>
        <w:jc w:val="both"/>
      </w:pPr>
      <w:r>
        <w:rPr>
          <w:rFonts w:ascii="Calibri" w:hAnsi="Calibri"/>
          <w:b/>
          <w:i w:val="0"/>
          <w:color w:val="000000"/>
          <w:sz w:val="22"/>
        </w:rPr>
        <w:t>Purpose:</w:t>
      </w:r>
      <w:r>
        <w:rPr>
          <w:rFonts w:ascii="Calibri" w:hAnsi="Calibri"/>
          <w:b w:val="0"/>
          <w:i w:val="0"/>
          <w:color w:val="000000"/>
          <w:sz w:val="22"/>
        </w:rPr>
        <w:t xml:space="preserve"> The table identifies the methodological lineage of the study rather than claiming an exhaustive lithium-forecasting review. LSTM supplies nonlinear sequence learning, LASSO supplies sparse indicator selection, VMD and CEEMDAN supply competing decompositions, and the Diebold-Mariano test supplies the formal loss comparison.</w:t>
      </w:r>
    </w:p>
    <w:p>
      <w:pPr>
        <w:spacing w:after="160" w:line="320" w:lineRule="auto"/>
        <w:jc w:val="both"/>
      </w:pPr>
      <w:r>
        <w:rPr>
          <w:rFonts w:ascii="Calibri" w:hAnsi="Calibri"/>
          <w:b/>
          <w:i w:val="0"/>
          <w:color w:val="000000"/>
          <w:sz w:val="22"/>
        </w:rPr>
        <w:t>Research gap:</w:t>
      </w:r>
      <w:r>
        <w:rPr>
          <w:rFonts w:ascii="Calibri" w:hAnsi="Calibri"/>
          <w:b w:val="0"/>
          <w:i w:val="0"/>
          <w:color w:val="000000"/>
          <w:sz w:val="22"/>
        </w:rPr>
        <w:t xml:space="preserve"> The foundational studies address individual building blocks—statistical forecasting, sparse selection, signal decomposition, recurrent learning, and predictive-accuracy testing—but do not provide the integrated lithium-specific system developed here. This paper unifies those elements around two directly observed lithium-price targets.</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 literature table positions the proposed contribution without claiming that the listed methods are uniquely optimal. Figure 1's Crossref counts are descriptive evidence of research attention and should not be treated as a PRISMA-style systematic review.</w:t>
      </w:r>
    </w:p>
    <w:p>
      <w:pPr>
        <w:keepNext/>
        <w:spacing w:before="100" w:after="80"/>
      </w:pPr>
      <w:r>
        <w:rPr>
          <w:rFonts w:ascii="Calibri" w:hAnsi="Calibri"/>
          <w:b/>
          <w:i w:val="0"/>
          <w:color w:val="1F4D78"/>
          <w:sz w:val="18"/>
        </w:rPr>
        <w:t xml:space="preserve">Figure 1. </w:t>
      </w:r>
      <w:r>
        <w:rPr>
          <w:rFonts w:ascii="Calibri" w:hAnsi="Calibri"/>
          <w:b w:val="0"/>
          <w:i/>
          <w:color w:val="000000"/>
          <w:sz w:val="18"/>
        </w:rPr>
        <w:t>Time trend of candidate publications in lithium-price forecasting. Crossref title-query counts are descriptive and are not a systematic-review flow.</w:t>
      </w:r>
    </w:p>
    <w:p>
      <w:pPr>
        <w:spacing w:after="180"/>
        <w:jc w:val="center"/>
      </w:pPr>
      <w:r>
        <w:drawing>
          <wp:inline xmlns:a="http://schemas.openxmlformats.org/drawingml/2006/main" xmlns:pic="http://schemas.openxmlformats.org/drawingml/2006/picture">
            <wp:extent cx="5760720" cy="2767404"/>
            <wp:docPr id="1" name="Picture 1"/>
            <wp:cNvGraphicFramePr>
              <a:graphicFrameLocks noChangeAspect="1"/>
            </wp:cNvGraphicFramePr>
            <a:graphic>
              <a:graphicData uri="http://schemas.openxmlformats.org/drawingml/2006/picture">
                <pic:pic>
                  <pic:nvPicPr>
                    <pic:cNvPr id="0" name="fig1_publication_trend.png"/>
                    <pic:cNvPicPr/>
                  </pic:nvPicPr>
                  <pic:blipFill>
                    <a:blip r:embed="rId11"/>
                    <a:stretch>
                      <a:fillRect/>
                    </a:stretch>
                  </pic:blipFill>
                  <pic:spPr>
                    <a:xfrm>
                      <a:off x="0" y="0"/>
                      <a:ext cx="5760720" cy="2767404"/>
                    </a:xfrm>
                    <a:prstGeom prst="rect"/>
                  </pic:spPr>
                </pic:pic>
              </a:graphicData>
            </a:graphic>
          </wp:inline>
        </w:drawing>
      </w:r>
    </w:p>
    <w:p>
      <w:pPr>
        <w:spacing w:after="160" w:line="320" w:lineRule="auto"/>
        <w:jc w:val="both"/>
      </w:pPr>
      <w:r>
        <w:rPr>
          <w:rFonts w:ascii="Calibri" w:hAnsi="Calibri"/>
          <w:b w:val="0"/>
          <w:i w:val="0"/>
          <w:color w:val="000000"/>
          <w:sz w:val="22"/>
        </w:rPr>
        <w:t>Decomposition-based energy-price studies seek to separate slowly varying structure from high-frequency fluctuations before applying specialized predictors. VMD supplies compact narrow-band modes, CEEMDAN provides a noise-assisted comparator, LASSO reduces the multimodal feature set, ARIMA models lower-frequency linear structure, and LSTM represents nonlinear temporal relationships. Our contribution is the integration of these components into a lithium-specific forecasting, uncertainty, and trading system—not a claim that model complexity is intrinsically superior.</w:t>
      </w:r>
    </w:p>
    <w:p>
      <w:pPr>
        <w:pStyle w:val="Heading1"/>
      </w:pPr>
      <w:r>
        <w:t>3. Methodology</w:t>
      </w:r>
    </w:p>
    <w:p>
      <w:pPr>
        <w:keepNext/>
        <w:spacing w:before="100" w:after="80"/>
      </w:pPr>
      <w:r>
        <w:rPr>
          <w:rFonts w:ascii="Calibri" w:hAnsi="Calibri"/>
          <w:b/>
          <w:i w:val="0"/>
          <w:color w:val="1F4D78"/>
          <w:sz w:val="18"/>
        </w:rPr>
        <w:t xml:space="preserve">Figure 2. </w:t>
      </w:r>
      <w:r>
        <w:rPr>
          <w:rFonts w:ascii="Calibri" w:hAnsi="Calibri"/>
          <w:b w:val="0"/>
          <w:i/>
          <w:color w:val="000000"/>
          <w:sz w:val="18"/>
        </w:rPr>
        <w:t>Conceptual structure of the LSTM model used as a nonlinear recurrent forecaster.</w:t>
      </w:r>
    </w:p>
    <w:p>
      <w:pPr>
        <w:spacing w:after="180"/>
        <w:jc w:val="center"/>
      </w:pPr>
      <w:r>
        <w:drawing>
          <wp:inline xmlns:a="http://schemas.openxmlformats.org/drawingml/2006/main" xmlns:pic="http://schemas.openxmlformats.org/drawingml/2006/picture">
            <wp:extent cx="5760720" cy="2370399"/>
            <wp:docPr id="2" name="Picture 2"/>
            <wp:cNvGraphicFramePr>
              <a:graphicFrameLocks noChangeAspect="1"/>
            </wp:cNvGraphicFramePr>
            <a:graphic>
              <a:graphicData uri="http://schemas.openxmlformats.org/drawingml/2006/picture">
                <pic:pic>
                  <pic:nvPicPr>
                    <pic:cNvPr id="0" name="fig2_lstm_structure.png"/>
                    <pic:cNvPicPr/>
                  </pic:nvPicPr>
                  <pic:blipFill>
                    <a:blip r:embed="rId12"/>
                    <a:stretch>
                      <a:fillRect/>
                    </a:stretch>
                  </pic:blipFill>
                  <pic:spPr>
                    <a:xfrm>
                      <a:off x="0" y="0"/>
                      <a:ext cx="5760720" cy="2370399"/>
                    </a:xfrm>
                    <a:prstGeom prst="rect"/>
                  </pic:spPr>
                </pic:pic>
              </a:graphicData>
            </a:graphic>
          </wp:inline>
        </w:drawing>
      </w:r>
    </w:p>
    <w:p>
      <w:pPr>
        <w:keepNext/>
        <w:spacing w:before="100" w:after="80"/>
      </w:pPr>
      <w:r>
        <w:rPr>
          <w:rFonts w:ascii="Calibri" w:hAnsi="Calibri"/>
          <w:b/>
          <w:i w:val="0"/>
          <w:color w:val="1F4D78"/>
          <w:sz w:val="18"/>
        </w:rPr>
        <w:t xml:space="preserve">Figure 3. </w:t>
      </w:r>
      <w:r>
        <w:rPr>
          <w:rFonts w:ascii="Calibri" w:hAnsi="Calibri"/>
          <w:b w:val="0"/>
          <w:i/>
          <w:color w:val="000000"/>
          <w:sz w:val="18"/>
        </w:rPr>
        <w:t>Framework of the proposed retrospective multimodal lithium-price method.</w:t>
      </w:r>
    </w:p>
    <w:p>
      <w:pPr>
        <w:spacing w:after="180"/>
        <w:jc w:val="center"/>
      </w:pPr>
      <w:r>
        <w:drawing>
          <wp:inline xmlns:a="http://schemas.openxmlformats.org/drawingml/2006/main" xmlns:pic="http://schemas.openxmlformats.org/drawingml/2006/picture">
            <wp:extent cx="5760720" cy="2270330"/>
            <wp:docPr id="3" name="Picture 3"/>
            <wp:cNvGraphicFramePr>
              <a:graphicFrameLocks noChangeAspect="1"/>
            </wp:cNvGraphicFramePr>
            <a:graphic>
              <a:graphicData uri="http://schemas.openxmlformats.org/drawingml/2006/picture">
                <pic:pic>
                  <pic:nvPicPr>
                    <pic:cNvPr id="0" name="fig3_framework.png"/>
                    <pic:cNvPicPr/>
                  </pic:nvPicPr>
                  <pic:blipFill>
                    <a:blip r:embed="rId13"/>
                    <a:stretch>
                      <a:fillRect/>
                    </a:stretch>
                  </pic:blipFill>
                  <pic:spPr>
                    <a:xfrm>
                      <a:off x="0" y="0"/>
                      <a:ext cx="5760720" cy="2270330"/>
                    </a:xfrm>
                    <a:prstGeom prst="rect"/>
                  </pic:spPr>
                </pic:pic>
              </a:graphicData>
            </a:graphic>
          </wp:inline>
        </w:drawing>
      </w:r>
    </w:p>
    <w:p>
      <w:pPr>
        <w:pStyle w:val="Heading2"/>
      </w:pPr>
      <w:r>
        <w:t>3.1 Forecasting architecture</w:t>
      </w:r>
    </w:p>
    <w:p>
      <w:pPr>
        <w:spacing w:after="160" w:line="320" w:lineRule="auto"/>
        <w:jc w:val="both"/>
      </w:pPr>
      <w:r>
        <w:rPr>
          <w:rFonts w:ascii="Calibri" w:hAnsi="Calibri"/>
          <w:b w:val="0"/>
          <w:i w:val="0"/>
          <w:color w:val="000000"/>
          <w:sz w:val="22"/>
        </w:rPr>
        <w:t>For each target, lagged target observations are combined with cross-lithium, lithium-equity, Google Trends, lithium-news, and market-control blocks. LASSO is applied separately to each decomposed series. The proposed routing assigns the first two smooth, low-entropy VMD modes to ARIMA and the remaining irregular modes to LSTM. Component forecasts and the forecast VMD reconstruction residual are then summed to recover the price forecast.</w:t>
      </w:r>
    </w:p>
    <w:p>
      <w:pPr>
        <w:spacing w:after="160" w:line="320" w:lineRule="auto"/>
        <w:jc w:val="both"/>
      </w:pPr>
      <w:r>
        <w:rPr>
          <w:rFonts w:ascii="Calibri" w:hAnsi="Calibri"/>
          <w:b w:val="0"/>
          <w:i w:val="0"/>
          <w:color w:val="000000"/>
          <w:sz w:val="22"/>
        </w:rPr>
        <w:t>Seven single-model benchmarks—exponential smoothing (ES), ARIMA, SVR, random forest (RF), multilayer perceptron (MLP), extreme learning machine (ELM), and LSTM—are fitted to the undecomposed price problem. CEEMDAN-ARIMA, VMD-ARIMA, CEEMDAN-LSTM and VMD-LSTM isolate the contribution of decomposition and forecasting family. Together with the proposed hybrid, these models form the complete publication-facing comparison set.</w:t>
      </w:r>
    </w:p>
    <w:p>
      <w:pPr>
        <w:pStyle w:val="Heading2"/>
      </w:pPr>
      <w:r>
        <w:t>3.2 Evaluation</w:t>
      </w:r>
    </w:p>
    <w:p>
      <w:pPr>
        <w:spacing w:after="160" w:line="320" w:lineRule="auto"/>
        <w:jc w:val="both"/>
      </w:pPr>
      <w:r>
        <w:rPr>
          <w:rFonts w:ascii="Calibri" w:hAnsi="Calibri"/>
          <w:b w:val="0"/>
          <w:i w:val="0"/>
          <w:color w:val="000000"/>
          <w:sz w:val="22"/>
        </w:rPr>
        <w:t>Point accuracy is summarized by RMSE, MAE, MASE, MAPE, symmetric MAPE, and directional accuracy. Pairwise Diebold-Mariano tests use squared-error loss. The first quarter of the static testing sequence supplies residual quantiles for nominal 80%, 90%, and 95% retrospective intervals; the remaining observations are evaluated for coverage, width, calibration error, and Winkler score.</w:t>
      </w:r>
    </w:p>
    <w:p>
      <w:pPr>
        <w:spacing w:after="160" w:line="320" w:lineRule="auto"/>
        <w:jc w:val="both"/>
      </w:pPr>
      <w:r>
        <w:rPr>
          <w:rFonts w:ascii="Calibri" w:hAnsi="Calibri"/>
          <w:b w:val="0"/>
          <w:i w:val="0"/>
          <w:color w:val="000000"/>
          <w:sz w:val="22"/>
        </w:rPr>
        <w:t>Let P[t-1] be the price available at the forecast origin, F[t] the forecast of P[t], and q90 the 90% absolute-residual quantile estimated from the calibration segment. Scheme 1 sets the position to sign(F[t] - P[t-1]). The filtered Scheme 1' sets the position to +1 when F[t] - P[t-1] &gt; q90, -1 when F[t] - P[t-1] &lt; -q90, and zero otherwise. Equivalently, a trade is permitted only when the origin price lies outside the forecast-centered interval [F[t] - q90, F[t] + q90]. The forecast is always at the center of its own interval; that tautological fact is not the gate. The gate compares the forecasted change with uncertainty.</w:t>
      </w:r>
    </w:p>
    <w:p>
      <w:pPr>
        <w:spacing w:after="160" w:line="320" w:lineRule="auto"/>
        <w:jc w:val="both"/>
      </w:pPr>
      <w:r>
        <w:rPr>
          <w:rFonts w:ascii="Calibri" w:hAnsi="Calibri"/>
          <w:b w:val="0"/>
          <w:i w:val="0"/>
          <w:color w:val="000000"/>
          <w:sz w:val="22"/>
        </w:rPr>
        <w:t>Scheme 2 uses the Scheme 1 position and deducts 10 basis points times absolute position turnover; Scheme 2' applies the same cost to the filtered position. The one-period strategy return is s[t](P[t]/P[t-1] - 1) - c|s[t] - s[t-1]|. Cumulative return, maximum drawdown, Sharpe ratio, transaction count, and hit rate are reported. Passive buy-and-hold and a descriptive factor regression against the underlying lithium return, S&amp;P 500, MVIS critical-minerals index, US dollar index, and VIX are added to distinguish raw simulated returns from benchmark-relative performance.</w:t>
      </w:r>
    </w:p>
    <w:p>
      <w:pPr>
        <w:pStyle w:val="Heading2"/>
      </w:pPr>
      <w:r>
        <w:t>3.3 Information timing and reproducibility boundary</w:t>
      </w:r>
    </w:p>
    <w:p>
      <w:pPr>
        <w:spacing w:after="160" w:line="320" w:lineRule="auto"/>
        <w:jc w:val="both"/>
      </w:pPr>
      <w:r>
        <w:rPr>
          <w:rFonts w:ascii="Calibri" w:hAnsi="Calibri"/>
          <w:b w:val="0"/>
          <w:i w:val="0"/>
          <w:color w:val="000000"/>
          <w:sz w:val="22"/>
        </w:rPr>
        <w:t>The executed experiment and a deployable forecast are deliberately distinguished below. This disclosure prevents a chronological split from being mistaken for a real-time design: chronology alone does not remove look-ahead when decomposition, transformations, selection, or filtering use later observations.</w:t>
      </w:r>
    </w:p>
    <w:p>
      <w:r>
        <w:rPr>
          <w:rFonts w:ascii="Calibri" w:hAnsi="Calibri"/>
          <w:b/>
          <w:i w:val="0"/>
          <w:color w:val="1F4D78"/>
          <w:sz w:val="20"/>
        </w:rPr>
        <w:t>Implementation audit matrix</w:t>
      </w:r>
    </w:p>
    <w:tbl>
      <w:tblPr>
        <w:tblStyle w:val="TableGrid"/>
        <w:tblW w:type="dxa" w:w="9360"/>
        <w:jc w:val="left"/>
        <w:tblLayout w:type="fixed"/>
        <w:tblLook w:firstColumn="1" w:firstRow="1" w:lastColumn="0" w:lastRow="0" w:noHBand="0" w:noVBand="1" w:val="04A0"/>
      </w:tblPr>
      <w:tblGrid>
        <w:gridCol w:w="2288"/>
        <w:gridCol w:w="3536"/>
        <w:gridCol w:w="3536"/>
      </w:tblGrid>
      <w:tr>
        <w:trPr>
          <w:tblHeader w:val="true"/>
        </w:trPr>
        <w:tc>
          <w:tcPr>
            <w:tcW w:type="dxa" w:w="2288"/>
            <w:shd w:fill="F4F6F9"/>
            <w:vAlign w:val="center"/>
          </w:tcPr>
          <w:p>
            <w:pPr>
              <w:jc w:val="center"/>
            </w:pPr>
            <w:r/>
            <w:r>
              <w:rPr>
                <w:rFonts w:ascii="Calibri" w:hAnsi="Calibri"/>
                <w:b/>
                <w:i w:val="0"/>
                <w:color w:val="0B2545"/>
                <w:sz w:val="13"/>
              </w:rPr>
              <w:t>Pipeline stage</w:t>
            </w:r>
          </w:p>
        </w:tc>
        <w:tc>
          <w:tcPr>
            <w:tcW w:type="dxa" w:w="3536"/>
            <w:shd w:fill="F4F6F9"/>
            <w:vAlign w:val="center"/>
          </w:tcPr>
          <w:p>
            <w:pPr>
              <w:jc w:val="center"/>
            </w:pPr>
            <w:r/>
            <w:r>
              <w:rPr>
                <w:rFonts w:ascii="Calibri" w:hAnsi="Calibri"/>
                <w:b/>
                <w:i w:val="0"/>
                <w:color w:val="0B2545"/>
                <w:sz w:val="13"/>
              </w:rPr>
              <w:t>Executed in this paper</w:t>
            </w:r>
          </w:p>
        </w:tc>
        <w:tc>
          <w:tcPr>
            <w:tcW w:type="dxa" w:w="3536"/>
            <w:shd w:fill="F4F6F9"/>
            <w:vAlign w:val="center"/>
          </w:tcPr>
          <w:p>
            <w:pPr>
              <w:jc w:val="center"/>
            </w:pPr>
            <w:r/>
            <w:r>
              <w:rPr>
                <w:rFonts w:ascii="Calibri" w:hAnsi="Calibri"/>
                <w:b/>
                <w:i w:val="0"/>
                <w:color w:val="0B2545"/>
                <w:sz w:val="13"/>
              </w:rPr>
              <w:t>Required real-time implementation</w:t>
            </w:r>
          </w:p>
        </w:tc>
      </w:tr>
      <w:tr>
        <w:tc>
          <w:tcPr>
            <w:tcW w:type="dxa" w:w="2288"/>
            <w:vAlign w:val="center"/>
          </w:tcPr>
          <w:p>
            <w:pPr>
              <w:spacing w:after="0" w:line="240" w:lineRule="auto"/>
              <w:jc w:val="left"/>
            </w:pPr>
            <w:r/>
            <w:r>
              <w:rPr>
                <w:rFonts w:ascii="Calibri" w:hAnsi="Calibri"/>
                <w:b w:val="0"/>
                <w:i w:val="0"/>
                <w:color w:val="000000"/>
                <w:sz w:val="13"/>
              </w:rPr>
              <w:t>Forecast origin</w:t>
            </w:r>
          </w:p>
        </w:tc>
        <w:tc>
          <w:tcPr>
            <w:tcW w:type="dxa" w:w="3536"/>
            <w:vAlign w:val="center"/>
          </w:tcPr>
          <w:p>
            <w:pPr>
              <w:spacing w:after="0" w:line="240" w:lineRule="auto"/>
              <w:jc w:val="center"/>
            </w:pPr>
            <w:r/>
            <w:r>
              <w:rPr>
                <w:rFonts w:ascii="Calibri" w:hAnsi="Calibri"/>
                <w:b w:val="0"/>
                <w:i w:val="0"/>
                <w:color w:val="000000"/>
                <w:sz w:val="13"/>
              </w:rPr>
              <w:t>Chronological static 80:20 split</w:t>
            </w:r>
          </w:p>
        </w:tc>
        <w:tc>
          <w:tcPr>
            <w:tcW w:type="dxa" w:w="3536"/>
            <w:vAlign w:val="center"/>
          </w:tcPr>
          <w:p>
            <w:pPr>
              <w:spacing w:after="0" w:line="240" w:lineRule="auto"/>
              <w:jc w:val="center"/>
            </w:pPr>
            <w:r/>
            <w:r>
              <w:rPr>
                <w:rFonts w:ascii="Calibri" w:hAnsi="Calibri"/>
                <w:b w:val="0"/>
                <w:i w:val="0"/>
                <w:color w:val="000000"/>
                <w:sz w:val="13"/>
              </w:rPr>
              <w:t>Expanding or rolling origin; forecast formed after market close at t-1</w:t>
            </w:r>
          </w:p>
        </w:tc>
      </w:tr>
      <w:tr>
        <w:tc>
          <w:tcPr>
            <w:tcW w:type="dxa" w:w="2288"/>
            <w:vAlign w:val="center"/>
          </w:tcPr>
          <w:p>
            <w:pPr>
              <w:spacing w:after="0" w:line="240" w:lineRule="auto"/>
              <w:jc w:val="left"/>
            </w:pPr>
            <w:r/>
            <w:r>
              <w:rPr>
                <w:rFonts w:ascii="Calibri" w:hAnsi="Calibri"/>
                <w:b w:val="0"/>
                <w:i w:val="0"/>
                <w:color w:val="000000"/>
                <w:sz w:val="13"/>
              </w:rPr>
              <w:t>Decomposition</w:t>
            </w:r>
          </w:p>
        </w:tc>
        <w:tc>
          <w:tcPr>
            <w:tcW w:type="dxa" w:w="3536"/>
            <w:vAlign w:val="center"/>
          </w:tcPr>
          <w:p>
            <w:pPr>
              <w:spacing w:after="0" w:line="240" w:lineRule="auto"/>
              <w:jc w:val="center"/>
            </w:pPr>
            <w:r/>
            <w:r>
              <w:rPr>
                <w:rFonts w:ascii="Calibri" w:hAnsi="Calibri"/>
                <w:b w:val="0"/>
                <w:i w:val="0"/>
                <w:color w:val="000000"/>
                <w:sz w:val="13"/>
              </w:rPr>
              <w:t>VMD/CEEMDAN estimated on the complete target series</w:t>
            </w:r>
          </w:p>
        </w:tc>
        <w:tc>
          <w:tcPr>
            <w:tcW w:type="dxa" w:w="3536"/>
            <w:vAlign w:val="center"/>
          </w:tcPr>
          <w:p>
            <w:pPr>
              <w:spacing w:after="0" w:line="240" w:lineRule="auto"/>
              <w:jc w:val="center"/>
            </w:pPr>
            <w:r/>
            <w:r>
              <w:rPr>
                <w:rFonts w:ascii="Calibri" w:hAnsi="Calibri"/>
                <w:b w:val="0"/>
                <w:i w:val="0"/>
                <w:color w:val="000000"/>
                <w:sz w:val="13"/>
              </w:rPr>
              <w:t>Re-estimate only with observations available through t-1</w:t>
            </w:r>
          </w:p>
        </w:tc>
      </w:tr>
      <w:tr>
        <w:tc>
          <w:tcPr>
            <w:tcW w:type="dxa" w:w="2288"/>
            <w:vAlign w:val="center"/>
          </w:tcPr>
          <w:p>
            <w:pPr>
              <w:spacing w:after="0" w:line="240" w:lineRule="auto"/>
              <w:jc w:val="left"/>
            </w:pPr>
            <w:r/>
            <w:r>
              <w:rPr>
                <w:rFonts w:ascii="Calibri" w:hAnsi="Calibri"/>
                <w:b w:val="0"/>
                <w:i w:val="0"/>
                <w:color w:val="000000"/>
                <w:sz w:val="13"/>
              </w:rPr>
              <w:t>Scaling and imputation</w:t>
            </w:r>
          </w:p>
        </w:tc>
        <w:tc>
          <w:tcPr>
            <w:tcW w:type="dxa" w:w="3536"/>
            <w:vAlign w:val="center"/>
          </w:tcPr>
          <w:p>
            <w:pPr>
              <w:spacing w:after="0" w:line="240" w:lineRule="auto"/>
              <w:jc w:val="center"/>
            </w:pPr>
            <w:r/>
            <w:r>
              <w:rPr>
                <w:rFonts w:ascii="Calibri" w:hAnsi="Calibri"/>
                <w:b w:val="0"/>
                <w:i w:val="0"/>
                <w:color w:val="000000"/>
                <w:sz w:val="13"/>
              </w:rPr>
              <w:t>Static/full-panel transformations</w:t>
            </w:r>
          </w:p>
        </w:tc>
        <w:tc>
          <w:tcPr>
            <w:tcW w:type="dxa" w:w="3536"/>
            <w:vAlign w:val="center"/>
          </w:tcPr>
          <w:p>
            <w:pPr>
              <w:spacing w:after="0" w:line="240" w:lineRule="auto"/>
              <w:jc w:val="center"/>
            </w:pPr>
            <w:r/>
            <w:r>
              <w:rPr>
                <w:rFonts w:ascii="Calibri" w:hAnsi="Calibri"/>
                <w:b w:val="0"/>
                <w:i w:val="0"/>
                <w:color w:val="000000"/>
                <w:sz w:val="13"/>
              </w:rPr>
              <w:t>Fit on the current training window; carry parameters forward unchanged</w:t>
            </w:r>
          </w:p>
        </w:tc>
      </w:tr>
      <w:tr>
        <w:tc>
          <w:tcPr>
            <w:tcW w:type="dxa" w:w="2288"/>
            <w:vAlign w:val="center"/>
          </w:tcPr>
          <w:p>
            <w:pPr>
              <w:spacing w:after="0" w:line="240" w:lineRule="auto"/>
              <w:jc w:val="left"/>
            </w:pPr>
            <w:r/>
            <w:r>
              <w:rPr>
                <w:rFonts w:ascii="Calibri" w:hAnsi="Calibri"/>
                <w:b w:val="0"/>
                <w:i w:val="0"/>
                <w:color w:val="000000"/>
                <w:sz w:val="13"/>
              </w:rPr>
              <w:t>LASSO selection</w:t>
            </w:r>
          </w:p>
        </w:tc>
        <w:tc>
          <w:tcPr>
            <w:tcW w:type="dxa" w:w="3536"/>
            <w:vAlign w:val="center"/>
          </w:tcPr>
          <w:p>
            <w:pPr>
              <w:spacing w:after="0" w:line="240" w:lineRule="auto"/>
              <w:jc w:val="center"/>
            </w:pPr>
            <w:r/>
            <w:r>
              <w:rPr>
                <w:rFonts w:ascii="Calibri" w:hAnsi="Calibri"/>
                <w:b w:val="0"/>
                <w:i w:val="0"/>
                <w:color w:val="000000"/>
                <w:sz w:val="13"/>
              </w:rPr>
              <w:t>Mode-specific selection inside the static experiment</w:t>
            </w:r>
          </w:p>
        </w:tc>
        <w:tc>
          <w:tcPr>
            <w:tcW w:type="dxa" w:w="3536"/>
            <w:vAlign w:val="center"/>
          </w:tcPr>
          <w:p>
            <w:pPr>
              <w:spacing w:after="0" w:line="240" w:lineRule="auto"/>
              <w:jc w:val="center"/>
            </w:pPr>
            <w:r/>
            <w:r>
              <w:rPr>
                <w:rFonts w:ascii="Calibri" w:hAnsi="Calibri"/>
                <w:b w:val="0"/>
                <w:i w:val="0"/>
                <w:color w:val="000000"/>
                <w:sz w:val="13"/>
              </w:rPr>
              <w:t>Nested development window; freeze selected variables before each test block</w:t>
            </w:r>
          </w:p>
        </w:tc>
      </w:tr>
      <w:tr>
        <w:tc>
          <w:tcPr>
            <w:tcW w:type="dxa" w:w="2288"/>
            <w:vAlign w:val="center"/>
          </w:tcPr>
          <w:p>
            <w:pPr>
              <w:spacing w:after="0" w:line="240" w:lineRule="auto"/>
              <w:jc w:val="left"/>
            </w:pPr>
            <w:r/>
            <w:r>
              <w:rPr>
                <w:rFonts w:ascii="Calibri" w:hAnsi="Calibri"/>
                <w:b w:val="0"/>
                <w:i w:val="0"/>
                <w:color w:val="000000"/>
                <w:sz w:val="13"/>
              </w:rPr>
              <w:t>Hyperparameters</w:t>
            </w:r>
          </w:p>
        </w:tc>
        <w:tc>
          <w:tcPr>
            <w:tcW w:type="dxa" w:w="3536"/>
            <w:vAlign w:val="center"/>
          </w:tcPr>
          <w:p>
            <w:pPr>
              <w:spacing w:after="0" w:line="240" w:lineRule="auto"/>
              <w:jc w:val="center"/>
            </w:pPr>
            <w:r/>
            <w:r>
              <w:rPr>
                <w:rFonts w:ascii="Calibri" w:hAnsi="Calibri"/>
                <w:b w:val="0"/>
                <w:i w:val="0"/>
                <w:color w:val="000000"/>
                <w:sz w:val="13"/>
              </w:rPr>
              <w:t>Pre-specified settings and static fitting</w:t>
            </w:r>
          </w:p>
        </w:tc>
        <w:tc>
          <w:tcPr>
            <w:tcW w:type="dxa" w:w="3536"/>
            <w:vAlign w:val="center"/>
          </w:tcPr>
          <w:p>
            <w:pPr>
              <w:spacing w:after="0" w:line="240" w:lineRule="auto"/>
              <w:jc w:val="center"/>
            </w:pPr>
            <w:r/>
            <w:r>
              <w:rPr>
                <w:rFonts w:ascii="Calibri" w:hAnsi="Calibri"/>
                <w:b w:val="0"/>
                <w:i w:val="0"/>
                <w:color w:val="000000"/>
                <w:sz w:val="13"/>
              </w:rPr>
              <w:t>Select only on training/development data; register the search space and seed</w:t>
            </w:r>
          </w:p>
        </w:tc>
      </w:tr>
      <w:tr>
        <w:tc>
          <w:tcPr>
            <w:tcW w:type="dxa" w:w="2288"/>
            <w:vAlign w:val="center"/>
          </w:tcPr>
          <w:p>
            <w:pPr>
              <w:spacing w:after="0" w:line="240" w:lineRule="auto"/>
              <w:jc w:val="left"/>
            </w:pPr>
            <w:r/>
            <w:r>
              <w:rPr>
                <w:rFonts w:ascii="Calibri" w:hAnsi="Calibri"/>
                <w:b w:val="0"/>
                <w:i w:val="0"/>
                <w:color w:val="000000"/>
                <w:sz w:val="13"/>
              </w:rPr>
              <w:t>ARIMA evaluation</w:t>
            </w:r>
          </w:p>
        </w:tc>
        <w:tc>
          <w:tcPr>
            <w:tcW w:type="dxa" w:w="3536"/>
            <w:vAlign w:val="center"/>
          </w:tcPr>
          <w:p>
            <w:pPr>
              <w:spacing w:after="0" w:line="240" w:lineRule="auto"/>
              <w:jc w:val="center"/>
            </w:pPr>
            <w:r/>
            <w:r>
              <w:rPr>
                <w:rFonts w:ascii="Calibri" w:hAnsi="Calibri"/>
                <w:b w:val="0"/>
                <w:i w:val="0"/>
                <w:color w:val="000000"/>
                <w:sz w:val="13"/>
              </w:rPr>
              <w:t>Observed-test filtering is used for the retrospective reconstruction</w:t>
            </w:r>
          </w:p>
        </w:tc>
        <w:tc>
          <w:tcPr>
            <w:tcW w:type="dxa" w:w="3536"/>
            <w:vAlign w:val="center"/>
          </w:tcPr>
          <w:p>
            <w:pPr>
              <w:spacing w:after="0" w:line="240" w:lineRule="auto"/>
              <w:jc w:val="center"/>
            </w:pPr>
            <w:r/>
            <w:r>
              <w:rPr>
                <w:rFonts w:ascii="Calibri" w:hAnsi="Calibri"/>
                <w:b w:val="0"/>
                <w:i w:val="0"/>
                <w:color w:val="000000"/>
                <w:sz w:val="13"/>
              </w:rPr>
              <w:t>Generate a genuine one-step forecast without conditioning on P_t</w:t>
            </w:r>
          </w:p>
        </w:tc>
      </w:tr>
      <w:tr>
        <w:tc>
          <w:tcPr>
            <w:tcW w:type="dxa" w:w="2288"/>
            <w:vAlign w:val="center"/>
          </w:tcPr>
          <w:p>
            <w:pPr>
              <w:spacing w:after="0" w:line="240" w:lineRule="auto"/>
              <w:jc w:val="left"/>
            </w:pPr>
            <w:r/>
            <w:r>
              <w:rPr>
                <w:rFonts w:ascii="Calibri" w:hAnsi="Calibri"/>
                <w:b w:val="0"/>
                <w:i w:val="0"/>
                <w:color w:val="000000"/>
                <w:sz w:val="13"/>
              </w:rPr>
              <w:t>Interval calibration</w:t>
            </w:r>
          </w:p>
        </w:tc>
        <w:tc>
          <w:tcPr>
            <w:tcW w:type="dxa" w:w="3536"/>
            <w:vAlign w:val="center"/>
          </w:tcPr>
          <w:p>
            <w:pPr>
              <w:spacing w:after="0" w:line="240" w:lineRule="auto"/>
              <w:jc w:val="center"/>
            </w:pPr>
            <w:r/>
            <w:r>
              <w:rPr>
                <w:rFonts w:ascii="Calibri" w:hAnsi="Calibri"/>
                <w:b w:val="0"/>
                <w:i w:val="0"/>
                <w:color w:val="000000"/>
                <w:sz w:val="13"/>
              </w:rPr>
              <w:t>First 25% of the test path supplies residual quantiles</w:t>
            </w:r>
          </w:p>
        </w:tc>
        <w:tc>
          <w:tcPr>
            <w:tcW w:type="dxa" w:w="3536"/>
            <w:vAlign w:val="center"/>
          </w:tcPr>
          <w:p>
            <w:pPr>
              <w:spacing w:after="0" w:line="240" w:lineRule="auto"/>
              <w:jc w:val="center"/>
            </w:pPr>
            <w:r/>
            <w:r>
              <w:rPr>
                <w:rFonts w:ascii="Calibri" w:hAnsi="Calibri"/>
                <w:b w:val="0"/>
                <w:i w:val="0"/>
                <w:color w:val="000000"/>
                <w:sz w:val="13"/>
              </w:rPr>
              <w:t>Use only prior forecast errors; update with a rolling calibration window</w:t>
            </w:r>
          </w:p>
        </w:tc>
      </w:tr>
      <w:tr>
        <w:tc>
          <w:tcPr>
            <w:tcW w:type="dxa" w:w="2288"/>
            <w:vAlign w:val="center"/>
          </w:tcPr>
          <w:p>
            <w:pPr>
              <w:spacing w:after="0" w:line="240" w:lineRule="auto"/>
              <w:jc w:val="left"/>
            </w:pPr>
            <w:r/>
            <w:r>
              <w:rPr>
                <w:rFonts w:ascii="Calibri" w:hAnsi="Calibri"/>
                <w:b w:val="0"/>
                <w:i w:val="0"/>
                <w:color w:val="000000"/>
                <w:sz w:val="13"/>
              </w:rPr>
              <w:t>Trading signal</w:t>
            </w:r>
          </w:p>
        </w:tc>
        <w:tc>
          <w:tcPr>
            <w:tcW w:type="dxa" w:w="3536"/>
            <w:vAlign w:val="center"/>
          </w:tcPr>
          <w:p>
            <w:pPr>
              <w:spacing w:after="0" w:line="240" w:lineRule="auto"/>
              <w:jc w:val="center"/>
            </w:pPr>
            <w:r/>
            <w:r>
              <w:rPr>
                <w:rFonts w:ascii="Calibri" w:hAnsi="Calibri"/>
                <w:b w:val="0"/>
                <w:i w:val="0"/>
                <w:color w:val="000000"/>
                <w:sz w:val="13"/>
              </w:rPr>
              <w:t>Uses origin price, forecast, and precomputed width</w:t>
            </w:r>
          </w:p>
        </w:tc>
        <w:tc>
          <w:tcPr>
            <w:tcW w:type="dxa" w:w="3536"/>
            <w:vAlign w:val="center"/>
          </w:tcPr>
          <w:p>
            <w:pPr>
              <w:spacing w:after="0" w:line="240" w:lineRule="auto"/>
              <w:jc w:val="center"/>
            </w:pPr>
            <w:r/>
            <w:r>
              <w:rPr>
                <w:rFonts w:ascii="Calibri" w:hAnsi="Calibri"/>
                <w:b w:val="0"/>
                <w:i w:val="0"/>
                <w:color w:val="000000"/>
                <w:sz w:val="13"/>
              </w:rPr>
              <w:t>Same decision rule, timestamped before P_t becomes observable</w:t>
            </w:r>
          </w:p>
        </w:tc>
      </w:tr>
      <w:tr>
        <w:tc>
          <w:tcPr>
            <w:tcW w:type="dxa" w:w="2288"/>
            <w:vAlign w:val="center"/>
          </w:tcPr>
          <w:p>
            <w:pPr>
              <w:spacing w:after="0" w:line="240" w:lineRule="auto"/>
              <w:jc w:val="left"/>
            </w:pPr>
            <w:r/>
            <w:r>
              <w:rPr>
                <w:rFonts w:ascii="Calibri" w:hAnsi="Calibri"/>
                <w:b w:val="0"/>
                <w:i w:val="0"/>
                <w:color w:val="000000"/>
                <w:sz w:val="13"/>
              </w:rPr>
              <w:t>Permitted claim</w:t>
            </w:r>
          </w:p>
        </w:tc>
        <w:tc>
          <w:tcPr>
            <w:tcW w:type="dxa" w:w="3536"/>
            <w:vAlign w:val="center"/>
          </w:tcPr>
          <w:p>
            <w:pPr>
              <w:spacing w:after="0" w:line="240" w:lineRule="auto"/>
              <w:jc w:val="center"/>
            </w:pPr>
            <w:r/>
            <w:r>
              <w:rPr>
                <w:rFonts w:ascii="Calibri" w:hAnsi="Calibri"/>
                <w:b w:val="0"/>
                <w:i w:val="0"/>
                <w:color w:val="000000"/>
                <w:sz w:val="13"/>
              </w:rPr>
              <w:t>Retrospective reconstruction and within-protocol comparison</w:t>
            </w:r>
          </w:p>
        </w:tc>
        <w:tc>
          <w:tcPr>
            <w:tcW w:type="dxa" w:w="3536"/>
            <w:vAlign w:val="center"/>
          </w:tcPr>
          <w:p>
            <w:pPr>
              <w:spacing w:after="0" w:line="240" w:lineRule="auto"/>
              <w:jc w:val="center"/>
            </w:pPr>
            <w:r/>
            <w:r>
              <w:rPr>
                <w:rFonts w:ascii="Calibri" w:hAnsi="Calibri"/>
                <w:b w:val="0"/>
                <w:i w:val="0"/>
                <w:color w:val="000000"/>
                <w:sz w:val="13"/>
              </w:rPr>
              <w:t>Out-of-sample forecast and implementable trading evidence</w:t>
            </w:r>
          </w:p>
        </w:tc>
      </w:tr>
    </w:tbl>
    <w:p>
      <w:pPr>
        <w:spacing w:after="60"/>
      </w:pPr>
    </w:p>
    <w:p>
      <w:pPr>
        <w:spacing w:after="160" w:line="320" w:lineRule="auto"/>
        <w:jc w:val="both"/>
      </w:pPr>
      <w:r>
        <w:rPr>
          <w:rFonts w:ascii="Calibri" w:hAnsi="Calibri"/>
          <w:b w:val="0"/>
          <w:i w:val="0"/>
          <w:color w:val="000000"/>
          <w:sz w:val="22"/>
        </w:rPr>
        <w:t>Every publication-facing ledger records target, model, date, origin price, realized price, and forecast. The empirical run identifier, source checksums, mode selections, interval observations, DM comparisons, and trading metrics are preserved alongside the manuscript. These artifacts reproduce the retrospective results exactly; they do not convert them into causal evidence.</w:t>
      </w:r>
    </w:p>
    <w:p>
      <w:pPr>
        <w:keepNext/>
        <w:spacing w:before="100" w:after="80"/>
      </w:pPr>
      <w:r>
        <w:rPr>
          <w:rFonts w:ascii="Calibri" w:hAnsi="Calibri"/>
          <w:b/>
          <w:i w:val="0"/>
          <w:color w:val="1F4D78"/>
          <w:sz w:val="18"/>
        </w:rPr>
        <w:t xml:space="preserve">Table 2. </w:t>
      </w:r>
      <w:r>
        <w:rPr>
          <w:rFonts w:ascii="Calibri" w:hAnsi="Calibri"/>
          <w:b w:val="0"/>
          <w:i/>
          <w:color w:val="000000"/>
          <w:sz w:val="18"/>
        </w:rPr>
        <w:t>Parameter settings used in this study.</w:t>
      </w:r>
    </w:p>
    <w:tbl>
      <w:tblPr>
        <w:tblStyle w:val="TableGrid"/>
        <w:tblW w:type="dxa" w:w="9360"/>
        <w:jc w:val="left"/>
        <w:tblLayout w:type="fixed"/>
        <w:tblLook w:firstColumn="1" w:firstRow="1" w:lastColumn="0" w:lastRow="0" w:noHBand="0" w:noVBand="1" w:val="04A0"/>
      </w:tblPr>
      <w:tblGrid>
        <w:gridCol w:w="2044"/>
        <w:gridCol w:w="3657"/>
        <w:gridCol w:w="3659"/>
      </w:tblGrid>
      <w:tr>
        <w:trPr>
          <w:tblHeader w:val="true"/>
        </w:trPr>
        <w:tc>
          <w:tcPr>
            <w:tcW w:type="dxa" w:w="2044"/>
            <w:shd w:fill="F4F6F9"/>
            <w:vAlign w:val="center"/>
          </w:tcPr>
          <w:p>
            <w:pPr>
              <w:jc w:val="center"/>
            </w:pPr>
            <w:r/>
            <w:r>
              <w:rPr>
                <w:rFonts w:ascii="Calibri" w:hAnsi="Calibri"/>
                <w:b/>
                <w:i w:val="0"/>
                <w:color w:val="0B2545"/>
                <w:sz w:val="14"/>
              </w:rPr>
              <w:t>Parameter</w:t>
            </w:r>
          </w:p>
        </w:tc>
        <w:tc>
          <w:tcPr>
            <w:tcW w:type="dxa" w:w="3657"/>
            <w:shd w:fill="F4F6F9"/>
            <w:vAlign w:val="center"/>
          </w:tcPr>
          <w:p>
            <w:pPr>
              <w:jc w:val="center"/>
            </w:pPr>
            <w:r/>
            <w:r>
              <w:rPr>
                <w:rFonts w:ascii="Calibri" w:hAnsi="Calibri"/>
                <w:b/>
                <w:i w:val="0"/>
                <w:color w:val="0B2545"/>
                <w:sz w:val="14"/>
              </w:rPr>
              <w:t>Setting</w:t>
            </w:r>
          </w:p>
        </w:tc>
        <w:tc>
          <w:tcPr>
            <w:tcW w:type="dxa" w:w="3659"/>
            <w:shd w:fill="F4F6F9"/>
            <w:vAlign w:val="center"/>
          </w:tcPr>
          <w:p>
            <w:pPr>
              <w:jc w:val="center"/>
            </w:pPr>
            <w:r/>
            <w:r>
              <w:rPr>
                <w:rFonts w:ascii="Calibri" w:hAnsi="Calibri"/>
                <w:b/>
                <w:i w:val="0"/>
                <w:color w:val="0B2545"/>
                <w:sz w:val="14"/>
              </w:rPr>
              <w:t>Function</w:t>
            </w:r>
          </w:p>
        </w:tc>
      </w:tr>
      <w:tr>
        <w:tc>
          <w:tcPr>
            <w:tcW w:type="dxa" w:w="2044"/>
            <w:vAlign w:val="center"/>
          </w:tcPr>
          <w:p>
            <w:pPr>
              <w:spacing w:after="0" w:line="240" w:lineRule="auto"/>
              <w:jc w:val="left"/>
            </w:pPr>
            <w:r/>
            <w:r>
              <w:rPr>
                <w:rFonts w:ascii="Calibri" w:hAnsi="Calibri"/>
                <w:b w:val="0"/>
                <w:i w:val="0"/>
                <w:color w:val="000000"/>
                <w:sz w:val="14"/>
              </w:rPr>
              <w:t>Chronological split</w:t>
            </w:r>
          </w:p>
        </w:tc>
        <w:tc>
          <w:tcPr>
            <w:tcW w:type="dxa" w:w="3657"/>
            <w:vAlign w:val="center"/>
          </w:tcPr>
          <w:p>
            <w:pPr>
              <w:spacing w:after="0" w:line="240" w:lineRule="auto"/>
              <w:jc w:val="center"/>
            </w:pPr>
            <w:r/>
            <w:r>
              <w:rPr>
                <w:rFonts w:ascii="Calibri" w:hAnsi="Calibri"/>
                <w:b w:val="0"/>
                <w:i w:val="0"/>
                <w:color w:val="000000"/>
                <w:sz w:val="14"/>
              </w:rPr>
              <w:t>80:20</w:t>
            </w:r>
          </w:p>
        </w:tc>
        <w:tc>
          <w:tcPr>
            <w:tcW w:type="dxa" w:w="3659"/>
            <w:vAlign w:val="center"/>
          </w:tcPr>
          <w:p>
            <w:pPr>
              <w:spacing w:after="0" w:line="240" w:lineRule="auto"/>
              <w:jc w:val="center"/>
            </w:pPr>
            <w:r/>
            <w:r>
              <w:rPr>
                <w:rFonts w:ascii="Calibri" w:hAnsi="Calibri"/>
                <w:b w:val="0"/>
                <w:i w:val="0"/>
                <w:color w:val="000000"/>
                <w:sz w:val="14"/>
              </w:rPr>
              <w:t>Static training and testing sets</w:t>
            </w:r>
          </w:p>
        </w:tc>
      </w:tr>
      <w:tr>
        <w:tc>
          <w:tcPr>
            <w:tcW w:type="dxa" w:w="2044"/>
            <w:vAlign w:val="center"/>
          </w:tcPr>
          <w:p>
            <w:pPr>
              <w:spacing w:after="0" w:line="240" w:lineRule="auto"/>
              <w:jc w:val="left"/>
            </w:pPr>
            <w:r/>
            <w:r>
              <w:rPr>
                <w:rFonts w:ascii="Calibri" w:hAnsi="Calibri"/>
                <w:b w:val="0"/>
                <w:i w:val="0"/>
                <w:color w:val="000000"/>
                <w:sz w:val="14"/>
              </w:rPr>
              <w:t>Lag order</w:t>
            </w:r>
          </w:p>
        </w:tc>
        <w:tc>
          <w:tcPr>
            <w:tcW w:type="dxa" w:w="3657"/>
            <w:vAlign w:val="center"/>
          </w:tcPr>
          <w:p>
            <w:pPr>
              <w:spacing w:after="0" w:line="240" w:lineRule="auto"/>
              <w:jc w:val="center"/>
            </w:pPr>
            <w:r/>
            <w:r>
              <w:rPr>
                <w:rFonts w:ascii="Calibri" w:hAnsi="Calibri"/>
                <w:b w:val="0"/>
                <w:i w:val="0"/>
                <w:color w:val="000000"/>
                <w:sz w:val="14"/>
              </w:rPr>
              <w:t>5</w:t>
            </w:r>
          </w:p>
        </w:tc>
        <w:tc>
          <w:tcPr>
            <w:tcW w:type="dxa" w:w="3659"/>
            <w:vAlign w:val="center"/>
          </w:tcPr>
          <w:p>
            <w:pPr>
              <w:spacing w:after="0" w:line="240" w:lineRule="auto"/>
              <w:jc w:val="center"/>
            </w:pPr>
            <w:r/>
            <w:r>
              <w:rPr>
                <w:rFonts w:ascii="Calibri" w:hAnsi="Calibri"/>
                <w:b w:val="0"/>
                <w:i w:val="0"/>
                <w:color w:val="000000"/>
                <w:sz w:val="14"/>
              </w:rPr>
              <w:t>Lagged target and indicator features</w:t>
            </w:r>
          </w:p>
        </w:tc>
      </w:tr>
      <w:tr>
        <w:tc>
          <w:tcPr>
            <w:tcW w:type="dxa" w:w="2044"/>
            <w:vAlign w:val="center"/>
          </w:tcPr>
          <w:p>
            <w:pPr>
              <w:spacing w:after="0" w:line="240" w:lineRule="auto"/>
              <w:jc w:val="left"/>
            </w:pPr>
            <w:r/>
            <w:r>
              <w:rPr>
                <w:rFonts w:ascii="Calibri" w:hAnsi="Calibri"/>
                <w:b w:val="0"/>
                <w:i w:val="0"/>
                <w:color w:val="000000"/>
                <w:sz w:val="14"/>
              </w:rPr>
              <w:t>VMD modes</w:t>
            </w:r>
          </w:p>
        </w:tc>
        <w:tc>
          <w:tcPr>
            <w:tcW w:type="dxa" w:w="3657"/>
            <w:vAlign w:val="center"/>
          </w:tcPr>
          <w:p>
            <w:pPr>
              <w:spacing w:after="0" w:line="240" w:lineRule="auto"/>
              <w:jc w:val="center"/>
            </w:pPr>
            <w:r/>
            <w:r>
              <w:rPr>
                <w:rFonts w:ascii="Calibri" w:hAnsi="Calibri"/>
                <w:b w:val="0"/>
                <w:i w:val="0"/>
                <w:color w:val="000000"/>
                <w:sz w:val="14"/>
              </w:rPr>
              <w:t>lithium_hydroxide: 9; lithium_carbonate: 8</w:t>
            </w:r>
          </w:p>
        </w:tc>
        <w:tc>
          <w:tcPr>
            <w:tcW w:type="dxa" w:w="3659"/>
            <w:vAlign w:val="center"/>
          </w:tcPr>
          <w:p>
            <w:pPr>
              <w:spacing w:after="0" w:line="240" w:lineRule="auto"/>
              <w:jc w:val="center"/>
            </w:pPr>
            <w:r/>
            <w:r>
              <w:rPr>
                <w:rFonts w:ascii="Calibri" w:hAnsi="Calibri"/>
                <w:b w:val="0"/>
                <w:i w:val="0"/>
                <w:color w:val="000000"/>
                <w:sz w:val="14"/>
              </w:rPr>
              <w:t>Target-specific decomposition</w:t>
            </w:r>
          </w:p>
        </w:tc>
      </w:tr>
      <w:tr>
        <w:tc>
          <w:tcPr>
            <w:tcW w:type="dxa" w:w="2044"/>
            <w:vAlign w:val="center"/>
          </w:tcPr>
          <w:p>
            <w:pPr>
              <w:spacing w:after="0" w:line="240" w:lineRule="auto"/>
              <w:jc w:val="left"/>
            </w:pPr>
            <w:r/>
            <w:r>
              <w:rPr>
                <w:rFonts w:ascii="Calibri" w:hAnsi="Calibri"/>
                <w:b w:val="0"/>
                <w:i w:val="0"/>
                <w:color w:val="000000"/>
                <w:sz w:val="14"/>
              </w:rPr>
              <w:t>LSTM hidden units</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One recurrent layer</w:t>
            </w:r>
          </w:p>
        </w:tc>
      </w:tr>
      <w:tr>
        <w:tc>
          <w:tcPr>
            <w:tcW w:type="dxa" w:w="2044"/>
            <w:vAlign w:val="center"/>
          </w:tcPr>
          <w:p>
            <w:pPr>
              <w:spacing w:after="0" w:line="240" w:lineRule="auto"/>
              <w:jc w:val="left"/>
            </w:pPr>
            <w:r/>
            <w:r>
              <w:rPr>
                <w:rFonts w:ascii="Calibri" w:hAnsi="Calibri"/>
                <w:b w:val="0"/>
                <w:i w:val="0"/>
                <w:color w:val="000000"/>
                <w:sz w:val="14"/>
              </w:rPr>
              <w:t>LSTM epochs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Training iterations</w:t>
            </w:r>
          </w:p>
        </w:tc>
      </w:tr>
      <w:tr>
        <w:tc>
          <w:tcPr>
            <w:tcW w:type="dxa" w:w="2044"/>
            <w:vAlign w:val="center"/>
          </w:tcPr>
          <w:p>
            <w:pPr>
              <w:spacing w:after="0" w:line="240" w:lineRule="auto"/>
              <w:jc w:val="left"/>
            </w:pPr>
            <w:r/>
            <w:r>
              <w:rPr>
                <w:rFonts w:ascii="Calibri" w:hAnsi="Calibri"/>
                <w:b w:val="0"/>
                <w:i w:val="0"/>
                <w:color w:val="000000"/>
                <w:sz w:val="14"/>
              </w:rPr>
              <w:t>LSTM batch size</w:t>
            </w:r>
          </w:p>
        </w:tc>
        <w:tc>
          <w:tcPr>
            <w:tcW w:type="dxa" w:w="3657"/>
            <w:vAlign w:val="center"/>
          </w:tcPr>
          <w:p>
            <w:pPr>
              <w:spacing w:after="0" w:line="240" w:lineRule="auto"/>
              <w:jc w:val="center"/>
            </w:pPr>
            <w:r/>
            <w:r>
              <w:rPr>
                <w:rFonts w:ascii="Calibri" w:hAnsi="Calibri"/>
                <w:b w:val="0"/>
                <w:i w:val="0"/>
                <w:color w:val="000000"/>
                <w:sz w:val="14"/>
              </w:rPr>
              <w:t>64</w:t>
            </w:r>
          </w:p>
        </w:tc>
        <w:tc>
          <w:tcPr>
            <w:tcW w:type="dxa" w:w="3659"/>
            <w:vAlign w:val="center"/>
          </w:tcPr>
          <w:p>
            <w:pPr>
              <w:spacing w:after="0" w:line="240" w:lineRule="auto"/>
              <w:jc w:val="center"/>
            </w:pPr>
            <w:r/>
            <w:r>
              <w:rPr>
                <w:rFonts w:ascii="Calibri" w:hAnsi="Calibri"/>
                <w:b w:val="0"/>
                <w:i w:val="0"/>
                <w:color w:val="000000"/>
                <w:sz w:val="14"/>
              </w:rPr>
              <w:t>Mini-batch size</w:t>
            </w:r>
          </w:p>
        </w:tc>
      </w:tr>
      <w:tr>
        <w:tc>
          <w:tcPr>
            <w:tcW w:type="dxa" w:w="2044"/>
            <w:vAlign w:val="center"/>
          </w:tcPr>
          <w:p>
            <w:pPr>
              <w:spacing w:after="0" w:line="240" w:lineRule="auto"/>
              <w:jc w:val="left"/>
            </w:pPr>
            <w:r/>
            <w:r>
              <w:rPr>
                <w:rFonts w:ascii="Calibri" w:hAnsi="Calibri"/>
                <w:b w:val="0"/>
                <w:i w:val="0"/>
                <w:color w:val="000000"/>
                <w:sz w:val="14"/>
              </w:rPr>
              <w:t>RF estimators</w:t>
            </w:r>
          </w:p>
        </w:tc>
        <w:tc>
          <w:tcPr>
            <w:tcW w:type="dxa" w:w="3657"/>
            <w:vAlign w:val="center"/>
          </w:tcPr>
          <w:p>
            <w:pPr>
              <w:spacing w:after="0" w:line="240" w:lineRule="auto"/>
              <w:jc w:val="center"/>
            </w:pPr>
            <w:r/>
            <w:r>
              <w:rPr>
                <w:rFonts w:ascii="Calibri" w:hAnsi="Calibri"/>
                <w:b w:val="0"/>
                <w:i w:val="0"/>
                <w:color w:val="000000"/>
                <w:sz w:val="14"/>
              </w:rPr>
              <w:t>100</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SVR</w:t>
            </w:r>
          </w:p>
        </w:tc>
        <w:tc>
          <w:tcPr>
            <w:tcW w:type="dxa" w:w="3657"/>
            <w:vAlign w:val="center"/>
          </w:tcPr>
          <w:p>
            <w:pPr>
              <w:spacing w:after="0" w:line="240" w:lineRule="auto"/>
              <w:jc w:val="center"/>
            </w:pPr>
            <w:r/>
            <w:r>
              <w:rPr>
                <w:rFonts w:ascii="Calibri" w:hAnsi="Calibri"/>
                <w:b w:val="0"/>
                <w:i w:val="0"/>
                <w:color w:val="000000"/>
                <w:sz w:val="14"/>
              </w:rPr>
              <w:t>RBF; C=8.1; gamma=0.1</w:t>
            </w:r>
          </w:p>
        </w:tc>
        <w:tc>
          <w:tcPr>
            <w:tcW w:type="dxa" w:w="3659"/>
            <w:vAlign w:val="center"/>
          </w:tcPr>
          <w:p>
            <w:pPr>
              <w:spacing w:after="0" w:line="240" w:lineRule="auto"/>
              <w:jc w:val="center"/>
            </w:pPr>
            <w:r/>
            <w:r>
              <w:rPr>
                <w:rFonts w:ascii="Calibri" w:hAnsi="Calibri"/>
                <w:b w:val="0"/>
                <w:i w:val="0"/>
                <w:color w:val="000000"/>
                <w:sz w:val="14"/>
              </w:rPr>
              <w:t>Single-model benchmark</w:t>
            </w:r>
          </w:p>
        </w:tc>
      </w:tr>
      <w:tr>
        <w:tc>
          <w:tcPr>
            <w:tcW w:type="dxa" w:w="2044"/>
            <w:vAlign w:val="center"/>
          </w:tcPr>
          <w:p>
            <w:pPr>
              <w:spacing w:after="0" w:line="240" w:lineRule="auto"/>
              <w:jc w:val="left"/>
            </w:pPr>
            <w:r/>
            <w:r>
              <w:rPr>
                <w:rFonts w:ascii="Calibri" w:hAnsi="Calibri"/>
                <w:b w:val="0"/>
                <w:i w:val="0"/>
                <w:color w:val="000000"/>
                <w:sz w:val="14"/>
              </w:rPr>
              <w:t>Interval levels</w:t>
            </w:r>
          </w:p>
        </w:tc>
        <w:tc>
          <w:tcPr>
            <w:tcW w:type="dxa" w:w="3657"/>
            <w:vAlign w:val="center"/>
          </w:tcPr>
          <w:p>
            <w:pPr>
              <w:spacing w:after="0" w:line="240" w:lineRule="auto"/>
              <w:jc w:val="center"/>
            </w:pPr>
            <w:r/>
            <w:r>
              <w:rPr>
                <w:rFonts w:ascii="Calibri" w:hAnsi="Calibri"/>
                <w:b w:val="0"/>
                <w:i w:val="0"/>
                <w:color w:val="000000"/>
                <w:sz w:val="14"/>
              </w:rPr>
              <w:t>80%, 90%, 95%</w:t>
            </w:r>
          </w:p>
        </w:tc>
        <w:tc>
          <w:tcPr>
            <w:tcW w:type="dxa" w:w="3659"/>
            <w:vAlign w:val="center"/>
          </w:tcPr>
          <w:p>
            <w:pPr>
              <w:spacing w:after="0" w:line="240" w:lineRule="auto"/>
              <w:jc w:val="center"/>
            </w:pPr>
            <w:r/>
            <w:r>
              <w:rPr>
                <w:rFonts w:ascii="Calibri" w:hAnsi="Calibri"/>
                <w:b w:val="0"/>
                <w:i w:val="0"/>
                <w:color w:val="000000"/>
                <w:sz w:val="14"/>
              </w:rPr>
              <w:t>Residual-quantile intervals</w:t>
            </w:r>
          </w:p>
        </w:tc>
      </w:tr>
      <w:tr>
        <w:tc>
          <w:tcPr>
            <w:tcW w:type="dxa" w:w="2044"/>
            <w:vAlign w:val="center"/>
          </w:tcPr>
          <w:p>
            <w:pPr>
              <w:spacing w:after="0" w:line="240" w:lineRule="auto"/>
              <w:jc w:val="left"/>
            </w:pPr>
            <w:r/>
            <w:r>
              <w:rPr>
                <w:rFonts w:ascii="Calibri" w:hAnsi="Calibri"/>
                <w:b w:val="0"/>
                <w:i w:val="0"/>
                <w:color w:val="000000"/>
                <w:sz w:val="14"/>
              </w:rPr>
              <w:t>Random seed</w:t>
            </w:r>
          </w:p>
        </w:tc>
        <w:tc>
          <w:tcPr>
            <w:tcW w:type="dxa" w:w="3657"/>
            <w:vAlign w:val="center"/>
          </w:tcPr>
          <w:p>
            <w:pPr>
              <w:spacing w:after="0" w:line="240" w:lineRule="auto"/>
              <w:jc w:val="center"/>
            </w:pPr>
            <w:r/>
            <w:r>
              <w:rPr>
                <w:rFonts w:ascii="Calibri" w:hAnsi="Calibri"/>
                <w:b w:val="0"/>
                <w:i w:val="0"/>
                <w:color w:val="000000"/>
                <w:sz w:val="14"/>
              </w:rPr>
              <w:t>42</w:t>
            </w:r>
          </w:p>
        </w:tc>
        <w:tc>
          <w:tcPr>
            <w:tcW w:type="dxa" w:w="3659"/>
            <w:vAlign w:val="center"/>
          </w:tcPr>
          <w:p>
            <w:pPr>
              <w:spacing w:after="0" w:line="240" w:lineRule="auto"/>
              <w:jc w:val="center"/>
            </w:pPr>
            <w:r/>
            <w:r>
              <w:rPr>
                <w:rFonts w:ascii="Calibri" w:hAnsi="Calibri"/>
                <w:b w:val="0"/>
                <w:i w:val="0"/>
                <w:color w:val="000000"/>
                <w:sz w:val="14"/>
              </w:rPr>
              <w:t>Reproducibility</w:t>
            </w:r>
          </w:p>
        </w:tc>
      </w:tr>
    </w:tbl>
    <w:p>
      <w:pPr>
        <w:spacing w:after="60"/>
      </w:pPr>
    </w:p>
    <w:p>
      <w:pPr>
        <w:pStyle w:val="Heading3"/>
      </w:pPr>
      <w:r>
        <w:t>Interpretation of Table 2</w:t>
      </w:r>
    </w:p>
    <w:p>
      <w:pPr>
        <w:spacing w:after="160" w:line="320" w:lineRule="auto"/>
        <w:jc w:val="both"/>
      </w:pPr>
      <w:r>
        <w:rPr>
          <w:rFonts w:ascii="Calibri" w:hAnsi="Calibri"/>
          <w:b/>
          <w:i w:val="0"/>
          <w:color w:val="000000"/>
          <w:sz w:val="22"/>
        </w:rPr>
        <w:t>Design choices:</w:t>
      </w:r>
      <w:r>
        <w:rPr>
          <w:rFonts w:ascii="Calibri" w:hAnsi="Calibri"/>
          <w:b w:val="0"/>
          <w:i w:val="0"/>
          <w:color w:val="000000"/>
          <w:sz w:val="22"/>
        </w:rPr>
        <w:t xml:space="preserve"> Five lags provide short daily memory without exhausting a sample of fewer than 720 aligned observations. Hydroxide uses nine VMD modes and carbonate eight because the two price series have different decomposition structures.</w:t>
      </w:r>
    </w:p>
    <w:p>
      <w:pPr>
        <w:spacing w:after="160" w:line="320" w:lineRule="auto"/>
        <w:jc w:val="both"/>
      </w:pPr>
      <w:r>
        <w:rPr>
          <w:rFonts w:ascii="Calibri" w:hAnsi="Calibri"/>
          <w:b/>
          <w:i w:val="0"/>
          <w:color w:val="000000"/>
          <w:sz w:val="22"/>
        </w:rPr>
        <w:t>Model capacity:</w:t>
      </w:r>
      <w:r>
        <w:rPr>
          <w:rFonts w:ascii="Calibri" w:hAnsi="Calibri"/>
          <w:b w:val="0"/>
          <w:i w:val="0"/>
          <w:color w:val="000000"/>
          <w:sz w:val="22"/>
        </w:rPr>
        <w:t xml:space="preserve"> The modest LSTM, 100-tree RF, and pre-specified RBF-SVR settings limit unnecessary capacity in a short daily sample; seed 42 fixes stochastic initialization and supports exact reproducibility.</w:t>
      </w:r>
    </w:p>
    <w:p>
      <w:pPr>
        <w:spacing w:after="160" w:line="320" w:lineRule="auto"/>
        <w:jc w:val="both"/>
      </w:pPr>
      <w:r>
        <w:rPr>
          <w:rFonts w:ascii="Calibri" w:hAnsi="Calibri"/>
          <w:b/>
          <w:i w:val="0"/>
          <w:color w:val="000000"/>
          <w:sz w:val="22"/>
        </w:rPr>
        <w:t>Consequence for inference:</w:t>
      </w:r>
      <w:r>
        <w:rPr>
          <w:rFonts w:ascii="Calibri" w:hAnsi="Calibri"/>
          <w:b w:val="0"/>
          <w:i w:val="0"/>
          <w:color w:val="000000"/>
          <w:sz w:val="22"/>
        </w:rPr>
        <w:t xml:space="preserve"> The 80:20 split is chronological but static. Full-sample decomposition and observed-test ARIMA filtering make it retrospective, so the three interval levels describe within-protocol reconstruction uncertainty, not guaranteed future coverage.</w:t>
      </w:r>
    </w:p>
    <w:p>
      <w:pPr>
        <w:sectPr>
          <w:headerReference w:type="default" r:id="rId9"/>
          <w:footerReference w:type="default" r:id="rId10"/>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3. </w:t>
      </w:r>
      <w:r>
        <w:rPr>
          <w:rFonts w:ascii="Calibri" w:hAnsi="Calibri"/>
          <w:b w:val="0"/>
          <w:i/>
          <w:color w:val="000000"/>
          <w:sz w:val="18"/>
        </w:rPr>
        <w:t>Indicators used in this study.</w:t>
      </w:r>
    </w:p>
    <w:tbl>
      <w:tblPr>
        <w:tblStyle w:val="TableGrid"/>
        <w:tblW w:type="dxa" w:w="13680"/>
        <w:jc w:val="left"/>
        <w:tblLayout w:type="fixed"/>
        <w:tblLook w:firstColumn="1" w:firstRow="1" w:lastColumn="0" w:lastRow="0" w:noHBand="0" w:noVBand="1" w:val="04A0"/>
      </w:tblPr>
      <w:tblGrid>
        <w:gridCol w:w="3012"/>
        <w:gridCol w:w="4267"/>
        <w:gridCol w:w="2133"/>
        <w:gridCol w:w="4268"/>
      </w:tblGrid>
      <w:tr>
        <w:trPr>
          <w:tblHeader w:val="true"/>
        </w:trPr>
        <w:tc>
          <w:tcPr>
            <w:tcW w:type="dxa" w:w="3012"/>
            <w:shd w:fill="F4F6F9"/>
            <w:vAlign w:val="center"/>
          </w:tcPr>
          <w:p>
            <w:pPr>
              <w:jc w:val="center"/>
            </w:pPr>
            <w:r/>
            <w:r>
              <w:rPr>
                <w:rFonts w:ascii="Calibri" w:hAnsi="Calibri"/>
                <w:b/>
                <w:i w:val="0"/>
                <w:color w:val="0B2545"/>
                <w:sz w:val="12"/>
              </w:rPr>
              <w:t>Indicator</w:t>
            </w:r>
          </w:p>
        </w:tc>
        <w:tc>
          <w:tcPr>
            <w:tcW w:type="dxa" w:w="4267"/>
            <w:shd w:fill="F4F6F9"/>
            <w:vAlign w:val="center"/>
          </w:tcPr>
          <w:p>
            <w:pPr>
              <w:jc w:val="center"/>
            </w:pPr>
            <w:r/>
            <w:r>
              <w:rPr>
                <w:rFonts w:ascii="Calibri" w:hAnsi="Calibri"/>
                <w:b/>
                <w:i w:val="0"/>
                <w:color w:val="0B2545"/>
                <w:sz w:val="12"/>
              </w:rPr>
              <w:t>Definition</w:t>
            </w:r>
          </w:p>
        </w:tc>
        <w:tc>
          <w:tcPr>
            <w:tcW w:type="dxa" w:w="2133"/>
            <w:shd w:fill="F4F6F9"/>
            <w:vAlign w:val="center"/>
          </w:tcPr>
          <w:p>
            <w:pPr>
              <w:jc w:val="center"/>
            </w:pPr>
            <w:r/>
            <w:r>
              <w:rPr>
                <w:rFonts w:ascii="Calibri" w:hAnsi="Calibri"/>
                <w:b/>
                <w:i w:val="0"/>
                <w:color w:val="0B2545"/>
                <w:sz w:val="12"/>
              </w:rPr>
              <w:t>Data modality</w:t>
            </w:r>
          </w:p>
        </w:tc>
        <w:tc>
          <w:tcPr>
            <w:tcW w:type="dxa" w:w="4268"/>
            <w:shd w:fill="F4F6F9"/>
            <w:vAlign w:val="center"/>
          </w:tcPr>
          <w:p>
            <w:pPr>
              <w:jc w:val="center"/>
            </w:pPr>
            <w:r/>
            <w:r>
              <w:rPr>
                <w:rFonts w:ascii="Calibri" w:hAnsi="Calibri"/>
                <w:b/>
                <w:i w:val="0"/>
                <w:color w:val="0B2545"/>
                <w:sz w:val="12"/>
              </w:rPr>
              <w:t>Treatment</w:t>
            </w:r>
          </w:p>
        </w:tc>
      </w:tr>
      <w:tr>
        <w:tc>
          <w:tcPr>
            <w:tcW w:type="dxa" w:w="3012"/>
            <w:vAlign w:val="center"/>
          </w:tcPr>
          <w:p>
            <w:pPr>
              <w:spacing w:after="0" w:line="240" w:lineRule="auto"/>
              <w:jc w:val="left"/>
            </w:pPr>
            <w:r/>
            <w:r>
              <w:rPr>
                <w:rFonts w:ascii="Calibri" w:hAnsi="Calibri"/>
                <w:b w:val="0"/>
                <w:i w:val="0"/>
                <w:color w:val="000000"/>
                <w:sz w:val="12"/>
              </w:rPr>
              <w:t>Cross_Lithium_Close</w:t>
            </w:r>
          </w:p>
        </w:tc>
        <w:tc>
          <w:tcPr>
            <w:tcW w:type="dxa" w:w="4267"/>
            <w:vAlign w:val="center"/>
          </w:tcPr>
          <w:p>
            <w:pPr>
              <w:spacing w:after="0" w:line="240" w:lineRule="auto"/>
              <w:jc w:val="center"/>
            </w:pPr>
            <w:r/>
            <w:r>
              <w:rPr>
                <w:rFonts w:ascii="Calibri" w:hAnsi="Calibri"/>
                <w:b w:val="0"/>
                <w:i w:val="0"/>
                <w:color w:val="000000"/>
                <w:sz w:val="12"/>
              </w:rPr>
              <w:t>Price of the other lithium contract/spot target</w:t>
            </w:r>
          </w:p>
        </w:tc>
        <w:tc>
          <w:tcPr>
            <w:tcW w:type="dxa" w:w="2133"/>
            <w:vAlign w:val="center"/>
          </w:tcPr>
          <w:p>
            <w:pPr>
              <w:spacing w:after="0" w:line="240" w:lineRule="auto"/>
              <w:jc w:val="center"/>
            </w:pPr>
            <w:r/>
            <w:r>
              <w:rPr>
                <w:rFonts w:ascii="Calibri" w:hAnsi="Calibri"/>
                <w:b w:val="0"/>
                <w:i w:val="0"/>
                <w:color w:val="000000"/>
                <w:sz w:val="12"/>
              </w:rPr>
              <w:t>Cross Lithium</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Albemarle_Close</w:t>
            </w:r>
          </w:p>
        </w:tc>
        <w:tc>
          <w:tcPr>
            <w:tcW w:type="dxa" w:w="4267"/>
            <w:vAlign w:val="center"/>
          </w:tcPr>
          <w:p>
            <w:pPr>
              <w:spacing w:after="0" w:line="240" w:lineRule="auto"/>
              <w:jc w:val="center"/>
            </w:pPr>
            <w:r/>
            <w:r>
              <w:rPr>
                <w:rFonts w:ascii="Calibri" w:hAnsi="Calibri"/>
                <w:b w:val="0"/>
                <w:i w:val="0"/>
                <w:color w:val="000000"/>
                <w:sz w:val="12"/>
              </w:rPr>
              <w:t>Albemarle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Ganfeng_Lithium_Close</w:t>
            </w:r>
          </w:p>
        </w:tc>
        <w:tc>
          <w:tcPr>
            <w:tcW w:type="dxa" w:w="4267"/>
            <w:vAlign w:val="center"/>
          </w:tcPr>
          <w:p>
            <w:pPr>
              <w:spacing w:after="0" w:line="240" w:lineRule="auto"/>
              <w:jc w:val="center"/>
            </w:pPr>
            <w:r/>
            <w:r>
              <w:rPr>
                <w:rFonts w:ascii="Calibri" w:hAnsi="Calibri"/>
                <w:b w:val="0"/>
                <w:i w:val="0"/>
                <w:color w:val="000000"/>
                <w:sz w:val="12"/>
              </w:rPr>
              <w:t>Ganfeng Lithium equity close</w:t>
            </w:r>
          </w:p>
        </w:tc>
        <w:tc>
          <w:tcPr>
            <w:tcW w:type="dxa" w:w="2133"/>
            <w:vAlign w:val="center"/>
          </w:tcPr>
          <w:p>
            <w:pPr>
              <w:spacing w:after="0" w:line="240" w:lineRule="auto"/>
              <w:jc w:val="center"/>
            </w:pPr>
            <w:r/>
            <w:r>
              <w:rPr>
                <w:rFonts w:ascii="Calibri" w:hAnsi="Calibri"/>
                <w:b w:val="0"/>
                <w:i w:val="0"/>
                <w:color w:val="000000"/>
                <w:sz w:val="12"/>
              </w:rPr>
              <w:t>Lithium Equities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w:t>
            </w:r>
          </w:p>
        </w:tc>
        <w:tc>
          <w:tcPr>
            <w:tcW w:type="dxa" w:w="4267"/>
            <w:vAlign w:val="center"/>
          </w:tcPr>
          <w:p>
            <w:pPr>
              <w:spacing w:after="0" w:line="240" w:lineRule="auto"/>
              <w:jc w:val="center"/>
            </w:pPr>
            <w:r/>
            <w:r>
              <w:rPr>
                <w:rFonts w:ascii="Calibri" w:hAnsi="Calibri"/>
                <w:b w:val="0"/>
                <w:i w:val="0"/>
                <w:color w:val="000000"/>
                <w:sz w:val="12"/>
              </w:rPr>
              <w:t>Google Trends: lithium</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Trends_lithium_price</w:t>
            </w:r>
          </w:p>
        </w:tc>
        <w:tc>
          <w:tcPr>
            <w:tcW w:type="dxa" w:w="4267"/>
            <w:vAlign w:val="center"/>
          </w:tcPr>
          <w:p>
            <w:pPr>
              <w:spacing w:after="0" w:line="240" w:lineRule="auto"/>
              <w:jc w:val="center"/>
            </w:pPr>
            <w:r/>
            <w:r>
              <w:rPr>
                <w:rFonts w:ascii="Calibri" w:hAnsi="Calibri"/>
                <w:b w:val="0"/>
                <w:i w:val="0"/>
                <w:color w:val="000000"/>
                <w:sz w:val="12"/>
              </w:rPr>
              <w:t>Google Trends: lithium price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Trends_lithium_carbonate</w:t>
            </w:r>
          </w:p>
        </w:tc>
        <w:tc>
          <w:tcPr>
            <w:tcW w:type="dxa" w:w="4267"/>
            <w:vAlign w:val="center"/>
          </w:tcPr>
          <w:p>
            <w:pPr>
              <w:spacing w:after="0" w:line="240" w:lineRule="auto"/>
              <w:jc w:val="center"/>
            </w:pPr>
            <w:r/>
            <w:r>
              <w:rPr>
                <w:rFonts w:ascii="Calibri" w:hAnsi="Calibri"/>
                <w:b w:val="0"/>
                <w:i w:val="0"/>
                <w:color w:val="000000"/>
                <w:sz w:val="12"/>
              </w:rPr>
              <w:t>Google Trends: lithium carbonate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Trends_lithium_hydroxide</w:t>
            </w:r>
          </w:p>
        </w:tc>
        <w:tc>
          <w:tcPr>
            <w:tcW w:type="dxa" w:w="4267"/>
            <w:vAlign w:val="center"/>
          </w:tcPr>
          <w:p>
            <w:pPr>
              <w:spacing w:after="0" w:line="240" w:lineRule="auto"/>
              <w:jc w:val="center"/>
            </w:pPr>
            <w:r/>
            <w:r>
              <w:rPr>
                <w:rFonts w:ascii="Calibri" w:hAnsi="Calibri"/>
                <w:b w:val="0"/>
                <w:i w:val="0"/>
                <w:color w:val="000000"/>
                <w:sz w:val="12"/>
              </w:rPr>
              <w:t>Google Trends: lithium hydroxide</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Trends_lithium_battery</w:t>
            </w:r>
          </w:p>
        </w:tc>
        <w:tc>
          <w:tcPr>
            <w:tcW w:type="dxa" w:w="4267"/>
            <w:vAlign w:val="center"/>
          </w:tcPr>
          <w:p>
            <w:pPr>
              <w:spacing w:after="0" w:line="240" w:lineRule="auto"/>
              <w:jc w:val="center"/>
            </w:pPr>
            <w:r/>
            <w:r>
              <w:rPr>
                <w:rFonts w:ascii="Calibri" w:hAnsi="Calibri"/>
                <w:b w:val="0"/>
                <w:i w:val="0"/>
                <w:color w:val="000000"/>
                <w:sz w:val="12"/>
              </w:rPr>
              <w:t>Google Trends: lithium battery</w:t>
            </w:r>
          </w:p>
        </w:tc>
        <w:tc>
          <w:tcPr>
            <w:tcW w:type="dxa" w:w="2133"/>
            <w:vAlign w:val="center"/>
          </w:tcPr>
          <w:p>
            <w:pPr>
              <w:spacing w:after="0" w:line="240" w:lineRule="auto"/>
              <w:jc w:val="center"/>
            </w:pPr>
            <w:r/>
            <w:r>
              <w:rPr>
                <w:rFonts w:ascii="Calibri" w:hAnsi="Calibri"/>
                <w:b w:val="0"/>
                <w:i w:val="0"/>
                <w:color w:val="000000"/>
                <w:sz w:val="12"/>
              </w:rPr>
              <w:t>Lithium Attention</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News_Article_Count</w:t>
            </w:r>
          </w:p>
        </w:tc>
        <w:tc>
          <w:tcPr>
            <w:tcW w:type="dxa" w:w="4267"/>
            <w:vAlign w:val="center"/>
          </w:tcPr>
          <w:p>
            <w:pPr>
              <w:spacing w:after="0" w:line="240" w:lineRule="auto"/>
              <w:jc w:val="center"/>
            </w:pPr>
            <w:r/>
            <w:r>
              <w:rPr>
                <w:rFonts w:ascii="Calibri" w:hAnsi="Calibri"/>
                <w:b w:val="0"/>
                <w:i w:val="0"/>
                <w:color w:val="000000"/>
                <w:sz w:val="12"/>
              </w:rPr>
              <w:t>Lithium-headline volume</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News_TextBlob_Polarity</w:t>
            </w:r>
          </w:p>
        </w:tc>
        <w:tc>
          <w:tcPr>
            <w:tcW w:type="dxa" w:w="4267"/>
            <w:vAlign w:val="center"/>
          </w:tcPr>
          <w:p>
            <w:pPr>
              <w:spacing w:after="0" w:line="240" w:lineRule="auto"/>
              <w:jc w:val="center"/>
            </w:pPr>
            <w:r/>
            <w:r>
              <w:rPr>
                <w:rFonts w:ascii="Calibri" w:hAnsi="Calibri"/>
                <w:b w:val="0"/>
                <w:i w:val="0"/>
                <w:color w:val="000000"/>
                <w:sz w:val="12"/>
              </w:rPr>
              <w:t>Lexicon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News_FinBERT_Score</w:t>
            </w:r>
          </w:p>
        </w:tc>
        <w:tc>
          <w:tcPr>
            <w:tcW w:type="dxa" w:w="4267"/>
            <w:vAlign w:val="center"/>
          </w:tcPr>
          <w:p>
            <w:pPr>
              <w:spacing w:after="0" w:line="240" w:lineRule="auto"/>
              <w:jc w:val="center"/>
            </w:pPr>
            <w:r/>
            <w:r>
              <w:rPr>
                <w:rFonts w:ascii="Calibri" w:hAnsi="Calibri"/>
                <w:b w:val="0"/>
                <w:i w:val="0"/>
                <w:color w:val="000000"/>
                <w:sz w:val="12"/>
              </w:rPr>
              <w:t>Financial-language sentiment of lithium headlines</w:t>
            </w:r>
          </w:p>
        </w:tc>
        <w:tc>
          <w:tcPr>
            <w:tcW w:type="dxa" w:w="2133"/>
            <w:vAlign w:val="center"/>
          </w:tcPr>
          <w:p>
            <w:pPr>
              <w:spacing w:after="0" w:line="240" w:lineRule="auto"/>
              <w:jc w:val="center"/>
            </w:pPr>
            <w:r/>
            <w:r>
              <w:rPr>
                <w:rFonts w:ascii="Calibri" w:hAnsi="Calibri"/>
                <w:b w:val="0"/>
                <w:i w:val="0"/>
                <w:color w:val="000000"/>
                <w:sz w:val="12"/>
              </w:rPr>
              <w:t>Lithium News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SP500</w:t>
            </w:r>
          </w:p>
        </w:tc>
        <w:tc>
          <w:tcPr>
            <w:tcW w:type="dxa" w:w="4267"/>
            <w:vAlign w:val="center"/>
          </w:tcPr>
          <w:p>
            <w:pPr>
              <w:spacing w:after="0" w:line="240" w:lineRule="auto"/>
              <w:jc w:val="center"/>
            </w:pPr>
            <w:r/>
            <w:r>
              <w:rPr>
                <w:rFonts w:ascii="Calibri" w:hAnsi="Calibri"/>
                <w:b w:val="0"/>
                <w:i w:val="0"/>
                <w:color w:val="000000"/>
                <w:sz w:val="12"/>
              </w:rPr>
              <w:t>S&amp;P 500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VIX</w:t>
            </w:r>
          </w:p>
        </w:tc>
        <w:tc>
          <w:tcPr>
            <w:tcW w:type="dxa" w:w="4267"/>
            <w:vAlign w:val="center"/>
          </w:tcPr>
          <w:p>
            <w:pPr>
              <w:spacing w:after="0" w:line="240" w:lineRule="auto"/>
              <w:jc w:val="center"/>
            </w:pPr>
            <w:r/>
            <w:r>
              <w:rPr>
                <w:rFonts w:ascii="Calibri" w:hAnsi="Calibri"/>
                <w:b w:val="0"/>
                <w:i w:val="0"/>
                <w:color w:val="000000"/>
                <w:sz w:val="12"/>
              </w:rPr>
              <w:t>CBOE VIX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US_Dollar_Index</w:t>
            </w:r>
          </w:p>
        </w:tc>
        <w:tc>
          <w:tcPr>
            <w:tcW w:type="dxa" w:w="4267"/>
            <w:vAlign w:val="center"/>
          </w:tcPr>
          <w:p>
            <w:pPr>
              <w:spacing w:after="0" w:line="240" w:lineRule="auto"/>
              <w:jc w:val="center"/>
            </w:pPr>
            <w:r/>
            <w:r>
              <w:rPr>
                <w:rFonts w:ascii="Calibri" w:hAnsi="Calibri"/>
                <w:b w:val="0"/>
                <w:i w:val="0"/>
                <w:color w:val="000000"/>
                <w:sz w:val="12"/>
              </w:rPr>
              <w:t>US dollar index close</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r>
        <w:tc>
          <w:tcPr>
            <w:tcW w:type="dxa" w:w="3012"/>
            <w:vAlign w:val="center"/>
          </w:tcPr>
          <w:p>
            <w:pPr>
              <w:spacing w:after="0" w:line="240" w:lineRule="auto"/>
              <w:jc w:val="left"/>
            </w:pPr>
            <w:r/>
            <w:r>
              <w:rPr>
                <w:rFonts w:ascii="Calibri" w:hAnsi="Calibri"/>
                <w:b w:val="0"/>
                <w:i w:val="0"/>
                <w:color w:val="000000"/>
                <w:sz w:val="12"/>
              </w:rPr>
              <w:t>MVIS_Critical_Minerals</w:t>
            </w:r>
          </w:p>
        </w:tc>
        <w:tc>
          <w:tcPr>
            <w:tcW w:type="dxa" w:w="4267"/>
            <w:vAlign w:val="center"/>
          </w:tcPr>
          <w:p>
            <w:pPr>
              <w:spacing w:after="0" w:line="240" w:lineRule="auto"/>
              <w:jc w:val="center"/>
            </w:pPr>
            <w:r/>
            <w:r>
              <w:rPr>
                <w:rFonts w:ascii="Calibri" w:hAnsi="Calibri"/>
                <w:b w:val="0"/>
                <w:i w:val="0"/>
                <w:color w:val="000000"/>
                <w:sz w:val="12"/>
              </w:rPr>
              <w:t>MVIS Global Rare Earth/Strategic Metals index</w:t>
            </w:r>
          </w:p>
        </w:tc>
        <w:tc>
          <w:tcPr>
            <w:tcW w:type="dxa" w:w="2133"/>
            <w:vAlign w:val="center"/>
          </w:tcPr>
          <w:p>
            <w:pPr>
              <w:spacing w:after="0" w:line="240" w:lineRule="auto"/>
              <w:jc w:val="center"/>
            </w:pPr>
            <w:r/>
            <w:r>
              <w:rPr>
                <w:rFonts w:ascii="Calibri" w:hAnsi="Calibri"/>
                <w:b w:val="0"/>
                <w:i w:val="0"/>
                <w:color w:val="000000"/>
                <w:sz w:val="12"/>
              </w:rPr>
              <w:t>Market Controls</w:t>
            </w:r>
          </w:p>
        </w:tc>
        <w:tc>
          <w:tcPr>
            <w:tcW w:type="dxa" w:w="4268"/>
            <w:vAlign w:val="center"/>
          </w:tcPr>
          <w:p>
            <w:pPr>
              <w:spacing w:after="0" w:line="240" w:lineRule="auto"/>
              <w:jc w:val="center"/>
            </w:pPr>
            <w:r/>
            <w:r>
              <w:rPr>
                <w:rFonts w:ascii="Calibri" w:hAnsi="Calibri"/>
                <w:b w:val="0"/>
                <w:i w:val="0"/>
                <w:color w:val="000000"/>
                <w:sz w:val="12"/>
              </w:rPr>
              <w:t>Aligned to target trading date; lagged in model frame</w:t>
            </w:r>
          </w:p>
        </w:tc>
      </w:tr>
    </w:tbl>
    <w:p>
      <w:pPr>
        <w:spacing w:after="60"/>
      </w:pPr>
    </w:p>
    <w:p>
      <w:pPr>
        <w:pStyle w:val="Heading3"/>
      </w:pPr>
      <w:r>
        <w:t>Interpretation of Table 3</w:t>
      </w:r>
    </w:p>
    <w:p>
      <w:pPr>
        <w:spacing w:after="160" w:line="320" w:lineRule="auto"/>
        <w:jc w:val="both"/>
      </w:pPr>
      <w:r>
        <w:rPr>
          <w:rFonts w:ascii="Calibri" w:hAnsi="Calibri"/>
          <w:b/>
          <w:i w:val="0"/>
          <w:color w:val="000000"/>
          <w:sz w:val="22"/>
        </w:rPr>
        <w:t>Information architecture:</w:t>
      </w:r>
      <w:r>
        <w:rPr>
          <w:rFonts w:ascii="Calibri" w:hAnsi="Calibri"/>
          <w:b w:val="0"/>
          <w:i w:val="0"/>
          <w:color w:val="000000"/>
          <w:sz w:val="22"/>
        </w:rPr>
        <w:t xml:space="preserve"> The 15 indicators form five economically distinct blocks: one cross-lithium price, two lithium-equity signals, five Google Trends attention series, three lithium-news variables, and four market controls. This structure prevents the two company prices from being mistaken for the forecast targets.</w:t>
      </w:r>
    </w:p>
    <w:p>
      <w:pPr>
        <w:spacing w:after="160" w:line="320" w:lineRule="auto"/>
        <w:jc w:val="both"/>
      </w:pPr>
      <w:r>
        <w:rPr>
          <w:rFonts w:ascii="Calibri" w:hAnsi="Calibri"/>
          <w:b/>
          <w:i w:val="0"/>
          <w:color w:val="000000"/>
          <w:sz w:val="22"/>
        </w:rPr>
        <w:t>Economic interpretation:</w:t>
      </w:r>
      <w:r>
        <w:rPr>
          <w:rFonts w:ascii="Calibri" w:hAnsi="Calibri"/>
          <w:b w:val="0"/>
          <w:i w:val="0"/>
          <w:color w:val="000000"/>
          <w:sz w:val="22"/>
        </w:rPr>
        <w:t xml:space="preserve"> Cross-lithium price captures linkage between hydroxide and carbonate; Albemarle and Ganfeng proxy listed-market expectations; attention and news variables capture information demand and tone; and the S&amp;P 500, VIX, dollar, and MVIS variables capture broad risk and sector conditions.</w:t>
      </w:r>
    </w:p>
    <w:p>
      <w:pPr>
        <w:spacing w:after="160" w:line="320" w:lineRule="auto"/>
        <w:jc w:val="both"/>
      </w:pPr>
      <w:r>
        <w:rPr>
          <w:rFonts w:ascii="Calibri" w:hAnsi="Calibri"/>
          <w:b/>
          <w:i w:val="0"/>
          <w:color w:val="000000"/>
          <w:sz w:val="22"/>
        </w:rPr>
        <w:t>Timing qualification:</w:t>
      </w:r>
      <w:r>
        <w:rPr>
          <w:rFonts w:ascii="Calibri" w:hAnsi="Calibri"/>
          <w:b w:val="0"/>
          <w:i w:val="0"/>
          <w:color w:val="000000"/>
          <w:sz w:val="22"/>
        </w:rPr>
        <w:t xml:space="preserve"> Indicators are aligned to target dates and lagged in the model frame, but lagging alone does not make the overall experiment causal. Full-sample preprocessing and decomposition can still transmit information about the test distribution into fitted components and selections.</w:t>
      </w:r>
    </w:p>
    <w:p>
      <w:pPr>
        <w:sectPr>
          <w:pgSz w:w="15840" w:h="12240" w:orient="landscape"/>
          <w:pgMar w:top="1037" w:right="1037" w:bottom="1037" w:left="1037" w:header="605" w:footer="605" w:gutter="0"/>
          <w:cols w:space="720"/>
          <w:docGrid w:linePitch="360"/>
        </w:sectPr>
      </w:pPr>
    </w:p>
    <w:p>
      <w:pPr>
        <w:pStyle w:val="Heading1"/>
      </w:pPr>
      <w:r>
        <w:t>4. Data and descriptive evidence</w:t>
      </w:r>
    </w:p>
    <w:p>
      <w:pPr>
        <w:spacing w:after="160" w:line="320" w:lineRule="auto"/>
        <w:jc w:val="both"/>
      </w:pPr>
      <w:r>
        <w:rPr>
          <w:rFonts w:ascii="Calibri" w:hAnsi="Calibri"/>
          <w:b w:val="0"/>
          <w:i w:val="0"/>
          <w:color w:val="000000"/>
          <w:sz w:val="22"/>
        </w:rPr>
        <w:t>The targets are the COMEX lithium hydroxide CIF CJK electronic futures continuation and the SMM 99.5% battery-grade domestic lithium carbonate spot series. The common multimodal sample begins in May 2023 and ends in March 2026. Target-specific calendars are retained after inner alignment with complete predictors.</w:t>
      </w:r>
    </w:p>
    <w:p>
      <w:pPr>
        <w:spacing w:after="160" w:line="320" w:lineRule="auto"/>
        <w:jc w:val="both"/>
      </w:pPr>
      <w:r>
        <w:rPr>
          <w:rFonts w:ascii="Calibri" w:hAnsi="Calibri"/>
          <w:b w:val="0"/>
          <w:i w:val="0"/>
          <w:color w:val="000000"/>
          <w:sz w:val="22"/>
        </w:rPr>
        <w:t>The information set contains the other lithium price, Albemarle and Ganfeng equity closes, five jointly normalized Google Trends series, lithium-specific headline volume, TextBlob polarity, FinBERT sentiment, the S&amp;P 500, VIX, US dollar index, and MVIS critical-minerals index. Company prices are signals, not forecast targets. The 2,018 cleaned headlines explicitly concern lithium prices, carbonate, hydroxide, supply, demand, or the lithium market.</w:t>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4. </w:t>
      </w:r>
      <w:r>
        <w:rPr>
          <w:rFonts w:ascii="Calibri" w:hAnsi="Calibri"/>
          <w:b w:val="0"/>
          <w:i/>
          <w:color w:val="000000"/>
          <w:sz w:val="18"/>
        </w:rPr>
        <w:t>Statistical information for the forecasting targets and multimodal indicators.</w:t>
      </w:r>
    </w:p>
    <w:tbl>
      <w:tblPr>
        <w:tblStyle w:val="TableGrid"/>
        <w:tblW w:type="dxa" w:w="13680"/>
        <w:jc w:val="left"/>
        <w:tblLayout w:type="fixed"/>
        <w:tblLook w:firstColumn="1" w:firstRow="1" w:lastColumn="0" w:lastRow="0" w:noHBand="0" w:noVBand="1" w:val="04A0"/>
      </w:tblPr>
      <w:tblGrid>
        <w:gridCol w:w="4605"/>
        <w:gridCol w:w="2302"/>
        <w:gridCol w:w="1083"/>
        <w:gridCol w:w="1489"/>
        <w:gridCol w:w="1354"/>
        <w:gridCol w:w="1354"/>
        <w:gridCol w:w="1493"/>
      </w:tblGrid>
      <w:tr>
        <w:trPr>
          <w:tblHeader w:val="true"/>
        </w:trPr>
        <w:tc>
          <w:tcPr>
            <w:tcW w:type="dxa" w:w="4605"/>
            <w:shd w:fill="F4F6F9"/>
            <w:vAlign w:val="center"/>
          </w:tcPr>
          <w:p>
            <w:pPr>
              <w:jc w:val="center"/>
            </w:pPr>
            <w:r/>
            <w:r>
              <w:rPr>
                <w:rFonts w:ascii="Calibri" w:hAnsi="Calibri"/>
                <w:b/>
                <w:i w:val="0"/>
                <w:color w:val="0B2545"/>
                <w:sz w:val="11"/>
              </w:rPr>
              <w:t>Series</w:t>
            </w:r>
          </w:p>
        </w:tc>
        <w:tc>
          <w:tcPr>
            <w:tcW w:type="dxa" w:w="2302"/>
            <w:shd w:fill="F4F6F9"/>
            <w:vAlign w:val="center"/>
          </w:tcPr>
          <w:p>
            <w:pPr>
              <w:jc w:val="center"/>
            </w:pPr>
            <w:r/>
            <w:r>
              <w:rPr>
                <w:rFonts w:ascii="Calibri" w:hAnsi="Calibri"/>
                <w:b/>
                <w:i w:val="0"/>
                <w:color w:val="0B2545"/>
                <w:sz w:val="11"/>
              </w:rPr>
              <w:t>Panel</w:t>
            </w:r>
          </w:p>
        </w:tc>
        <w:tc>
          <w:tcPr>
            <w:tcW w:type="dxa" w:w="1083"/>
            <w:shd w:fill="F4F6F9"/>
            <w:vAlign w:val="center"/>
          </w:tcPr>
          <w:p>
            <w:pPr>
              <w:jc w:val="center"/>
            </w:pPr>
            <w:r/>
            <w:r>
              <w:rPr>
                <w:rFonts w:ascii="Calibri" w:hAnsi="Calibri"/>
                <w:b/>
                <w:i w:val="0"/>
                <w:color w:val="0B2545"/>
                <w:sz w:val="11"/>
              </w:rPr>
              <w:t>N</w:t>
            </w:r>
          </w:p>
        </w:tc>
        <w:tc>
          <w:tcPr>
            <w:tcW w:type="dxa" w:w="1489"/>
            <w:shd w:fill="F4F6F9"/>
            <w:vAlign w:val="center"/>
          </w:tcPr>
          <w:p>
            <w:pPr>
              <w:jc w:val="center"/>
            </w:pPr>
            <w:r/>
            <w:r>
              <w:rPr>
                <w:rFonts w:ascii="Calibri" w:hAnsi="Calibri"/>
                <w:b/>
                <w:i w:val="0"/>
                <w:color w:val="0B2545"/>
                <w:sz w:val="11"/>
              </w:rPr>
              <w:t>Mean</w:t>
            </w:r>
          </w:p>
        </w:tc>
        <w:tc>
          <w:tcPr>
            <w:tcW w:type="dxa" w:w="1354"/>
            <w:shd w:fill="F4F6F9"/>
            <w:vAlign w:val="center"/>
          </w:tcPr>
          <w:p>
            <w:pPr>
              <w:jc w:val="center"/>
            </w:pPr>
            <w:r/>
            <w:r>
              <w:rPr>
                <w:rFonts w:ascii="Calibri" w:hAnsi="Calibri"/>
                <w:b/>
                <w:i w:val="0"/>
                <w:color w:val="0B2545"/>
                <w:sz w:val="11"/>
              </w:rPr>
              <w:t>Std. dev.</w:t>
            </w:r>
          </w:p>
        </w:tc>
        <w:tc>
          <w:tcPr>
            <w:tcW w:type="dxa" w:w="1354"/>
            <w:shd w:fill="F4F6F9"/>
            <w:vAlign w:val="center"/>
          </w:tcPr>
          <w:p>
            <w:pPr>
              <w:jc w:val="center"/>
            </w:pPr>
            <w:r/>
            <w:r>
              <w:rPr>
                <w:rFonts w:ascii="Calibri" w:hAnsi="Calibri"/>
                <w:b/>
                <w:i w:val="0"/>
                <w:color w:val="0B2545"/>
                <w:sz w:val="11"/>
              </w:rPr>
              <w:t>Minimum</w:t>
            </w:r>
          </w:p>
        </w:tc>
        <w:tc>
          <w:tcPr>
            <w:tcW w:type="dxa" w:w="1493"/>
            <w:shd w:fill="F4F6F9"/>
            <w:vAlign w:val="center"/>
          </w:tcPr>
          <w:p>
            <w:pPr>
              <w:jc w:val="center"/>
            </w:pPr>
            <w:r/>
            <w:r>
              <w:rPr>
                <w:rFonts w:ascii="Calibri" w:hAnsi="Calibri"/>
                <w:b/>
                <w:i w:val="0"/>
                <w:color w:val="0B2545"/>
                <w:sz w:val="11"/>
              </w:rPr>
              <w:t>Maximum</w:t>
            </w:r>
          </w:p>
        </w:tc>
      </w:tr>
      <w:tr>
        <w:tc>
          <w:tcPr>
            <w:tcW w:type="dxa" w:w="4605"/>
            <w:vAlign w:val="center"/>
          </w:tcPr>
          <w:p>
            <w:pPr>
              <w:spacing w:after="0" w:line="240" w:lineRule="auto"/>
              <w:jc w:val="left"/>
            </w:pPr>
            <w:r/>
            <w:r>
              <w:rPr>
                <w:rFonts w:ascii="Calibri" w:hAnsi="Calibri"/>
                <w:b w:val="0"/>
                <w:i w:val="0"/>
                <w:color w:val="000000"/>
                <w:sz w:val="11"/>
              </w:rPr>
              <w:t>COMEX lithium hydroxide CIF CJK futures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16.1793</w:t>
            </w:r>
          </w:p>
        </w:tc>
        <w:tc>
          <w:tcPr>
            <w:tcW w:type="dxa" w:w="1354"/>
            <w:vAlign w:val="center"/>
          </w:tcPr>
          <w:p>
            <w:pPr>
              <w:spacing w:after="0" w:line="240" w:lineRule="auto"/>
              <w:jc w:val="center"/>
            </w:pPr>
            <w:r/>
            <w:r>
              <w:rPr>
                <w:rFonts w:ascii="Calibri" w:hAnsi="Calibri"/>
                <w:b w:val="0"/>
                <w:i w:val="0"/>
                <w:color w:val="000000"/>
                <w:sz w:val="11"/>
              </w:rPr>
              <w:t>10.6226</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117847.7654</w:t>
            </w:r>
          </w:p>
        </w:tc>
        <w:tc>
          <w:tcPr>
            <w:tcW w:type="dxa" w:w="1354"/>
            <w:vAlign w:val="center"/>
          </w:tcPr>
          <w:p>
            <w:pPr>
              <w:spacing w:after="0" w:line="240" w:lineRule="auto"/>
              <w:jc w:val="center"/>
            </w:pPr>
            <w:r/>
            <w:r>
              <w:rPr>
                <w:rFonts w:ascii="Calibri" w:hAnsi="Calibri"/>
                <w:b w:val="0"/>
                <w:i w:val="0"/>
                <w:color w:val="000000"/>
                <w:sz w:val="11"/>
              </w:rPr>
              <w:t>65912.1252</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119.4812</w:t>
            </w:r>
          </w:p>
        </w:tc>
        <w:tc>
          <w:tcPr>
            <w:tcW w:type="dxa" w:w="1354"/>
            <w:vAlign w:val="center"/>
          </w:tcPr>
          <w:p>
            <w:pPr>
              <w:spacing w:after="0" w:line="240" w:lineRule="auto"/>
              <w:jc w:val="center"/>
            </w:pPr>
            <w:r/>
            <w:r>
              <w:rPr>
                <w:rFonts w:ascii="Calibri" w:hAnsi="Calibri"/>
                <w:b w:val="0"/>
                <w:i w:val="0"/>
                <w:color w:val="000000"/>
                <w:sz w:val="11"/>
              </w:rPr>
              <w:t>45.8361</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6.1056</w:t>
            </w:r>
          </w:p>
        </w:tc>
        <w:tc>
          <w:tcPr>
            <w:tcW w:type="dxa" w:w="1354"/>
            <w:vAlign w:val="center"/>
          </w:tcPr>
          <w:p>
            <w:pPr>
              <w:spacing w:after="0" w:line="240" w:lineRule="auto"/>
              <w:jc w:val="center"/>
            </w:pPr>
            <w:r/>
            <w:r>
              <w:rPr>
                <w:rFonts w:ascii="Calibri" w:hAnsi="Calibri"/>
                <w:b w:val="0"/>
                <w:i w:val="0"/>
                <w:color w:val="000000"/>
                <w:sz w:val="11"/>
              </w:rPr>
              <w:t>1.9515</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56.7283</w:t>
            </w:r>
          </w:p>
        </w:tc>
        <w:tc>
          <w:tcPr>
            <w:tcW w:type="dxa" w:w="1354"/>
            <w:vAlign w:val="center"/>
          </w:tcPr>
          <w:p>
            <w:pPr>
              <w:spacing w:after="0" w:line="240" w:lineRule="auto"/>
              <w:jc w:val="center"/>
            </w:pPr>
            <w:r/>
            <w:r>
              <w:rPr>
                <w:rFonts w:ascii="Calibri" w:hAnsi="Calibri"/>
                <w:b w:val="0"/>
                <w:i w:val="0"/>
                <w:color w:val="000000"/>
                <w:sz w:val="11"/>
              </w:rPr>
              <w:t>14.0280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4.0056</w:t>
            </w:r>
          </w:p>
        </w:tc>
        <w:tc>
          <w:tcPr>
            <w:tcW w:type="dxa" w:w="1354"/>
            <w:vAlign w:val="center"/>
          </w:tcPr>
          <w:p>
            <w:pPr>
              <w:spacing w:after="0" w:line="240" w:lineRule="auto"/>
              <w:jc w:val="center"/>
            </w:pPr>
            <w:r/>
            <w:r>
              <w:rPr>
                <w:rFonts w:ascii="Calibri" w:hAnsi="Calibri"/>
                <w:b w:val="0"/>
                <w:i w:val="0"/>
                <w:color w:val="000000"/>
                <w:sz w:val="11"/>
              </w:rPr>
              <w:t>3.7882</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1.0616</w:t>
            </w:r>
          </w:p>
        </w:tc>
        <w:tc>
          <w:tcPr>
            <w:tcW w:type="dxa" w:w="1354"/>
            <w:vAlign w:val="center"/>
          </w:tcPr>
          <w:p>
            <w:pPr>
              <w:spacing w:after="0" w:line="240" w:lineRule="auto"/>
              <w:jc w:val="center"/>
            </w:pPr>
            <w:r/>
            <w:r>
              <w:rPr>
                <w:rFonts w:ascii="Calibri" w:hAnsi="Calibri"/>
                <w:b w:val="0"/>
                <w:i w:val="0"/>
                <w:color w:val="000000"/>
                <w:sz w:val="11"/>
              </w:rPr>
              <w:t>0.3694</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0.1933</w:t>
            </w:r>
          </w:p>
        </w:tc>
        <w:tc>
          <w:tcPr>
            <w:tcW w:type="dxa" w:w="1354"/>
            <w:vAlign w:val="center"/>
          </w:tcPr>
          <w:p>
            <w:pPr>
              <w:spacing w:after="0" w:line="240" w:lineRule="auto"/>
              <w:jc w:val="center"/>
            </w:pPr>
            <w:r/>
            <w:r>
              <w:rPr>
                <w:rFonts w:ascii="Calibri" w:hAnsi="Calibri"/>
                <w:b w:val="0"/>
                <w:i w:val="0"/>
                <w:color w:val="000000"/>
                <w:sz w:val="11"/>
              </w:rPr>
              <w:t>0.3951</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714.0000</w:t>
            </w:r>
          </w:p>
        </w:tc>
        <w:tc>
          <w:tcPr>
            <w:tcW w:type="dxa" w:w="1489"/>
            <w:vAlign w:val="center"/>
          </w:tcPr>
          <w:p>
            <w:pPr>
              <w:spacing w:after="0" w:line="240" w:lineRule="auto"/>
              <w:jc w:val="center"/>
            </w:pPr>
            <w:r/>
            <w:r>
              <w:rPr>
                <w:rFonts w:ascii="Calibri" w:hAnsi="Calibri"/>
                <w:b w:val="0"/>
                <w:i w:val="0"/>
                <w:color w:val="000000"/>
                <w:sz w:val="11"/>
              </w:rPr>
              <w:t>17.8291</w:t>
            </w:r>
          </w:p>
        </w:tc>
        <w:tc>
          <w:tcPr>
            <w:tcW w:type="dxa" w:w="1354"/>
            <w:vAlign w:val="center"/>
          </w:tcPr>
          <w:p>
            <w:pPr>
              <w:spacing w:after="0" w:line="240" w:lineRule="auto"/>
              <w:jc w:val="center"/>
            </w:pPr>
            <w:r/>
            <w:r>
              <w:rPr>
                <w:rFonts w:ascii="Calibri" w:hAnsi="Calibri"/>
                <w:b w:val="0"/>
                <w:i w:val="0"/>
                <w:color w:val="000000"/>
                <w:sz w:val="11"/>
              </w:rPr>
              <w:t>5.2784</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2.6383</w:t>
            </w:r>
          </w:p>
        </w:tc>
        <w:tc>
          <w:tcPr>
            <w:tcW w:type="dxa" w:w="1354"/>
            <w:vAlign w:val="center"/>
          </w:tcPr>
          <w:p>
            <w:pPr>
              <w:spacing w:after="0" w:line="240" w:lineRule="auto"/>
              <w:jc w:val="center"/>
            </w:pPr>
            <w:r/>
            <w:r>
              <w:rPr>
                <w:rFonts w:ascii="Calibri" w:hAnsi="Calibri"/>
                <w:b w:val="0"/>
                <w:i w:val="0"/>
                <w:color w:val="000000"/>
                <w:sz w:val="11"/>
              </w:rPr>
              <w:t>2.6123</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0.0521</w:t>
            </w:r>
          </w:p>
        </w:tc>
        <w:tc>
          <w:tcPr>
            <w:tcW w:type="dxa" w:w="1354"/>
            <w:vAlign w:val="center"/>
          </w:tcPr>
          <w:p>
            <w:pPr>
              <w:spacing w:after="0" w:line="240" w:lineRule="auto"/>
              <w:jc w:val="center"/>
            </w:pPr>
            <w:r/>
            <w:r>
              <w:rPr>
                <w:rFonts w:ascii="Calibri" w:hAnsi="Calibri"/>
                <w:b w:val="0"/>
                <w:i w:val="0"/>
                <w:color w:val="000000"/>
                <w:sz w:val="11"/>
              </w:rPr>
              <w:t>0.1121</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0.2116</w:t>
            </w:r>
          </w:p>
        </w:tc>
        <w:tc>
          <w:tcPr>
            <w:tcW w:type="dxa" w:w="1354"/>
            <w:vAlign w:val="center"/>
          </w:tcPr>
          <w:p>
            <w:pPr>
              <w:spacing w:after="0" w:line="240" w:lineRule="auto"/>
              <w:jc w:val="center"/>
            </w:pPr>
            <w:r/>
            <w:r>
              <w:rPr>
                <w:rFonts w:ascii="Calibri" w:hAnsi="Calibri"/>
                <w:b w:val="0"/>
                <w:i w:val="0"/>
                <w:color w:val="000000"/>
                <w:sz w:val="11"/>
              </w:rPr>
              <w:t>0.3766</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5564.4447</w:t>
            </w:r>
          </w:p>
        </w:tc>
        <w:tc>
          <w:tcPr>
            <w:tcW w:type="dxa" w:w="1354"/>
            <w:vAlign w:val="center"/>
          </w:tcPr>
          <w:p>
            <w:pPr>
              <w:spacing w:after="0" w:line="240" w:lineRule="auto"/>
              <w:jc w:val="center"/>
            </w:pPr>
            <w:r/>
            <w:r>
              <w:rPr>
                <w:rFonts w:ascii="Calibri" w:hAnsi="Calibri"/>
                <w:b w:val="0"/>
                <w:i w:val="0"/>
                <w:color w:val="000000"/>
                <w:sz w:val="11"/>
              </w:rPr>
              <w:t>841.7402</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16.9312</w:t>
            </w:r>
          </w:p>
        </w:tc>
        <w:tc>
          <w:tcPr>
            <w:tcW w:type="dxa" w:w="1354"/>
            <w:vAlign w:val="center"/>
          </w:tcPr>
          <w:p>
            <w:pPr>
              <w:spacing w:after="0" w:line="240" w:lineRule="auto"/>
              <w:jc w:val="center"/>
            </w:pPr>
            <w:r/>
            <w:r>
              <w:rPr>
                <w:rFonts w:ascii="Calibri" w:hAnsi="Calibri"/>
                <w:b w:val="0"/>
                <w:i w:val="0"/>
                <w:color w:val="000000"/>
                <w:sz w:val="11"/>
              </w:rPr>
              <w:t>4.3308</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102.4844</w:t>
            </w:r>
          </w:p>
        </w:tc>
        <w:tc>
          <w:tcPr>
            <w:tcW w:type="dxa" w:w="1354"/>
            <w:vAlign w:val="center"/>
          </w:tcPr>
          <w:p>
            <w:pPr>
              <w:spacing w:after="0" w:line="240" w:lineRule="auto"/>
              <w:jc w:val="center"/>
            </w:pPr>
            <w:r/>
            <w:r>
              <w:rPr>
                <w:rFonts w:ascii="Calibri" w:hAnsi="Calibri"/>
                <w:b w:val="0"/>
                <w:i w:val="0"/>
                <w:color w:val="000000"/>
                <w:sz w:val="11"/>
              </w:rPr>
              <w:t>3.1993</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lithium_hydroxide</w:t>
            </w:r>
          </w:p>
        </w:tc>
        <w:tc>
          <w:tcPr>
            <w:tcW w:type="dxa" w:w="1083"/>
            <w:vAlign w:val="center"/>
          </w:tcPr>
          <w:p>
            <w:pPr>
              <w:spacing w:after="0" w:line="240" w:lineRule="auto"/>
              <w:jc w:val="center"/>
            </w:pPr>
            <w:r/>
            <w:r>
              <w:rPr>
                <w:rFonts w:ascii="Calibri" w:hAnsi="Calibri"/>
                <w:b w:val="0"/>
                <w:i w:val="0"/>
                <w:color w:val="000000"/>
                <w:sz w:val="11"/>
              </w:rPr>
              <w:t>716.0000</w:t>
            </w:r>
          </w:p>
        </w:tc>
        <w:tc>
          <w:tcPr>
            <w:tcW w:type="dxa" w:w="1489"/>
            <w:vAlign w:val="center"/>
          </w:tcPr>
          <w:p>
            <w:pPr>
              <w:spacing w:after="0" w:line="240" w:lineRule="auto"/>
              <w:jc w:val="center"/>
            </w:pPr>
            <w:r/>
            <w:r>
              <w:rPr>
                <w:rFonts w:ascii="Calibri" w:hAnsi="Calibri"/>
                <w:b w:val="0"/>
                <w:i w:val="0"/>
                <w:color w:val="000000"/>
                <w:sz w:val="11"/>
              </w:rPr>
              <w:t>370.5107</w:t>
            </w:r>
          </w:p>
        </w:tc>
        <w:tc>
          <w:tcPr>
            <w:tcW w:type="dxa" w:w="1354"/>
            <w:vAlign w:val="center"/>
          </w:tcPr>
          <w:p>
            <w:pPr>
              <w:spacing w:after="0" w:line="240" w:lineRule="auto"/>
              <w:jc w:val="center"/>
            </w:pPr>
            <w:r/>
            <w:r>
              <w:rPr>
                <w:rFonts w:ascii="Calibri" w:hAnsi="Calibri"/>
                <w:b w:val="0"/>
                <w:i w:val="0"/>
                <w:color w:val="000000"/>
                <w:sz w:val="11"/>
              </w:rPr>
              <w:t>109.0520</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r>
        <w:tc>
          <w:tcPr>
            <w:tcW w:type="dxa" w:w="4605"/>
            <w:vAlign w:val="center"/>
          </w:tcPr>
          <w:p>
            <w:pPr>
              <w:spacing w:after="0" w:line="240" w:lineRule="auto"/>
              <w:jc w:val="left"/>
            </w:pPr>
            <w:r/>
            <w:r>
              <w:rPr>
                <w:rFonts w:ascii="Calibri" w:hAnsi="Calibri"/>
                <w:b w:val="0"/>
                <w:i w:val="0"/>
                <w:color w:val="000000"/>
                <w:sz w:val="11"/>
              </w:rPr>
              <w:t>SMM battery-grade lithium carbonate spot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118615.8598</w:t>
            </w:r>
          </w:p>
        </w:tc>
        <w:tc>
          <w:tcPr>
            <w:tcW w:type="dxa" w:w="1354"/>
            <w:vAlign w:val="center"/>
          </w:tcPr>
          <w:p>
            <w:pPr>
              <w:spacing w:after="0" w:line="240" w:lineRule="auto"/>
              <w:jc w:val="center"/>
            </w:pPr>
            <w:r/>
            <w:r>
              <w:rPr>
                <w:rFonts w:ascii="Calibri" w:hAnsi="Calibri"/>
                <w:b w:val="0"/>
                <w:i w:val="0"/>
                <w:color w:val="000000"/>
                <w:sz w:val="11"/>
              </w:rPr>
              <w:t>67022.4813</w:t>
            </w:r>
          </w:p>
        </w:tc>
        <w:tc>
          <w:tcPr>
            <w:tcW w:type="dxa" w:w="1354"/>
            <w:vAlign w:val="center"/>
          </w:tcPr>
          <w:p>
            <w:pPr>
              <w:spacing w:after="0" w:line="240" w:lineRule="auto"/>
              <w:jc w:val="center"/>
            </w:pPr>
            <w:r/>
            <w:r>
              <w:rPr>
                <w:rFonts w:ascii="Calibri" w:hAnsi="Calibri"/>
                <w:b w:val="0"/>
                <w:i w:val="0"/>
                <w:color w:val="000000"/>
                <w:sz w:val="11"/>
              </w:rPr>
              <w:t>59900.0000</w:t>
            </w:r>
          </w:p>
        </w:tc>
        <w:tc>
          <w:tcPr>
            <w:tcW w:type="dxa" w:w="1493"/>
            <w:vAlign w:val="center"/>
          </w:tcPr>
          <w:p>
            <w:pPr>
              <w:spacing w:after="0" w:line="240" w:lineRule="auto"/>
              <w:jc w:val="center"/>
            </w:pPr>
            <w:r/>
            <w:r>
              <w:rPr>
                <w:rFonts w:ascii="Calibri" w:hAnsi="Calibri"/>
                <w:b w:val="0"/>
                <w:i w:val="0"/>
                <w:color w:val="000000"/>
                <w:sz w:val="11"/>
              </w:rPr>
              <w:t>314000.0000</w:t>
            </w:r>
          </w:p>
        </w:tc>
      </w:tr>
      <w:tr>
        <w:tc>
          <w:tcPr>
            <w:tcW w:type="dxa" w:w="4605"/>
            <w:vAlign w:val="center"/>
          </w:tcPr>
          <w:p>
            <w:pPr>
              <w:spacing w:after="0" w:line="240" w:lineRule="auto"/>
              <w:jc w:val="left"/>
            </w:pPr>
            <w:r/>
            <w:r>
              <w:rPr>
                <w:rFonts w:ascii="Calibri" w:hAnsi="Calibri"/>
                <w:b w:val="0"/>
                <w:i w:val="0"/>
                <w:color w:val="000000"/>
                <w:sz w:val="11"/>
              </w:rPr>
              <w:t>Cross_Lithium_Close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16.3008</w:t>
            </w:r>
          </w:p>
        </w:tc>
        <w:tc>
          <w:tcPr>
            <w:tcW w:type="dxa" w:w="1354"/>
            <w:vAlign w:val="center"/>
          </w:tcPr>
          <w:p>
            <w:pPr>
              <w:spacing w:after="0" w:line="240" w:lineRule="auto"/>
              <w:jc w:val="center"/>
            </w:pPr>
            <w:r/>
            <w:r>
              <w:rPr>
                <w:rFonts w:ascii="Calibri" w:hAnsi="Calibri"/>
                <w:b w:val="0"/>
                <w:i w:val="0"/>
                <w:color w:val="000000"/>
                <w:sz w:val="11"/>
              </w:rPr>
              <w:t>10.7891</w:t>
            </w:r>
          </w:p>
        </w:tc>
        <w:tc>
          <w:tcPr>
            <w:tcW w:type="dxa" w:w="1354"/>
            <w:vAlign w:val="center"/>
          </w:tcPr>
          <w:p>
            <w:pPr>
              <w:spacing w:after="0" w:line="240" w:lineRule="auto"/>
              <w:jc w:val="center"/>
            </w:pPr>
            <w:r/>
            <w:r>
              <w:rPr>
                <w:rFonts w:ascii="Calibri" w:hAnsi="Calibri"/>
                <w:b w:val="0"/>
                <w:i w:val="0"/>
                <w:color w:val="000000"/>
                <w:sz w:val="11"/>
              </w:rPr>
              <w:t>7.9500</w:t>
            </w:r>
          </w:p>
        </w:tc>
        <w:tc>
          <w:tcPr>
            <w:tcW w:type="dxa" w:w="1493"/>
            <w:vAlign w:val="center"/>
          </w:tcPr>
          <w:p>
            <w:pPr>
              <w:spacing w:after="0" w:line="240" w:lineRule="auto"/>
              <w:jc w:val="center"/>
            </w:pPr>
            <w:r/>
            <w:r>
              <w:rPr>
                <w:rFonts w:ascii="Calibri" w:hAnsi="Calibri"/>
                <w:b w:val="0"/>
                <w:i w:val="0"/>
                <w:color w:val="000000"/>
                <w:sz w:val="11"/>
              </w:rPr>
              <w:t>47.3100</w:t>
            </w:r>
          </w:p>
        </w:tc>
      </w:tr>
      <w:tr>
        <w:tc>
          <w:tcPr>
            <w:tcW w:type="dxa" w:w="4605"/>
            <w:vAlign w:val="center"/>
          </w:tcPr>
          <w:p>
            <w:pPr>
              <w:spacing w:after="0" w:line="240" w:lineRule="auto"/>
              <w:jc w:val="left"/>
            </w:pPr>
            <w:r/>
            <w:r>
              <w:rPr>
                <w:rFonts w:ascii="Calibri" w:hAnsi="Calibri"/>
                <w:b w:val="0"/>
                <w:i w:val="0"/>
                <w:color w:val="000000"/>
                <w:sz w:val="11"/>
              </w:rPr>
              <w:t>Albemarle_Close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119.8822</w:t>
            </w:r>
          </w:p>
        </w:tc>
        <w:tc>
          <w:tcPr>
            <w:tcW w:type="dxa" w:w="1354"/>
            <w:vAlign w:val="center"/>
          </w:tcPr>
          <w:p>
            <w:pPr>
              <w:spacing w:after="0" w:line="240" w:lineRule="auto"/>
              <w:jc w:val="center"/>
            </w:pPr>
            <w:r/>
            <w:r>
              <w:rPr>
                <w:rFonts w:ascii="Calibri" w:hAnsi="Calibri"/>
                <w:b w:val="0"/>
                <w:i w:val="0"/>
                <w:color w:val="000000"/>
                <w:sz w:val="11"/>
              </w:rPr>
              <w:t>46.3719</w:t>
            </w:r>
          </w:p>
        </w:tc>
        <w:tc>
          <w:tcPr>
            <w:tcW w:type="dxa" w:w="1354"/>
            <w:vAlign w:val="center"/>
          </w:tcPr>
          <w:p>
            <w:pPr>
              <w:spacing w:after="0" w:line="240" w:lineRule="auto"/>
              <w:jc w:val="center"/>
            </w:pPr>
            <w:r/>
            <w:r>
              <w:rPr>
                <w:rFonts w:ascii="Calibri" w:hAnsi="Calibri"/>
                <w:b w:val="0"/>
                <w:i w:val="0"/>
                <w:color w:val="000000"/>
                <w:sz w:val="11"/>
              </w:rPr>
              <w:t>50.7600</w:t>
            </w:r>
          </w:p>
        </w:tc>
        <w:tc>
          <w:tcPr>
            <w:tcW w:type="dxa" w:w="1493"/>
            <w:vAlign w:val="center"/>
          </w:tcPr>
          <w:p>
            <w:pPr>
              <w:spacing w:after="0" w:line="240" w:lineRule="auto"/>
              <w:jc w:val="center"/>
            </w:pPr>
            <w:r/>
            <w:r>
              <w:rPr>
                <w:rFonts w:ascii="Calibri" w:hAnsi="Calibri"/>
                <w:b w:val="0"/>
                <w:i w:val="0"/>
                <w:color w:val="000000"/>
                <w:sz w:val="11"/>
              </w:rPr>
              <w:t>243.4400</w:t>
            </w:r>
          </w:p>
        </w:tc>
      </w:tr>
      <w:tr>
        <w:tc>
          <w:tcPr>
            <w:tcW w:type="dxa" w:w="4605"/>
            <w:vAlign w:val="center"/>
          </w:tcPr>
          <w:p>
            <w:pPr>
              <w:spacing w:after="0" w:line="240" w:lineRule="auto"/>
              <w:jc w:val="left"/>
            </w:pPr>
            <w:r/>
            <w:r>
              <w:rPr>
                <w:rFonts w:ascii="Calibri" w:hAnsi="Calibri"/>
                <w:b w:val="0"/>
                <w:i w:val="0"/>
                <w:color w:val="000000"/>
                <w:sz w:val="11"/>
              </w:rPr>
              <w:t>Ganfeng_Lithium_Close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6.1115</w:t>
            </w:r>
          </w:p>
        </w:tc>
        <w:tc>
          <w:tcPr>
            <w:tcW w:type="dxa" w:w="1354"/>
            <w:vAlign w:val="center"/>
          </w:tcPr>
          <w:p>
            <w:pPr>
              <w:spacing w:after="0" w:line="240" w:lineRule="auto"/>
              <w:jc w:val="center"/>
            </w:pPr>
            <w:r/>
            <w:r>
              <w:rPr>
                <w:rFonts w:ascii="Calibri" w:hAnsi="Calibri"/>
                <w:b w:val="0"/>
                <w:i w:val="0"/>
                <w:color w:val="000000"/>
                <w:sz w:val="11"/>
              </w:rPr>
              <w:t>1.9561</w:t>
            </w:r>
          </w:p>
        </w:tc>
        <w:tc>
          <w:tcPr>
            <w:tcW w:type="dxa" w:w="1354"/>
            <w:vAlign w:val="center"/>
          </w:tcPr>
          <w:p>
            <w:pPr>
              <w:spacing w:after="0" w:line="240" w:lineRule="auto"/>
              <w:jc w:val="center"/>
            </w:pPr>
            <w:r/>
            <w:r>
              <w:rPr>
                <w:rFonts w:ascii="Calibri" w:hAnsi="Calibri"/>
                <w:b w:val="0"/>
                <w:i w:val="0"/>
                <w:color w:val="000000"/>
                <w:sz w:val="11"/>
              </w:rPr>
              <w:t>3.5550</w:t>
            </w:r>
          </w:p>
        </w:tc>
        <w:tc>
          <w:tcPr>
            <w:tcW w:type="dxa" w:w="1493"/>
            <w:vAlign w:val="center"/>
          </w:tcPr>
          <w:p>
            <w:pPr>
              <w:spacing w:after="0" w:line="240" w:lineRule="auto"/>
              <w:jc w:val="center"/>
            </w:pPr>
            <w:r/>
            <w:r>
              <w:rPr>
                <w:rFonts w:ascii="Calibri" w:hAnsi="Calibri"/>
                <w:b w:val="0"/>
                <w:i w:val="0"/>
                <w:color w:val="000000"/>
                <w:sz w:val="11"/>
              </w:rPr>
              <w:t>10.7050</w:t>
            </w:r>
          </w:p>
        </w:tc>
      </w:tr>
      <w:tr>
        <w:tc>
          <w:tcPr>
            <w:tcW w:type="dxa" w:w="4605"/>
            <w:vAlign w:val="center"/>
          </w:tcPr>
          <w:p>
            <w:pPr>
              <w:spacing w:after="0" w:line="240" w:lineRule="auto"/>
              <w:jc w:val="left"/>
            </w:pPr>
            <w:r/>
            <w:r>
              <w:rPr>
                <w:rFonts w:ascii="Calibri" w:hAnsi="Calibri"/>
                <w:b w:val="0"/>
                <w:i w:val="0"/>
                <w:color w:val="000000"/>
                <w:sz w:val="11"/>
              </w:rPr>
              <w:t>Trends_lithium</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56.4362</w:t>
            </w:r>
          </w:p>
        </w:tc>
        <w:tc>
          <w:tcPr>
            <w:tcW w:type="dxa" w:w="1354"/>
            <w:vAlign w:val="center"/>
          </w:tcPr>
          <w:p>
            <w:pPr>
              <w:spacing w:after="0" w:line="240" w:lineRule="auto"/>
              <w:jc w:val="center"/>
            </w:pPr>
            <w:r/>
            <w:r>
              <w:rPr>
                <w:rFonts w:ascii="Calibri" w:hAnsi="Calibri"/>
                <w:b w:val="0"/>
                <w:i w:val="0"/>
                <w:color w:val="000000"/>
                <w:sz w:val="11"/>
              </w:rPr>
              <w:t>13.8250</w:t>
            </w:r>
          </w:p>
        </w:tc>
        <w:tc>
          <w:tcPr>
            <w:tcW w:type="dxa" w:w="1354"/>
            <w:vAlign w:val="center"/>
          </w:tcPr>
          <w:p>
            <w:pPr>
              <w:spacing w:after="0" w:line="240" w:lineRule="auto"/>
              <w:jc w:val="center"/>
            </w:pPr>
            <w:r/>
            <w:r>
              <w:rPr>
                <w:rFonts w:ascii="Calibri" w:hAnsi="Calibri"/>
                <w:b w:val="0"/>
                <w:i w:val="0"/>
                <w:color w:val="000000"/>
                <w:sz w:val="11"/>
              </w:rPr>
              <w:t>43.0000</w:t>
            </w:r>
          </w:p>
        </w:tc>
        <w:tc>
          <w:tcPr>
            <w:tcW w:type="dxa" w:w="1493"/>
            <w:vAlign w:val="center"/>
          </w:tcPr>
          <w:p>
            <w:pPr>
              <w:spacing w:after="0" w:line="240" w:lineRule="auto"/>
              <w:jc w:val="center"/>
            </w:pPr>
            <w:r/>
            <w:r>
              <w:rPr>
                <w:rFonts w:ascii="Calibri" w:hAnsi="Calibri"/>
                <w:b w:val="0"/>
                <w:i w:val="0"/>
                <w:color w:val="000000"/>
                <w:sz w:val="11"/>
              </w:rPr>
              <w:t>100.0000</w:t>
            </w:r>
          </w:p>
        </w:tc>
      </w:tr>
      <w:tr>
        <w:tc>
          <w:tcPr>
            <w:tcW w:type="dxa" w:w="4605"/>
            <w:vAlign w:val="center"/>
          </w:tcPr>
          <w:p>
            <w:pPr>
              <w:spacing w:after="0" w:line="240" w:lineRule="auto"/>
              <w:jc w:val="left"/>
            </w:pPr>
            <w:r/>
            <w:r>
              <w:rPr>
                <w:rFonts w:ascii="Calibri" w:hAnsi="Calibri"/>
                <w:b w:val="0"/>
                <w:i w:val="0"/>
                <w:color w:val="000000"/>
                <w:sz w:val="11"/>
              </w:rPr>
              <w:t>Trends_lithium_price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3.9841</w:t>
            </w:r>
          </w:p>
        </w:tc>
        <w:tc>
          <w:tcPr>
            <w:tcW w:type="dxa" w:w="1354"/>
            <w:vAlign w:val="center"/>
          </w:tcPr>
          <w:p>
            <w:pPr>
              <w:spacing w:after="0" w:line="240" w:lineRule="auto"/>
              <w:jc w:val="center"/>
            </w:pPr>
            <w:r/>
            <w:r>
              <w:rPr>
                <w:rFonts w:ascii="Calibri" w:hAnsi="Calibri"/>
                <w:b w:val="0"/>
                <w:i w:val="0"/>
                <w:color w:val="000000"/>
                <w:sz w:val="11"/>
              </w:rPr>
              <w:t>3.7685</w:t>
            </w:r>
          </w:p>
        </w:tc>
        <w:tc>
          <w:tcPr>
            <w:tcW w:type="dxa" w:w="1354"/>
            <w:vAlign w:val="center"/>
          </w:tcPr>
          <w:p>
            <w:pPr>
              <w:spacing w:after="0" w:line="240" w:lineRule="auto"/>
              <w:jc w:val="center"/>
            </w:pPr>
            <w:r/>
            <w:r>
              <w:rPr>
                <w:rFonts w:ascii="Calibri" w:hAnsi="Calibri"/>
                <w:b w:val="0"/>
                <w:i w:val="0"/>
                <w:color w:val="000000"/>
                <w:sz w:val="11"/>
              </w:rPr>
              <w:t>2.0000</w:t>
            </w:r>
          </w:p>
        </w:tc>
        <w:tc>
          <w:tcPr>
            <w:tcW w:type="dxa" w:w="1493"/>
            <w:vAlign w:val="center"/>
          </w:tcPr>
          <w:p>
            <w:pPr>
              <w:spacing w:after="0" w:line="240" w:lineRule="auto"/>
              <w:jc w:val="center"/>
            </w:pPr>
            <w:r/>
            <w:r>
              <w:rPr>
                <w:rFonts w:ascii="Calibri" w:hAnsi="Calibri"/>
                <w:b w:val="0"/>
                <w:i w:val="0"/>
                <w:color w:val="000000"/>
                <w:sz w:val="11"/>
              </w:rPr>
              <w:t>18.0000</w:t>
            </w:r>
          </w:p>
        </w:tc>
      </w:tr>
      <w:tr>
        <w:tc>
          <w:tcPr>
            <w:tcW w:type="dxa" w:w="4605"/>
            <w:vAlign w:val="center"/>
          </w:tcPr>
          <w:p>
            <w:pPr>
              <w:spacing w:after="0" w:line="240" w:lineRule="auto"/>
              <w:jc w:val="left"/>
            </w:pPr>
            <w:r/>
            <w:r>
              <w:rPr>
                <w:rFonts w:ascii="Calibri" w:hAnsi="Calibri"/>
                <w:b w:val="0"/>
                <w:i w:val="0"/>
                <w:color w:val="000000"/>
                <w:sz w:val="11"/>
              </w:rPr>
              <w:t>Trends_lithium_carbonate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1.0580</w:t>
            </w:r>
          </w:p>
        </w:tc>
        <w:tc>
          <w:tcPr>
            <w:tcW w:type="dxa" w:w="1354"/>
            <w:vAlign w:val="center"/>
          </w:tcPr>
          <w:p>
            <w:pPr>
              <w:spacing w:after="0" w:line="240" w:lineRule="auto"/>
              <w:jc w:val="center"/>
            </w:pPr>
            <w:r/>
            <w:r>
              <w:rPr>
                <w:rFonts w:ascii="Calibri" w:hAnsi="Calibri"/>
                <w:b w:val="0"/>
                <w:i w:val="0"/>
                <w:color w:val="000000"/>
                <w:sz w:val="11"/>
              </w:rPr>
              <w:t>0.3687</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2.0000</w:t>
            </w:r>
          </w:p>
        </w:tc>
      </w:tr>
      <w:tr>
        <w:tc>
          <w:tcPr>
            <w:tcW w:type="dxa" w:w="4605"/>
            <w:vAlign w:val="center"/>
          </w:tcPr>
          <w:p>
            <w:pPr>
              <w:spacing w:after="0" w:line="240" w:lineRule="auto"/>
              <w:jc w:val="left"/>
            </w:pPr>
            <w:r/>
            <w:r>
              <w:rPr>
                <w:rFonts w:ascii="Calibri" w:hAnsi="Calibri"/>
                <w:b w:val="0"/>
                <w:i w:val="0"/>
                <w:color w:val="000000"/>
                <w:sz w:val="11"/>
              </w:rPr>
              <w:t>Trends_lithium_hydroxide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0.1899</w:t>
            </w:r>
          </w:p>
        </w:tc>
        <w:tc>
          <w:tcPr>
            <w:tcW w:type="dxa" w:w="1354"/>
            <w:vAlign w:val="center"/>
          </w:tcPr>
          <w:p>
            <w:pPr>
              <w:spacing w:after="0" w:line="240" w:lineRule="auto"/>
              <w:jc w:val="center"/>
            </w:pPr>
            <w:r/>
            <w:r>
              <w:rPr>
                <w:rFonts w:ascii="Calibri" w:hAnsi="Calibri"/>
                <w:b w:val="0"/>
                <w:i w:val="0"/>
                <w:color w:val="000000"/>
                <w:sz w:val="11"/>
              </w:rPr>
              <w:t>0.3925</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1.0000</w:t>
            </w:r>
          </w:p>
        </w:tc>
      </w:tr>
      <w:tr>
        <w:tc>
          <w:tcPr>
            <w:tcW w:type="dxa" w:w="4605"/>
            <w:vAlign w:val="center"/>
          </w:tcPr>
          <w:p>
            <w:pPr>
              <w:spacing w:after="0" w:line="240" w:lineRule="auto"/>
              <w:jc w:val="left"/>
            </w:pPr>
            <w:r/>
            <w:r>
              <w:rPr>
                <w:rFonts w:ascii="Calibri" w:hAnsi="Calibri"/>
                <w:b w:val="0"/>
                <w:i w:val="0"/>
                <w:color w:val="000000"/>
                <w:sz w:val="11"/>
              </w:rPr>
              <w:t>Trends_lithium_battery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690.0000</w:t>
            </w:r>
          </w:p>
        </w:tc>
        <w:tc>
          <w:tcPr>
            <w:tcW w:type="dxa" w:w="1489"/>
            <w:vAlign w:val="center"/>
          </w:tcPr>
          <w:p>
            <w:pPr>
              <w:spacing w:after="0" w:line="240" w:lineRule="auto"/>
              <w:jc w:val="center"/>
            </w:pPr>
            <w:r/>
            <w:r>
              <w:rPr>
                <w:rFonts w:ascii="Calibri" w:hAnsi="Calibri"/>
                <w:b w:val="0"/>
                <w:i w:val="0"/>
                <w:color w:val="000000"/>
                <w:sz w:val="11"/>
              </w:rPr>
              <w:t>17.7667</w:t>
            </w:r>
          </w:p>
        </w:tc>
        <w:tc>
          <w:tcPr>
            <w:tcW w:type="dxa" w:w="1354"/>
            <w:vAlign w:val="center"/>
          </w:tcPr>
          <w:p>
            <w:pPr>
              <w:spacing w:after="0" w:line="240" w:lineRule="auto"/>
              <w:jc w:val="center"/>
            </w:pPr>
            <w:r/>
            <w:r>
              <w:rPr>
                <w:rFonts w:ascii="Calibri" w:hAnsi="Calibri"/>
                <w:b w:val="0"/>
                <w:i w:val="0"/>
                <w:color w:val="000000"/>
                <w:sz w:val="11"/>
              </w:rPr>
              <w:t>5.1881</w:t>
            </w:r>
          </w:p>
        </w:tc>
        <w:tc>
          <w:tcPr>
            <w:tcW w:type="dxa" w:w="1354"/>
            <w:vAlign w:val="center"/>
          </w:tcPr>
          <w:p>
            <w:pPr>
              <w:spacing w:after="0" w:line="240" w:lineRule="auto"/>
              <w:jc w:val="center"/>
            </w:pPr>
            <w:r/>
            <w:r>
              <w:rPr>
                <w:rFonts w:ascii="Calibri" w:hAnsi="Calibri"/>
                <w:b w:val="0"/>
                <w:i w:val="0"/>
                <w:color w:val="000000"/>
                <w:sz w:val="11"/>
              </w:rPr>
              <w:t>13.0000</w:t>
            </w:r>
          </w:p>
        </w:tc>
        <w:tc>
          <w:tcPr>
            <w:tcW w:type="dxa" w:w="1493"/>
            <w:vAlign w:val="center"/>
          </w:tcPr>
          <w:p>
            <w:pPr>
              <w:spacing w:after="0" w:line="240" w:lineRule="auto"/>
              <w:jc w:val="center"/>
            </w:pPr>
            <w:r/>
            <w:r>
              <w:rPr>
                <w:rFonts w:ascii="Calibri" w:hAnsi="Calibri"/>
                <w:b w:val="0"/>
                <w:i w:val="0"/>
                <w:color w:val="000000"/>
                <w:sz w:val="11"/>
              </w:rPr>
              <w:t>36.0000</w:t>
            </w:r>
          </w:p>
        </w:tc>
      </w:tr>
      <w:tr>
        <w:tc>
          <w:tcPr>
            <w:tcW w:type="dxa" w:w="4605"/>
            <w:vAlign w:val="center"/>
          </w:tcPr>
          <w:p>
            <w:pPr>
              <w:spacing w:after="0" w:line="240" w:lineRule="auto"/>
              <w:jc w:val="left"/>
            </w:pPr>
            <w:r/>
            <w:r>
              <w:rPr>
                <w:rFonts w:ascii="Calibri" w:hAnsi="Calibri"/>
                <w:b w:val="0"/>
                <w:i w:val="0"/>
                <w:color w:val="000000"/>
                <w:sz w:val="11"/>
              </w:rPr>
              <w:t>News_Article_Count</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2.6214</w:t>
            </w:r>
          </w:p>
        </w:tc>
        <w:tc>
          <w:tcPr>
            <w:tcW w:type="dxa" w:w="1354"/>
            <w:vAlign w:val="center"/>
          </w:tcPr>
          <w:p>
            <w:pPr>
              <w:spacing w:after="0" w:line="240" w:lineRule="auto"/>
              <w:jc w:val="center"/>
            </w:pPr>
            <w:r/>
            <w:r>
              <w:rPr>
                <w:rFonts w:ascii="Calibri" w:hAnsi="Calibri"/>
                <w:b w:val="0"/>
                <w:i w:val="0"/>
                <w:color w:val="000000"/>
                <w:sz w:val="11"/>
              </w:rPr>
              <w:t>2.6298</w:t>
            </w:r>
          </w:p>
        </w:tc>
        <w:tc>
          <w:tcPr>
            <w:tcW w:type="dxa" w:w="1354"/>
            <w:vAlign w:val="center"/>
          </w:tcPr>
          <w:p>
            <w:pPr>
              <w:spacing w:after="0" w:line="240" w:lineRule="auto"/>
              <w:jc w:val="center"/>
            </w:pPr>
            <w:r/>
            <w:r>
              <w:rPr>
                <w:rFonts w:ascii="Calibri" w:hAnsi="Calibri"/>
                <w:b w:val="0"/>
                <w:i w:val="0"/>
                <w:color w:val="000000"/>
                <w:sz w:val="11"/>
              </w:rPr>
              <w:t>0.0000</w:t>
            </w:r>
          </w:p>
        </w:tc>
        <w:tc>
          <w:tcPr>
            <w:tcW w:type="dxa" w:w="1493"/>
            <w:vAlign w:val="center"/>
          </w:tcPr>
          <w:p>
            <w:pPr>
              <w:spacing w:after="0" w:line="240" w:lineRule="auto"/>
              <w:jc w:val="center"/>
            </w:pPr>
            <w:r/>
            <w:r>
              <w:rPr>
                <w:rFonts w:ascii="Calibri" w:hAnsi="Calibri"/>
                <w:b w:val="0"/>
                <w:i w:val="0"/>
                <w:color w:val="000000"/>
                <w:sz w:val="11"/>
              </w:rPr>
              <w:t>40.0000</w:t>
            </w:r>
          </w:p>
        </w:tc>
      </w:tr>
      <w:tr>
        <w:tc>
          <w:tcPr>
            <w:tcW w:type="dxa" w:w="4605"/>
            <w:vAlign w:val="center"/>
          </w:tcPr>
          <w:p>
            <w:pPr>
              <w:spacing w:after="0" w:line="240" w:lineRule="auto"/>
              <w:jc w:val="left"/>
            </w:pPr>
            <w:r/>
            <w:r>
              <w:rPr>
                <w:rFonts w:ascii="Calibri" w:hAnsi="Calibri"/>
                <w:b w:val="0"/>
                <w:i w:val="0"/>
                <w:color w:val="000000"/>
                <w:sz w:val="11"/>
              </w:rPr>
              <w:t>News_TextBlob_Polarity</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0.0522</w:t>
            </w:r>
          </w:p>
        </w:tc>
        <w:tc>
          <w:tcPr>
            <w:tcW w:type="dxa" w:w="1354"/>
            <w:vAlign w:val="center"/>
          </w:tcPr>
          <w:p>
            <w:pPr>
              <w:spacing w:after="0" w:line="240" w:lineRule="auto"/>
              <w:jc w:val="center"/>
            </w:pPr>
            <w:r/>
            <w:r>
              <w:rPr>
                <w:rFonts w:ascii="Calibri" w:hAnsi="Calibri"/>
                <w:b w:val="0"/>
                <w:i w:val="0"/>
                <w:color w:val="000000"/>
                <w:sz w:val="11"/>
              </w:rPr>
              <w:t>0.1114</w:t>
            </w:r>
          </w:p>
        </w:tc>
        <w:tc>
          <w:tcPr>
            <w:tcW w:type="dxa" w:w="1354"/>
            <w:vAlign w:val="center"/>
          </w:tcPr>
          <w:p>
            <w:pPr>
              <w:spacing w:after="0" w:line="240" w:lineRule="auto"/>
              <w:jc w:val="center"/>
            </w:pPr>
            <w:r/>
            <w:r>
              <w:rPr>
                <w:rFonts w:ascii="Calibri" w:hAnsi="Calibri"/>
                <w:b w:val="0"/>
                <w:i w:val="0"/>
                <w:color w:val="000000"/>
                <w:sz w:val="11"/>
              </w:rPr>
              <w:t>-0.4333</w:t>
            </w:r>
          </w:p>
        </w:tc>
        <w:tc>
          <w:tcPr>
            <w:tcW w:type="dxa" w:w="1493"/>
            <w:vAlign w:val="center"/>
          </w:tcPr>
          <w:p>
            <w:pPr>
              <w:spacing w:after="0" w:line="240" w:lineRule="auto"/>
              <w:jc w:val="center"/>
            </w:pPr>
            <w:r/>
            <w:r>
              <w:rPr>
                <w:rFonts w:ascii="Calibri" w:hAnsi="Calibri"/>
                <w:b w:val="0"/>
                <w:i w:val="0"/>
                <w:color w:val="000000"/>
                <w:sz w:val="11"/>
              </w:rPr>
              <w:t>0.8000</w:t>
            </w:r>
          </w:p>
        </w:tc>
      </w:tr>
      <w:tr>
        <w:tc>
          <w:tcPr>
            <w:tcW w:type="dxa" w:w="4605"/>
            <w:vAlign w:val="center"/>
          </w:tcPr>
          <w:p>
            <w:pPr>
              <w:spacing w:after="0" w:line="240" w:lineRule="auto"/>
              <w:jc w:val="left"/>
            </w:pPr>
            <w:r/>
            <w:r>
              <w:rPr>
                <w:rFonts w:ascii="Calibri" w:hAnsi="Calibri"/>
                <w:b w:val="0"/>
                <w:i w:val="0"/>
                <w:color w:val="000000"/>
                <w:sz w:val="11"/>
              </w:rPr>
              <w:t>News_FinBERT_Score</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0.2077</w:t>
            </w:r>
          </w:p>
        </w:tc>
        <w:tc>
          <w:tcPr>
            <w:tcW w:type="dxa" w:w="1354"/>
            <w:vAlign w:val="center"/>
          </w:tcPr>
          <w:p>
            <w:pPr>
              <w:spacing w:after="0" w:line="240" w:lineRule="auto"/>
              <w:jc w:val="center"/>
            </w:pPr>
            <w:r/>
            <w:r>
              <w:rPr>
                <w:rFonts w:ascii="Calibri" w:hAnsi="Calibri"/>
                <w:b w:val="0"/>
                <w:i w:val="0"/>
                <w:color w:val="000000"/>
                <w:sz w:val="11"/>
              </w:rPr>
              <w:t>0.3783</w:t>
            </w:r>
          </w:p>
        </w:tc>
        <w:tc>
          <w:tcPr>
            <w:tcW w:type="dxa" w:w="1354"/>
            <w:vAlign w:val="center"/>
          </w:tcPr>
          <w:p>
            <w:pPr>
              <w:spacing w:after="0" w:line="240" w:lineRule="auto"/>
              <w:jc w:val="center"/>
            </w:pPr>
            <w:r/>
            <w:r>
              <w:rPr>
                <w:rFonts w:ascii="Calibri" w:hAnsi="Calibri"/>
                <w:b w:val="0"/>
                <w:i w:val="0"/>
                <w:color w:val="000000"/>
                <w:sz w:val="11"/>
              </w:rPr>
              <w:t>-0.9694</w:t>
            </w:r>
          </w:p>
        </w:tc>
        <w:tc>
          <w:tcPr>
            <w:tcW w:type="dxa" w:w="1493"/>
            <w:vAlign w:val="center"/>
          </w:tcPr>
          <w:p>
            <w:pPr>
              <w:spacing w:after="0" w:line="240" w:lineRule="auto"/>
              <w:jc w:val="center"/>
            </w:pPr>
            <w:r/>
            <w:r>
              <w:rPr>
                <w:rFonts w:ascii="Calibri" w:hAnsi="Calibri"/>
                <w:b w:val="0"/>
                <w:i w:val="0"/>
                <w:color w:val="000000"/>
                <w:sz w:val="11"/>
              </w:rPr>
              <w:t>0.9512</w:t>
            </w:r>
          </w:p>
        </w:tc>
      </w:tr>
      <w:tr>
        <w:tc>
          <w:tcPr>
            <w:tcW w:type="dxa" w:w="4605"/>
            <w:vAlign w:val="center"/>
          </w:tcPr>
          <w:p>
            <w:pPr>
              <w:spacing w:after="0" w:line="240" w:lineRule="auto"/>
              <w:jc w:val="left"/>
            </w:pPr>
            <w:r/>
            <w:r>
              <w:rPr>
                <w:rFonts w:ascii="Calibri" w:hAnsi="Calibri"/>
                <w:b w:val="0"/>
                <w:i w:val="0"/>
                <w:color w:val="000000"/>
                <w:sz w:val="11"/>
              </w:rPr>
              <w:t>SP500</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5561.6697</w:t>
            </w:r>
          </w:p>
        </w:tc>
        <w:tc>
          <w:tcPr>
            <w:tcW w:type="dxa" w:w="1354"/>
            <w:vAlign w:val="center"/>
          </w:tcPr>
          <w:p>
            <w:pPr>
              <w:spacing w:after="0" w:line="240" w:lineRule="auto"/>
              <w:jc w:val="center"/>
            </w:pPr>
            <w:r/>
            <w:r>
              <w:rPr>
                <w:rFonts w:ascii="Calibri" w:hAnsi="Calibri"/>
                <w:b w:val="0"/>
                <w:i w:val="0"/>
                <w:color w:val="000000"/>
                <w:sz w:val="11"/>
              </w:rPr>
              <w:t>840.7653</w:t>
            </w:r>
          </w:p>
        </w:tc>
        <w:tc>
          <w:tcPr>
            <w:tcW w:type="dxa" w:w="1354"/>
            <w:vAlign w:val="center"/>
          </w:tcPr>
          <w:p>
            <w:pPr>
              <w:spacing w:after="0" w:line="240" w:lineRule="auto"/>
              <w:jc w:val="center"/>
            </w:pPr>
            <w:r/>
            <w:r>
              <w:rPr>
                <w:rFonts w:ascii="Calibri" w:hAnsi="Calibri"/>
                <w:b w:val="0"/>
                <w:i w:val="0"/>
                <w:color w:val="000000"/>
                <w:sz w:val="11"/>
              </w:rPr>
              <w:t>4061.2200</w:t>
            </w:r>
          </w:p>
        </w:tc>
        <w:tc>
          <w:tcPr>
            <w:tcW w:type="dxa" w:w="1493"/>
            <w:vAlign w:val="center"/>
          </w:tcPr>
          <w:p>
            <w:pPr>
              <w:spacing w:after="0" w:line="240" w:lineRule="auto"/>
              <w:jc w:val="center"/>
            </w:pPr>
            <w:r/>
            <w:r>
              <w:rPr>
                <w:rFonts w:ascii="Calibri" w:hAnsi="Calibri"/>
                <w:b w:val="0"/>
                <w:i w:val="0"/>
                <w:color w:val="000000"/>
                <w:sz w:val="11"/>
              </w:rPr>
              <w:t>6978.6001</w:t>
            </w:r>
          </w:p>
        </w:tc>
      </w:tr>
      <w:tr>
        <w:tc>
          <w:tcPr>
            <w:tcW w:type="dxa" w:w="4605"/>
            <w:vAlign w:val="center"/>
          </w:tcPr>
          <w:p>
            <w:pPr>
              <w:spacing w:after="0" w:line="240" w:lineRule="auto"/>
              <w:jc w:val="left"/>
            </w:pPr>
            <w:r/>
            <w:r>
              <w:rPr>
                <w:rFonts w:ascii="Calibri" w:hAnsi="Calibri"/>
                <w:b w:val="0"/>
                <w:i w:val="0"/>
                <w:color w:val="000000"/>
                <w:sz w:val="11"/>
              </w:rPr>
              <w:t>VIX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16.8099</w:t>
            </w:r>
          </w:p>
        </w:tc>
        <w:tc>
          <w:tcPr>
            <w:tcW w:type="dxa" w:w="1354"/>
            <w:vAlign w:val="center"/>
          </w:tcPr>
          <w:p>
            <w:pPr>
              <w:spacing w:after="0" w:line="240" w:lineRule="auto"/>
              <w:jc w:val="center"/>
            </w:pPr>
            <w:r/>
            <w:r>
              <w:rPr>
                <w:rFonts w:ascii="Calibri" w:hAnsi="Calibri"/>
                <w:b w:val="0"/>
                <w:i w:val="0"/>
                <w:color w:val="000000"/>
                <w:sz w:val="11"/>
              </w:rPr>
              <w:t>4.2760</w:t>
            </w:r>
          </w:p>
        </w:tc>
        <w:tc>
          <w:tcPr>
            <w:tcW w:type="dxa" w:w="1354"/>
            <w:vAlign w:val="center"/>
          </w:tcPr>
          <w:p>
            <w:pPr>
              <w:spacing w:after="0" w:line="240" w:lineRule="auto"/>
              <w:jc w:val="center"/>
            </w:pPr>
            <w:r/>
            <w:r>
              <w:rPr>
                <w:rFonts w:ascii="Calibri" w:hAnsi="Calibri"/>
                <w:b w:val="0"/>
                <w:i w:val="0"/>
                <w:color w:val="000000"/>
                <w:sz w:val="11"/>
              </w:rPr>
              <w:t>11.8600</w:t>
            </w:r>
          </w:p>
        </w:tc>
        <w:tc>
          <w:tcPr>
            <w:tcW w:type="dxa" w:w="1493"/>
            <w:vAlign w:val="center"/>
          </w:tcPr>
          <w:p>
            <w:pPr>
              <w:spacing w:after="0" w:line="240" w:lineRule="auto"/>
              <w:jc w:val="center"/>
            </w:pPr>
            <w:r/>
            <w:r>
              <w:rPr>
                <w:rFonts w:ascii="Calibri" w:hAnsi="Calibri"/>
                <w:b w:val="0"/>
                <w:i w:val="0"/>
                <w:color w:val="000000"/>
                <w:sz w:val="11"/>
              </w:rPr>
              <w:t>52.3300</w:t>
            </w:r>
          </w:p>
        </w:tc>
      </w:tr>
      <w:tr>
        <w:tc>
          <w:tcPr>
            <w:tcW w:type="dxa" w:w="4605"/>
            <w:vAlign w:val="center"/>
          </w:tcPr>
          <w:p>
            <w:pPr>
              <w:spacing w:after="0" w:line="240" w:lineRule="auto"/>
              <w:jc w:val="left"/>
            </w:pPr>
            <w:r/>
            <w:r>
              <w:rPr>
                <w:rFonts w:ascii="Calibri" w:hAnsi="Calibri"/>
                <w:b w:val="0"/>
                <w:i w:val="0"/>
                <w:color w:val="000000"/>
                <w:sz w:val="11"/>
              </w:rPr>
              <w:t>US_Dollar_Index</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102.4637</w:t>
            </w:r>
          </w:p>
        </w:tc>
        <w:tc>
          <w:tcPr>
            <w:tcW w:type="dxa" w:w="1354"/>
            <w:vAlign w:val="center"/>
          </w:tcPr>
          <w:p>
            <w:pPr>
              <w:spacing w:after="0" w:line="240" w:lineRule="auto"/>
              <w:jc w:val="center"/>
            </w:pPr>
            <w:r/>
            <w:r>
              <w:rPr>
                <w:rFonts w:ascii="Calibri" w:hAnsi="Calibri"/>
                <w:b w:val="0"/>
                <w:i w:val="0"/>
                <w:color w:val="000000"/>
                <w:sz w:val="11"/>
              </w:rPr>
              <w:t>3.1759</w:t>
            </w:r>
          </w:p>
        </w:tc>
        <w:tc>
          <w:tcPr>
            <w:tcW w:type="dxa" w:w="1354"/>
            <w:vAlign w:val="center"/>
          </w:tcPr>
          <w:p>
            <w:pPr>
              <w:spacing w:after="0" w:line="240" w:lineRule="auto"/>
              <w:jc w:val="center"/>
            </w:pPr>
            <w:r/>
            <w:r>
              <w:rPr>
                <w:rFonts w:ascii="Calibri" w:hAnsi="Calibri"/>
                <w:b w:val="0"/>
                <w:i w:val="0"/>
                <w:color w:val="000000"/>
                <w:sz w:val="11"/>
              </w:rPr>
              <w:t>96.2200</w:t>
            </w:r>
          </w:p>
        </w:tc>
        <w:tc>
          <w:tcPr>
            <w:tcW w:type="dxa" w:w="1493"/>
            <w:vAlign w:val="center"/>
          </w:tcPr>
          <w:p>
            <w:pPr>
              <w:spacing w:after="0" w:line="240" w:lineRule="auto"/>
              <w:jc w:val="center"/>
            </w:pPr>
            <w:r/>
            <w:r>
              <w:rPr>
                <w:rFonts w:ascii="Calibri" w:hAnsi="Calibri"/>
                <w:b w:val="0"/>
                <w:i w:val="0"/>
                <w:color w:val="000000"/>
                <w:sz w:val="11"/>
              </w:rPr>
              <w:t>109.9600</w:t>
            </w:r>
          </w:p>
        </w:tc>
      </w:tr>
      <w:tr>
        <w:tc>
          <w:tcPr>
            <w:tcW w:type="dxa" w:w="4605"/>
            <w:vAlign w:val="center"/>
          </w:tcPr>
          <w:p>
            <w:pPr>
              <w:spacing w:after="0" w:line="240" w:lineRule="auto"/>
              <w:jc w:val="left"/>
            </w:pPr>
            <w:r/>
            <w:r>
              <w:rPr>
                <w:rFonts w:ascii="Calibri" w:hAnsi="Calibri"/>
                <w:b w:val="0"/>
                <w:i w:val="0"/>
                <w:color w:val="000000"/>
                <w:sz w:val="11"/>
              </w:rPr>
              <w:t>MVIS_Critical_Minerals</w:t>
            </w:r>
          </w:p>
        </w:tc>
        <w:tc>
          <w:tcPr>
            <w:tcW w:type="dxa" w:w="2302"/>
            <w:vAlign w:val="center"/>
          </w:tcPr>
          <w:p>
            <w:pPr>
              <w:spacing w:after="0" w:line="240" w:lineRule="auto"/>
              <w:jc w:val="center"/>
            </w:pPr>
            <w:r/>
            <w:r>
              <w:rPr>
                <w:rFonts w:ascii="Calibri" w:hAnsi="Calibri"/>
                <w:b w:val="0"/>
                <w:i w:val="0"/>
                <w:color w:val="000000"/>
                <w:sz w:val="11"/>
              </w:rPr>
              <w:t>lithium_carbonate</w:t>
            </w:r>
          </w:p>
        </w:tc>
        <w:tc>
          <w:tcPr>
            <w:tcW w:type="dxa" w:w="1083"/>
            <w:vAlign w:val="center"/>
          </w:tcPr>
          <w:p>
            <w:pPr>
              <w:spacing w:after="0" w:line="240" w:lineRule="auto"/>
              <w:jc w:val="center"/>
            </w:pPr>
            <w:r/>
            <w:r>
              <w:rPr>
                <w:rFonts w:ascii="Calibri" w:hAnsi="Calibri"/>
                <w:b w:val="0"/>
                <w:i w:val="0"/>
                <w:color w:val="000000"/>
                <w:sz w:val="11"/>
              </w:rPr>
              <w:t>692.0000</w:t>
            </w:r>
          </w:p>
        </w:tc>
        <w:tc>
          <w:tcPr>
            <w:tcW w:type="dxa" w:w="1489"/>
            <w:vAlign w:val="center"/>
          </w:tcPr>
          <w:p>
            <w:pPr>
              <w:spacing w:after="0" w:line="240" w:lineRule="auto"/>
              <w:jc w:val="center"/>
            </w:pPr>
            <w:r/>
            <w:r>
              <w:rPr>
                <w:rFonts w:ascii="Calibri" w:hAnsi="Calibri"/>
                <w:b w:val="0"/>
                <w:i w:val="0"/>
                <w:color w:val="000000"/>
                <w:sz w:val="11"/>
              </w:rPr>
              <w:t>370.9414</w:t>
            </w:r>
          </w:p>
        </w:tc>
        <w:tc>
          <w:tcPr>
            <w:tcW w:type="dxa" w:w="1354"/>
            <w:vAlign w:val="center"/>
          </w:tcPr>
          <w:p>
            <w:pPr>
              <w:spacing w:after="0" w:line="240" w:lineRule="auto"/>
              <w:jc w:val="center"/>
            </w:pPr>
            <w:r/>
            <w:r>
              <w:rPr>
                <w:rFonts w:ascii="Calibri" w:hAnsi="Calibri"/>
                <w:b w:val="0"/>
                <w:i w:val="0"/>
                <w:color w:val="000000"/>
                <w:sz w:val="11"/>
              </w:rPr>
              <w:t>109.4896</w:t>
            </w:r>
          </w:p>
        </w:tc>
        <w:tc>
          <w:tcPr>
            <w:tcW w:type="dxa" w:w="1354"/>
            <w:vAlign w:val="center"/>
          </w:tcPr>
          <w:p>
            <w:pPr>
              <w:spacing w:after="0" w:line="240" w:lineRule="auto"/>
              <w:jc w:val="center"/>
            </w:pPr>
            <w:r/>
            <w:r>
              <w:rPr>
                <w:rFonts w:ascii="Calibri" w:hAnsi="Calibri"/>
                <w:b w:val="0"/>
                <w:i w:val="0"/>
                <w:color w:val="000000"/>
                <w:sz w:val="11"/>
              </w:rPr>
              <w:t>220.4200</w:t>
            </w:r>
          </w:p>
        </w:tc>
        <w:tc>
          <w:tcPr>
            <w:tcW w:type="dxa" w:w="1493"/>
            <w:vAlign w:val="center"/>
          </w:tcPr>
          <w:p>
            <w:pPr>
              <w:spacing w:after="0" w:line="240" w:lineRule="auto"/>
              <w:jc w:val="center"/>
            </w:pPr>
            <w:r/>
            <w:r>
              <w:rPr>
                <w:rFonts w:ascii="Calibri" w:hAnsi="Calibri"/>
                <w:b w:val="0"/>
                <w:i w:val="0"/>
                <w:color w:val="000000"/>
                <w:sz w:val="11"/>
              </w:rPr>
              <w:t>674.2340</w:t>
            </w:r>
          </w:p>
        </w:tc>
      </w:tr>
    </w:tbl>
    <w:p>
      <w:pPr>
        <w:spacing w:after="60"/>
      </w:pPr>
    </w:p>
    <w:p>
      <w:pPr>
        <w:pStyle w:val="Heading3"/>
      </w:pPr>
      <w:r>
        <w:t>Interpretation of Table 4</w:t>
      </w:r>
    </w:p>
    <w:p>
      <w:pPr>
        <w:spacing w:after="160" w:line="320" w:lineRule="auto"/>
        <w:jc w:val="both"/>
      </w:pPr>
      <w:r>
        <w:rPr>
          <w:rFonts w:ascii="Calibri" w:hAnsi="Calibri"/>
          <w:b/>
          <w:i w:val="0"/>
          <w:color w:val="000000"/>
          <w:sz w:val="22"/>
        </w:rPr>
        <w:t>Target coverage:</w:t>
      </w:r>
      <w:r>
        <w:rPr>
          <w:rFonts w:ascii="Calibri" w:hAnsi="Calibri"/>
          <w:b w:val="0"/>
          <w:i w:val="0"/>
          <w:color w:val="000000"/>
          <w:sz w:val="22"/>
        </w:rPr>
        <w:t xml:space="preserve"> The hydroxide panel contains 716 aligned observations, with prices ranging from 7.95 to 47.31 and a mean of 16.18. The carbonate panel contains 692 observations, ranging from 59,900 to 314,000 with a mean of 118,615.86. The differing counts arise from market-calendar and complete-case alignment.</w:t>
      </w:r>
    </w:p>
    <w:p>
      <w:pPr>
        <w:spacing w:after="160" w:line="320" w:lineRule="auto"/>
        <w:jc w:val="both"/>
      </w:pPr>
      <w:r>
        <w:rPr>
          <w:rFonts w:ascii="Calibri" w:hAnsi="Calibri"/>
          <w:b/>
          <w:i w:val="0"/>
          <w:color w:val="000000"/>
          <w:sz w:val="22"/>
        </w:rPr>
        <w:t>Scale and volatility:</w:t>
      </w:r>
      <w:r>
        <w:rPr>
          <w:rFonts w:ascii="Calibri" w:hAnsi="Calibri"/>
          <w:b w:val="0"/>
          <w:i w:val="0"/>
          <w:color w:val="000000"/>
          <w:sz w:val="22"/>
        </w:rPr>
        <w:t xml:space="preserve"> Hydroxide's standard deviation of 10.62 is about 66% of its mean, while carbonate's standard deviation of 67,022.48 is about 57% of its mean. Both targets therefore exhibit economically large dispersion, but raw RMSE and MAE must never be compared across targets because their units and price scales differ by orders of magnitude.</w:t>
      </w:r>
    </w:p>
    <w:p>
      <w:pPr>
        <w:spacing w:after="160" w:line="320" w:lineRule="auto"/>
        <w:jc w:val="both"/>
      </w:pPr>
      <w:r>
        <w:rPr>
          <w:rFonts w:ascii="Calibri" w:hAnsi="Calibri"/>
          <w:b/>
          <w:i w:val="0"/>
          <w:color w:val="000000"/>
          <w:sz w:val="22"/>
        </w:rPr>
        <w:t>Modelling implication:</w:t>
      </w:r>
      <w:r>
        <w:rPr>
          <w:rFonts w:ascii="Calibri" w:hAnsi="Calibri"/>
          <w:b w:val="0"/>
          <w:i w:val="0"/>
          <w:color w:val="000000"/>
          <w:sz w:val="22"/>
        </w:rPr>
        <w:t xml:space="preserve"> The broad min-max ranges and high relative dispersion explain why percentage, scaled, and directional metrics are reported beside absolute errors. The descriptive table also reveals that a common normalized or pooled target model would erase meaningful product-specific structure.</w:t>
      </w:r>
    </w:p>
    <w:p>
      <w:pPr>
        <w:sectPr>
          <w:pgSz w:w="15840" w:h="12240" w:orient="landscape"/>
          <w:pgMar w:top="1037" w:right="1037" w:bottom="1037" w:left="1037" w:header="605" w:footer="605" w:gutter="0"/>
          <w:cols w:space="720"/>
          <w:docGrid w:linePitch="360"/>
        </w:sectPr>
      </w:pPr>
    </w:p>
    <w:p>
      <w:pPr>
        <w:keepNext/>
        <w:spacing w:before="100" w:after="80"/>
      </w:pPr>
      <w:r>
        <w:rPr>
          <w:rFonts w:ascii="Calibri" w:hAnsi="Calibri"/>
          <w:b/>
          <w:i w:val="0"/>
          <w:color w:val="1F4D78"/>
          <w:sz w:val="18"/>
        </w:rPr>
        <w:t xml:space="preserve">Figure 4. </w:t>
      </w:r>
      <w:r>
        <w:rPr>
          <w:rFonts w:ascii="Calibri" w:hAnsi="Calibri"/>
          <w:b w:val="0"/>
          <w:i/>
          <w:color w:val="000000"/>
          <w:sz w:val="18"/>
        </w:rPr>
        <w:t>Lithium-price series used as forecasting targets.</w:t>
      </w:r>
    </w:p>
    <w:p>
      <w:pPr>
        <w:spacing w:after="180"/>
        <w:jc w:val="center"/>
      </w:pPr>
      <w:r>
        <w:drawing>
          <wp:inline xmlns:a="http://schemas.openxmlformats.org/drawingml/2006/main" xmlns:pic="http://schemas.openxmlformats.org/drawingml/2006/picture">
            <wp:extent cx="5760720" cy="3766525"/>
            <wp:docPr id="4" name="Picture 4"/>
            <wp:cNvGraphicFramePr>
              <a:graphicFrameLocks noChangeAspect="1"/>
            </wp:cNvGraphicFramePr>
            <a:graphic>
              <a:graphicData uri="http://schemas.openxmlformats.org/drawingml/2006/picture">
                <pic:pic>
                  <pic:nvPicPr>
                    <pic:cNvPr id="0" name="fig4_price_series.png"/>
                    <pic:cNvPicPr/>
                  </pic:nvPicPr>
                  <pic:blipFill>
                    <a:blip r:embed="rId14"/>
                    <a:stretch>
                      <a:fillRect/>
                    </a:stretch>
                  </pic:blipFill>
                  <pic:spPr>
                    <a:xfrm>
                      <a:off x="0" y="0"/>
                      <a:ext cx="5760720" cy="3766525"/>
                    </a:xfrm>
                    <a:prstGeom prst="rect"/>
                  </pic:spPr>
                </pic:pic>
              </a:graphicData>
            </a:graphic>
          </wp:inline>
        </w:drawing>
      </w:r>
    </w:p>
    <w:p>
      <w:pPr>
        <w:keepNext/>
        <w:spacing w:before="100" w:after="80"/>
      </w:pPr>
      <w:r>
        <w:rPr>
          <w:rFonts w:ascii="Calibri" w:hAnsi="Calibri"/>
          <w:b/>
          <w:i w:val="0"/>
          <w:color w:val="1F4D78"/>
          <w:sz w:val="18"/>
        </w:rPr>
        <w:t xml:space="preserve">Figure 5. </w:t>
      </w:r>
      <w:r>
        <w:rPr>
          <w:rFonts w:ascii="Calibri" w:hAnsi="Calibri"/>
          <w:b w:val="0"/>
          <w:i/>
          <w:color w:val="000000"/>
          <w:sz w:val="18"/>
        </w:rPr>
        <w:t>Word cloud of the collected lithium-specific news headlines.</w:t>
      </w:r>
    </w:p>
    <w:p>
      <w:pPr>
        <w:spacing w:after="180"/>
        <w:jc w:val="center"/>
      </w:pPr>
      <w:r>
        <w:drawing>
          <wp:inline xmlns:a="http://schemas.openxmlformats.org/drawingml/2006/main" xmlns:pic="http://schemas.openxmlformats.org/drawingml/2006/picture">
            <wp:extent cx="5760720" cy="2659588"/>
            <wp:docPr id="5" name="Picture 5"/>
            <wp:cNvGraphicFramePr>
              <a:graphicFrameLocks noChangeAspect="1"/>
            </wp:cNvGraphicFramePr>
            <a:graphic>
              <a:graphicData uri="http://schemas.openxmlformats.org/drawingml/2006/picture">
                <pic:pic>
                  <pic:nvPicPr>
                    <pic:cNvPr id="0" name="fig5_wordcloud.png"/>
                    <pic:cNvPicPr/>
                  </pic:nvPicPr>
                  <pic:blipFill>
                    <a:blip r:embed="rId15"/>
                    <a:stretch>
                      <a:fillRect/>
                    </a:stretch>
                  </pic:blipFill>
                  <pic:spPr>
                    <a:xfrm>
                      <a:off x="0" y="0"/>
                      <a:ext cx="5760720" cy="2659588"/>
                    </a:xfrm>
                    <a:prstGeom prst="rect"/>
                  </pic:spPr>
                </pic:pic>
              </a:graphicData>
            </a:graphic>
          </wp:inline>
        </w:drawing>
      </w:r>
    </w:p>
    <w:p>
      <w:pPr>
        <w:keepNext/>
        <w:spacing w:before="100" w:after="80"/>
      </w:pPr>
      <w:r>
        <w:rPr>
          <w:rFonts w:ascii="Calibri" w:hAnsi="Calibri"/>
          <w:b/>
          <w:i w:val="0"/>
          <w:color w:val="1F4D78"/>
          <w:sz w:val="18"/>
        </w:rPr>
        <w:t xml:space="preserve">Figure 6. </w:t>
      </w:r>
      <w:r>
        <w:rPr>
          <w:rFonts w:ascii="Calibri" w:hAnsi="Calibri"/>
          <w:b w:val="0"/>
          <w:i/>
          <w:color w:val="000000"/>
          <w:sz w:val="18"/>
        </w:rPr>
        <w:t>TextBlob and FinBERT sentiment scores extracted from lithium-specific headlines.</w:t>
      </w:r>
    </w:p>
    <w:p>
      <w:pPr>
        <w:spacing w:after="180"/>
        <w:jc w:val="center"/>
      </w:pPr>
      <w:r>
        <w:drawing>
          <wp:inline xmlns:a="http://schemas.openxmlformats.org/drawingml/2006/main" xmlns:pic="http://schemas.openxmlformats.org/drawingml/2006/picture">
            <wp:extent cx="5760720" cy="3631311"/>
            <wp:docPr id="6" name="Picture 6"/>
            <wp:cNvGraphicFramePr>
              <a:graphicFrameLocks noChangeAspect="1"/>
            </wp:cNvGraphicFramePr>
            <a:graphic>
              <a:graphicData uri="http://schemas.openxmlformats.org/drawingml/2006/picture">
                <pic:pic>
                  <pic:nvPicPr>
                    <pic:cNvPr id="0" name="fig6_sentiment.png"/>
                    <pic:cNvPicPr/>
                  </pic:nvPicPr>
                  <pic:blipFill>
                    <a:blip r:embed="rId16"/>
                    <a:stretch>
                      <a:fillRect/>
                    </a:stretch>
                  </pic:blipFill>
                  <pic:spPr>
                    <a:xfrm>
                      <a:off x="0" y="0"/>
                      <a:ext cx="5760720" cy="3631311"/>
                    </a:xfrm>
                    <a:prstGeom prst="rect"/>
                  </pic:spPr>
                </pic:pic>
              </a:graphicData>
            </a:graphic>
          </wp:inline>
        </w:drawing>
      </w:r>
    </w:p>
    <w:p>
      <w:pPr>
        <w:pStyle w:val="Heading1"/>
      </w:pPr>
      <w:r>
        <w:t>5. Decomposition and feature selection</w:t>
      </w:r>
    </w:p>
    <w:p>
      <w:pPr>
        <w:keepNext/>
        <w:spacing w:before="100" w:after="80"/>
      </w:pPr>
      <w:r>
        <w:rPr>
          <w:rFonts w:ascii="Calibri" w:hAnsi="Calibri"/>
          <w:b/>
          <w:i w:val="0"/>
          <w:color w:val="1F4D78"/>
          <w:sz w:val="18"/>
        </w:rPr>
        <w:t xml:space="preserve">Figure 7. </w:t>
      </w:r>
      <w:r>
        <w:rPr>
          <w:rFonts w:ascii="Calibri" w:hAnsi="Calibri"/>
          <w:b w:val="0"/>
          <w:i/>
          <w:color w:val="000000"/>
          <w:sz w:val="18"/>
        </w:rPr>
        <w:t>Full-sample VMD modes of the two lithium-price targets.</w:t>
      </w:r>
    </w:p>
    <w:p>
      <w:pPr>
        <w:spacing w:after="180"/>
        <w:jc w:val="center"/>
      </w:pPr>
      <w:r>
        <w:drawing>
          <wp:inline xmlns:a="http://schemas.openxmlformats.org/drawingml/2006/main" xmlns:pic="http://schemas.openxmlformats.org/drawingml/2006/picture">
            <wp:extent cx="5760720" cy="4385680"/>
            <wp:docPr id="7" name="Picture 7"/>
            <wp:cNvGraphicFramePr>
              <a:graphicFrameLocks noChangeAspect="1"/>
            </wp:cNvGraphicFramePr>
            <a:graphic>
              <a:graphicData uri="http://schemas.openxmlformats.org/drawingml/2006/picture">
                <pic:pic>
                  <pic:nvPicPr>
                    <pic:cNvPr id="0" name="fig7_vmd_modes.png"/>
                    <pic:cNvPicPr/>
                  </pic:nvPicPr>
                  <pic:blipFill>
                    <a:blip r:embed="rId17"/>
                    <a:stretch>
                      <a:fillRect/>
                    </a:stretch>
                  </pic:blipFill>
                  <pic:spPr>
                    <a:xfrm>
                      <a:off x="0" y="0"/>
                      <a:ext cx="5760720" cy="4385680"/>
                    </a:xfrm>
                    <a:prstGeom prst="rect"/>
                  </pic:spPr>
                </pic:pic>
              </a:graphicData>
            </a:graphic>
          </wp:inline>
        </w:drawing>
      </w:r>
    </w:p>
    <w:p>
      <w:pPr>
        <w:keepNext/>
        <w:spacing w:before="100" w:after="80"/>
      </w:pPr>
      <w:r>
        <w:rPr>
          <w:rFonts w:ascii="Calibri" w:hAnsi="Calibri"/>
          <w:b/>
          <w:i w:val="0"/>
          <w:color w:val="1F4D78"/>
          <w:sz w:val="18"/>
        </w:rPr>
        <w:t xml:space="preserve">Figure 8. </w:t>
      </w:r>
      <w:r>
        <w:rPr>
          <w:rFonts w:ascii="Calibri" w:hAnsi="Calibri"/>
          <w:b w:val="0"/>
          <w:i/>
          <w:color w:val="000000"/>
          <w:sz w:val="18"/>
        </w:rPr>
        <w:t>Approximate-entropy values of the decomposed VMD modes.</w:t>
      </w:r>
    </w:p>
    <w:p>
      <w:pPr>
        <w:spacing w:after="180"/>
        <w:jc w:val="center"/>
      </w:pPr>
      <w:r>
        <w:drawing>
          <wp:inline xmlns:a="http://schemas.openxmlformats.org/drawingml/2006/main" xmlns:pic="http://schemas.openxmlformats.org/drawingml/2006/picture">
            <wp:extent cx="5760720" cy="2705081"/>
            <wp:docPr id="8" name="Picture 8"/>
            <wp:cNvGraphicFramePr>
              <a:graphicFrameLocks noChangeAspect="1"/>
            </wp:cNvGraphicFramePr>
            <a:graphic>
              <a:graphicData uri="http://schemas.openxmlformats.org/drawingml/2006/picture">
                <pic:pic>
                  <pic:nvPicPr>
                    <pic:cNvPr id="0" name="fig8_entropy.png"/>
                    <pic:cNvPicPr/>
                  </pic:nvPicPr>
                  <pic:blipFill>
                    <a:blip r:embed="rId18"/>
                    <a:stretch>
                      <a:fillRect/>
                    </a:stretch>
                  </pic:blipFill>
                  <pic:spPr>
                    <a:xfrm>
                      <a:off x="0" y="0"/>
                      <a:ext cx="5760720" cy="270508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5. </w:t>
      </w:r>
      <w:r>
        <w:rPr>
          <w:rFonts w:ascii="Calibri" w:hAnsi="Calibri"/>
          <w:b w:val="0"/>
          <w:i/>
          <w:color w:val="000000"/>
          <w:sz w:val="18"/>
        </w:rPr>
        <w:t>Information on the decomposed lithium-price modes.</w:t>
      </w:r>
    </w:p>
    <w:tbl>
      <w:tblPr>
        <w:tblStyle w:val="TableGrid"/>
        <w:tblW w:type="dxa" w:w="13680"/>
        <w:jc w:val="left"/>
        <w:tblLayout w:type="fixed"/>
        <w:tblLook w:firstColumn="1" w:firstRow="1" w:lastColumn="0" w:lastRow="0" w:noHBand="0" w:noVBand="1" w:val="04A0"/>
      </w:tblPr>
      <w:tblGrid>
        <w:gridCol w:w="2373"/>
        <w:gridCol w:w="977"/>
        <w:gridCol w:w="977"/>
        <w:gridCol w:w="1256"/>
        <w:gridCol w:w="1954"/>
        <w:gridCol w:w="1954"/>
        <w:gridCol w:w="1535"/>
        <w:gridCol w:w="2654"/>
      </w:tblGrid>
      <w:tr>
        <w:trPr>
          <w:tblHeader w:val="true"/>
        </w:trPr>
        <w:tc>
          <w:tcPr>
            <w:tcW w:type="dxa" w:w="2373"/>
            <w:shd w:fill="F4F6F9"/>
            <w:vAlign w:val="center"/>
          </w:tcPr>
          <w:p>
            <w:pPr>
              <w:jc w:val="center"/>
            </w:pPr>
            <w:r/>
            <w:r>
              <w:rPr>
                <w:rFonts w:ascii="Calibri" w:hAnsi="Calibri"/>
                <w:b/>
                <w:i w:val="0"/>
                <w:color w:val="0B2545"/>
                <w:sz w:val="11"/>
              </w:rPr>
              <w:t>Panel</w:t>
            </w:r>
          </w:p>
        </w:tc>
        <w:tc>
          <w:tcPr>
            <w:tcW w:type="dxa" w:w="977"/>
            <w:shd w:fill="F4F6F9"/>
            <w:vAlign w:val="center"/>
          </w:tcPr>
          <w:p>
            <w:pPr>
              <w:jc w:val="center"/>
            </w:pPr>
            <w:r/>
            <w:r>
              <w:rPr>
                <w:rFonts w:ascii="Calibri" w:hAnsi="Calibri"/>
                <w:b/>
                <w:i w:val="0"/>
                <w:color w:val="0B2545"/>
                <w:sz w:val="11"/>
              </w:rPr>
              <w:t>Method</w:t>
            </w:r>
          </w:p>
        </w:tc>
        <w:tc>
          <w:tcPr>
            <w:tcW w:type="dxa" w:w="977"/>
            <w:shd w:fill="F4F6F9"/>
            <w:vAlign w:val="center"/>
          </w:tcPr>
          <w:p>
            <w:pPr>
              <w:jc w:val="center"/>
            </w:pPr>
            <w:r/>
            <w:r>
              <w:rPr>
                <w:rFonts w:ascii="Calibri" w:hAnsi="Calibri"/>
                <w:b/>
                <w:i w:val="0"/>
                <w:color w:val="0B2545"/>
                <w:sz w:val="11"/>
              </w:rPr>
              <w:t>Mode</w:t>
            </w:r>
          </w:p>
        </w:tc>
        <w:tc>
          <w:tcPr>
            <w:tcW w:type="dxa" w:w="1256"/>
            <w:shd w:fill="F4F6F9"/>
            <w:vAlign w:val="center"/>
          </w:tcPr>
          <w:p>
            <w:pPr>
              <w:jc w:val="center"/>
            </w:pPr>
            <w:r/>
            <w:r>
              <w:rPr>
                <w:rFonts w:ascii="Calibri" w:hAnsi="Calibri"/>
                <w:b/>
                <w:i w:val="0"/>
                <w:color w:val="0B2545"/>
                <w:sz w:val="11"/>
              </w:rPr>
              <w:t>Frequency</w:t>
            </w:r>
          </w:p>
        </w:tc>
        <w:tc>
          <w:tcPr>
            <w:tcW w:type="dxa" w:w="1954"/>
            <w:shd w:fill="F4F6F9"/>
            <w:vAlign w:val="center"/>
          </w:tcPr>
          <w:p>
            <w:pPr>
              <w:jc w:val="center"/>
            </w:pPr>
            <w:r/>
            <w:r>
              <w:rPr>
                <w:rFonts w:ascii="Calibri" w:hAnsi="Calibri"/>
                <w:b/>
                <w:i w:val="0"/>
                <w:color w:val="0B2545"/>
                <w:sz w:val="11"/>
              </w:rPr>
              <w:t>Average period</w:t>
            </w:r>
          </w:p>
        </w:tc>
        <w:tc>
          <w:tcPr>
            <w:tcW w:type="dxa" w:w="1954"/>
            <w:shd w:fill="F4F6F9"/>
            <w:vAlign w:val="center"/>
          </w:tcPr>
          <w:p>
            <w:pPr>
              <w:jc w:val="center"/>
            </w:pPr>
            <w:r/>
            <w:r>
              <w:rPr>
                <w:rFonts w:ascii="Calibri" w:hAnsi="Calibri"/>
                <w:b/>
                <w:i w:val="0"/>
                <w:color w:val="0B2545"/>
                <w:sz w:val="11"/>
              </w:rPr>
              <w:t>Variance share</w:t>
            </w:r>
          </w:p>
        </w:tc>
        <w:tc>
          <w:tcPr>
            <w:tcW w:type="dxa" w:w="1535"/>
            <w:shd w:fill="F4F6F9"/>
            <w:vAlign w:val="center"/>
          </w:tcPr>
          <w:p>
            <w:pPr>
              <w:jc w:val="center"/>
            </w:pPr>
            <w:r/>
            <w:r>
              <w:rPr>
                <w:rFonts w:ascii="Calibri" w:hAnsi="Calibri"/>
                <w:b/>
                <w:i w:val="0"/>
                <w:color w:val="0B2545"/>
                <w:sz w:val="11"/>
              </w:rPr>
              <w:t>Correlation</w:t>
            </w:r>
          </w:p>
        </w:tc>
        <w:tc>
          <w:tcPr>
            <w:tcW w:type="dxa" w:w="2654"/>
            <w:shd w:fill="F4F6F9"/>
            <w:vAlign w:val="center"/>
          </w:tcPr>
          <w:p>
            <w:pPr>
              <w:jc w:val="center"/>
            </w:pPr>
            <w:r/>
            <w:r>
              <w:rPr>
                <w:rFonts w:ascii="Calibri" w:hAnsi="Calibri"/>
                <w:b/>
                <w:i w:val="0"/>
                <w:color w:val="0B2545"/>
                <w:sz w:val="11"/>
              </w:rPr>
              <w:t>Approximate Entropy</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0.3273</w:t>
            </w:r>
          </w:p>
        </w:tc>
        <w:tc>
          <w:tcPr>
            <w:tcW w:type="dxa" w:w="1535"/>
            <w:vAlign w:val="center"/>
          </w:tcPr>
          <w:p>
            <w:pPr>
              <w:spacing w:after="0" w:line="240" w:lineRule="auto"/>
              <w:jc w:val="center"/>
            </w:pPr>
            <w:r/>
            <w:r>
              <w:rPr>
                <w:rFonts w:ascii="Calibri" w:hAnsi="Calibri"/>
                <w:b w:val="0"/>
                <w:i w:val="0"/>
                <w:color w:val="000000"/>
                <w:sz w:val="11"/>
              </w:rPr>
              <w:t>0.8212</w:t>
            </w:r>
          </w:p>
        </w:tc>
        <w:tc>
          <w:tcPr>
            <w:tcW w:type="dxa" w:w="2654"/>
            <w:vAlign w:val="center"/>
          </w:tcPr>
          <w:p>
            <w:pPr>
              <w:spacing w:after="0" w:line="240" w:lineRule="auto"/>
              <w:jc w:val="center"/>
            </w:pPr>
            <w:r/>
            <w:r>
              <w:rPr>
                <w:rFonts w:ascii="Calibri" w:hAnsi="Calibri"/>
                <w:b w:val="0"/>
                <w:i w:val="0"/>
                <w:color w:val="000000"/>
                <w:sz w:val="11"/>
              </w:rPr>
              <w:t>0.0053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0.0056</w:t>
            </w:r>
          </w:p>
        </w:tc>
        <w:tc>
          <w:tcPr>
            <w:tcW w:type="dxa" w:w="1954"/>
            <w:vAlign w:val="center"/>
          </w:tcPr>
          <w:p>
            <w:pPr>
              <w:spacing w:after="0" w:line="240" w:lineRule="auto"/>
              <w:jc w:val="center"/>
            </w:pPr>
            <w:r/>
            <w:r>
              <w:rPr>
                <w:rFonts w:ascii="Calibri" w:hAnsi="Calibri"/>
                <w:b w:val="0"/>
                <w:i w:val="0"/>
                <w:color w:val="000000"/>
                <w:sz w:val="11"/>
              </w:rPr>
              <w:t>178.5000</w:t>
            </w:r>
          </w:p>
        </w:tc>
        <w:tc>
          <w:tcPr>
            <w:tcW w:type="dxa" w:w="1954"/>
            <w:vAlign w:val="center"/>
          </w:tcPr>
          <w:p>
            <w:pPr>
              <w:spacing w:after="0" w:line="240" w:lineRule="auto"/>
              <w:jc w:val="center"/>
            </w:pPr>
            <w:r/>
            <w:r>
              <w:rPr>
                <w:rFonts w:ascii="Calibri" w:hAnsi="Calibri"/>
                <w:b w:val="0"/>
                <w:i w:val="0"/>
                <w:color w:val="000000"/>
                <w:sz w:val="11"/>
              </w:rPr>
              <w:t>0.3651</w:t>
            </w:r>
          </w:p>
        </w:tc>
        <w:tc>
          <w:tcPr>
            <w:tcW w:type="dxa" w:w="1535"/>
            <w:vAlign w:val="center"/>
          </w:tcPr>
          <w:p>
            <w:pPr>
              <w:spacing w:after="0" w:line="240" w:lineRule="auto"/>
              <w:jc w:val="center"/>
            </w:pPr>
            <w:r/>
            <w:r>
              <w:rPr>
                <w:rFonts w:ascii="Calibri" w:hAnsi="Calibri"/>
                <w:b w:val="0"/>
                <w:i w:val="0"/>
                <w:color w:val="000000"/>
                <w:sz w:val="11"/>
              </w:rPr>
              <w:t>0.8439</w:t>
            </w:r>
          </w:p>
        </w:tc>
        <w:tc>
          <w:tcPr>
            <w:tcW w:type="dxa" w:w="2654"/>
            <w:vAlign w:val="center"/>
          </w:tcPr>
          <w:p>
            <w:pPr>
              <w:spacing w:after="0" w:line="240" w:lineRule="auto"/>
              <w:jc w:val="center"/>
            </w:pPr>
            <w:r/>
            <w:r>
              <w:rPr>
                <w:rFonts w:ascii="Calibri" w:hAnsi="Calibri"/>
                <w:b w:val="0"/>
                <w:i w:val="0"/>
                <w:color w:val="000000"/>
                <w:sz w:val="11"/>
              </w:rPr>
              <w:t>0.0220</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0.0126</w:t>
            </w:r>
          </w:p>
        </w:tc>
        <w:tc>
          <w:tcPr>
            <w:tcW w:type="dxa" w:w="1954"/>
            <w:vAlign w:val="center"/>
          </w:tcPr>
          <w:p>
            <w:pPr>
              <w:spacing w:after="0" w:line="240" w:lineRule="auto"/>
              <w:jc w:val="center"/>
            </w:pPr>
            <w:r/>
            <w:r>
              <w:rPr>
                <w:rFonts w:ascii="Calibri" w:hAnsi="Calibri"/>
                <w:b w:val="0"/>
                <w:i w:val="0"/>
                <w:color w:val="000000"/>
                <w:sz w:val="11"/>
              </w:rPr>
              <w:t>79.3333</w:t>
            </w:r>
          </w:p>
        </w:tc>
        <w:tc>
          <w:tcPr>
            <w:tcW w:type="dxa" w:w="1954"/>
            <w:vAlign w:val="center"/>
          </w:tcPr>
          <w:p>
            <w:pPr>
              <w:spacing w:after="0" w:line="240" w:lineRule="auto"/>
              <w:jc w:val="center"/>
            </w:pPr>
            <w:r/>
            <w:r>
              <w:rPr>
                <w:rFonts w:ascii="Calibri" w:hAnsi="Calibri"/>
                <w:b w:val="0"/>
                <w:i w:val="0"/>
                <w:color w:val="000000"/>
                <w:sz w:val="11"/>
              </w:rPr>
              <w:t>0.0089</w:t>
            </w:r>
          </w:p>
        </w:tc>
        <w:tc>
          <w:tcPr>
            <w:tcW w:type="dxa" w:w="1535"/>
            <w:vAlign w:val="center"/>
          </w:tcPr>
          <w:p>
            <w:pPr>
              <w:spacing w:after="0" w:line="240" w:lineRule="auto"/>
              <w:jc w:val="center"/>
            </w:pPr>
            <w:r/>
            <w:r>
              <w:rPr>
                <w:rFonts w:ascii="Calibri" w:hAnsi="Calibri"/>
                <w:b w:val="0"/>
                <w:i w:val="0"/>
                <w:color w:val="000000"/>
                <w:sz w:val="11"/>
              </w:rPr>
              <w:t>0.1657</w:t>
            </w:r>
          </w:p>
        </w:tc>
        <w:tc>
          <w:tcPr>
            <w:tcW w:type="dxa" w:w="2654"/>
            <w:vAlign w:val="center"/>
          </w:tcPr>
          <w:p>
            <w:pPr>
              <w:spacing w:after="0" w:line="240" w:lineRule="auto"/>
              <w:jc w:val="center"/>
            </w:pPr>
            <w:r/>
            <w:r>
              <w:rPr>
                <w:rFonts w:ascii="Calibri" w:hAnsi="Calibri"/>
                <w:b w:val="0"/>
                <w:i w:val="0"/>
                <w:color w:val="000000"/>
                <w:sz w:val="11"/>
              </w:rPr>
              <w:t>0.2067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0.0490</w:t>
            </w:r>
          </w:p>
        </w:tc>
        <w:tc>
          <w:tcPr>
            <w:tcW w:type="dxa" w:w="1954"/>
            <w:vAlign w:val="center"/>
          </w:tcPr>
          <w:p>
            <w:pPr>
              <w:spacing w:after="0" w:line="240" w:lineRule="auto"/>
              <w:jc w:val="center"/>
            </w:pPr>
            <w:r/>
            <w:r>
              <w:rPr>
                <w:rFonts w:ascii="Calibri" w:hAnsi="Calibri"/>
                <w:b w:val="0"/>
                <w:i w:val="0"/>
                <w:color w:val="000000"/>
                <w:sz w:val="11"/>
              </w:rPr>
              <w:t>20.4000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0.0556</w:t>
            </w:r>
          </w:p>
        </w:tc>
        <w:tc>
          <w:tcPr>
            <w:tcW w:type="dxa" w:w="2654"/>
            <w:vAlign w:val="center"/>
          </w:tcPr>
          <w:p>
            <w:pPr>
              <w:spacing w:after="0" w:line="240" w:lineRule="auto"/>
              <w:jc w:val="center"/>
            </w:pPr>
            <w:r/>
            <w:r>
              <w:rPr>
                <w:rFonts w:ascii="Calibri" w:hAnsi="Calibri"/>
                <w:b w:val="0"/>
                <w:i w:val="0"/>
                <w:color w:val="000000"/>
                <w:sz w:val="11"/>
              </w:rPr>
              <w:t>0.4323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0.1359</w:t>
            </w:r>
          </w:p>
        </w:tc>
        <w:tc>
          <w:tcPr>
            <w:tcW w:type="dxa" w:w="1954"/>
            <w:vAlign w:val="center"/>
          </w:tcPr>
          <w:p>
            <w:pPr>
              <w:spacing w:after="0" w:line="240" w:lineRule="auto"/>
              <w:jc w:val="center"/>
            </w:pPr>
            <w:r/>
            <w:r>
              <w:rPr>
                <w:rFonts w:ascii="Calibri" w:hAnsi="Calibri"/>
                <w:b w:val="0"/>
                <w:i w:val="0"/>
                <w:color w:val="000000"/>
                <w:sz w:val="11"/>
              </w:rPr>
              <w:t>7.3608</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0.0234</w:t>
            </w:r>
          </w:p>
        </w:tc>
        <w:tc>
          <w:tcPr>
            <w:tcW w:type="dxa" w:w="2654"/>
            <w:vAlign w:val="center"/>
          </w:tcPr>
          <w:p>
            <w:pPr>
              <w:spacing w:after="0" w:line="240" w:lineRule="auto"/>
              <w:jc w:val="center"/>
            </w:pPr>
            <w:r/>
            <w:r>
              <w:rPr>
                <w:rFonts w:ascii="Calibri" w:hAnsi="Calibri"/>
                <w:b w:val="0"/>
                <w:i w:val="0"/>
                <w:color w:val="000000"/>
                <w:sz w:val="11"/>
              </w:rPr>
              <w:t>0.3845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0.2535</w:t>
            </w:r>
          </w:p>
        </w:tc>
        <w:tc>
          <w:tcPr>
            <w:tcW w:type="dxa" w:w="1954"/>
            <w:vAlign w:val="center"/>
          </w:tcPr>
          <w:p>
            <w:pPr>
              <w:spacing w:after="0" w:line="240" w:lineRule="auto"/>
              <w:jc w:val="center"/>
            </w:pPr>
            <w:r/>
            <w:r>
              <w:rPr>
                <w:rFonts w:ascii="Calibri" w:hAnsi="Calibri"/>
                <w:b w:val="0"/>
                <w:i w:val="0"/>
                <w:color w:val="000000"/>
                <w:sz w:val="11"/>
              </w:rPr>
              <w:t>3.9448</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0.0148</w:t>
            </w:r>
          </w:p>
        </w:tc>
        <w:tc>
          <w:tcPr>
            <w:tcW w:type="dxa" w:w="2654"/>
            <w:vAlign w:val="center"/>
          </w:tcPr>
          <w:p>
            <w:pPr>
              <w:spacing w:after="0" w:line="240" w:lineRule="auto"/>
              <w:jc w:val="center"/>
            </w:pPr>
            <w:r/>
            <w:r>
              <w:rPr>
                <w:rFonts w:ascii="Calibri" w:hAnsi="Calibri"/>
                <w:b w:val="0"/>
                <w:i w:val="0"/>
                <w:color w:val="000000"/>
                <w:sz w:val="11"/>
              </w:rPr>
              <w:t>0.2372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0.3403</w:t>
            </w:r>
          </w:p>
        </w:tc>
        <w:tc>
          <w:tcPr>
            <w:tcW w:type="dxa" w:w="1954"/>
            <w:vAlign w:val="center"/>
          </w:tcPr>
          <w:p>
            <w:pPr>
              <w:spacing w:after="0" w:line="240" w:lineRule="auto"/>
              <w:jc w:val="center"/>
            </w:pPr>
            <w:r/>
            <w:r>
              <w:rPr>
                <w:rFonts w:ascii="Calibri" w:hAnsi="Calibri"/>
                <w:b w:val="0"/>
                <w:i w:val="0"/>
                <w:color w:val="000000"/>
                <w:sz w:val="11"/>
              </w:rPr>
              <w:t>2.9383</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0.0118</w:t>
            </w:r>
          </w:p>
        </w:tc>
        <w:tc>
          <w:tcPr>
            <w:tcW w:type="dxa" w:w="2654"/>
            <w:vAlign w:val="center"/>
          </w:tcPr>
          <w:p>
            <w:pPr>
              <w:spacing w:after="0" w:line="240" w:lineRule="auto"/>
              <w:jc w:val="center"/>
            </w:pPr>
            <w:r/>
            <w:r>
              <w:rPr>
                <w:rFonts w:ascii="Calibri" w:hAnsi="Calibri"/>
                <w:b w:val="0"/>
                <w:i w:val="0"/>
                <w:color w:val="000000"/>
                <w:sz w:val="11"/>
              </w:rPr>
              <w:t>0.3481</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0.3978</w:t>
            </w:r>
          </w:p>
        </w:tc>
        <w:tc>
          <w:tcPr>
            <w:tcW w:type="dxa" w:w="1954"/>
            <w:vAlign w:val="center"/>
          </w:tcPr>
          <w:p>
            <w:pPr>
              <w:spacing w:after="0" w:line="240" w:lineRule="auto"/>
              <w:jc w:val="center"/>
            </w:pPr>
            <w:r/>
            <w:r>
              <w:rPr>
                <w:rFonts w:ascii="Calibri" w:hAnsi="Calibri"/>
                <w:b w:val="0"/>
                <w:i w:val="0"/>
                <w:color w:val="000000"/>
                <w:sz w:val="11"/>
              </w:rPr>
              <w:t>2.5141</w:t>
            </w:r>
          </w:p>
        </w:tc>
        <w:tc>
          <w:tcPr>
            <w:tcW w:type="dxa" w:w="1954"/>
            <w:vAlign w:val="center"/>
          </w:tcPr>
          <w:p>
            <w:pPr>
              <w:spacing w:after="0" w:line="240" w:lineRule="auto"/>
              <w:jc w:val="center"/>
            </w:pPr>
            <w:r/>
            <w:r>
              <w:rPr>
                <w:rFonts w:ascii="Calibri" w:hAnsi="Calibri"/>
                <w:b w:val="0"/>
                <w:i w:val="0"/>
                <w:color w:val="000000"/>
                <w:sz w:val="11"/>
              </w:rPr>
              <w:t>0.0001</w:t>
            </w:r>
          </w:p>
        </w:tc>
        <w:tc>
          <w:tcPr>
            <w:tcW w:type="dxa" w:w="1535"/>
            <w:vAlign w:val="center"/>
          </w:tcPr>
          <w:p>
            <w:pPr>
              <w:spacing w:after="0" w:line="240" w:lineRule="auto"/>
              <w:jc w:val="center"/>
            </w:pPr>
            <w:r/>
            <w:r>
              <w:rPr>
                <w:rFonts w:ascii="Calibri" w:hAnsi="Calibri"/>
                <w:b w:val="0"/>
                <w:i w:val="0"/>
                <w:color w:val="000000"/>
                <w:sz w:val="11"/>
              </w:rPr>
              <w:t>0.0117</w:t>
            </w:r>
          </w:p>
        </w:tc>
        <w:tc>
          <w:tcPr>
            <w:tcW w:type="dxa" w:w="2654"/>
            <w:vAlign w:val="center"/>
          </w:tcPr>
          <w:p>
            <w:pPr>
              <w:spacing w:after="0" w:line="240" w:lineRule="auto"/>
              <w:jc w:val="center"/>
            </w:pPr>
            <w:r/>
            <w:r>
              <w:rPr>
                <w:rFonts w:ascii="Calibri" w:hAnsi="Calibri"/>
                <w:b w:val="0"/>
                <w:i w:val="0"/>
                <w:color w:val="000000"/>
                <w:sz w:val="11"/>
              </w:rPr>
              <w:t>0.4197</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9.0000</w:t>
            </w:r>
          </w:p>
        </w:tc>
        <w:tc>
          <w:tcPr>
            <w:tcW w:type="dxa" w:w="1256"/>
            <w:vAlign w:val="center"/>
          </w:tcPr>
          <w:p>
            <w:pPr>
              <w:spacing w:after="0" w:line="240" w:lineRule="auto"/>
              <w:jc w:val="center"/>
            </w:pPr>
            <w:r/>
            <w:r>
              <w:rPr>
                <w:rFonts w:ascii="Calibri" w:hAnsi="Calibri"/>
                <w:b w:val="0"/>
                <w:i w:val="0"/>
                <w:color w:val="000000"/>
                <w:sz w:val="11"/>
              </w:rPr>
              <w:t>0.4468</w:t>
            </w:r>
          </w:p>
        </w:tc>
        <w:tc>
          <w:tcPr>
            <w:tcW w:type="dxa" w:w="1954"/>
            <w:vAlign w:val="center"/>
          </w:tcPr>
          <w:p>
            <w:pPr>
              <w:spacing w:after="0" w:line="240" w:lineRule="auto"/>
              <w:jc w:val="center"/>
            </w:pPr>
            <w:r/>
            <w:r>
              <w:rPr>
                <w:rFonts w:ascii="Calibri" w:hAnsi="Calibri"/>
                <w:b w:val="0"/>
                <w:i w:val="0"/>
                <w:color w:val="000000"/>
                <w:sz w:val="11"/>
              </w:rPr>
              <w:t>2.2382</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0.0104</w:t>
            </w:r>
          </w:p>
        </w:tc>
        <w:tc>
          <w:tcPr>
            <w:tcW w:type="dxa" w:w="2654"/>
            <w:vAlign w:val="center"/>
          </w:tcPr>
          <w:p>
            <w:pPr>
              <w:spacing w:after="0" w:line="240" w:lineRule="auto"/>
              <w:jc w:val="center"/>
            </w:pPr>
            <w:r/>
            <w:r>
              <w:rPr>
                <w:rFonts w:ascii="Calibri" w:hAnsi="Calibri"/>
                <w:b w:val="0"/>
                <w:i w:val="0"/>
                <w:color w:val="000000"/>
                <w:sz w:val="11"/>
              </w:rPr>
              <w:t>0.5442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0.3375</w:t>
            </w:r>
          </w:p>
        </w:tc>
        <w:tc>
          <w:tcPr>
            <w:tcW w:type="dxa" w:w="1954"/>
            <w:vAlign w:val="center"/>
          </w:tcPr>
          <w:p>
            <w:pPr>
              <w:spacing w:after="0" w:line="240" w:lineRule="auto"/>
              <w:jc w:val="center"/>
            </w:pPr>
            <w:r/>
            <w:r>
              <w:rPr>
                <w:rFonts w:ascii="Calibri" w:hAnsi="Calibri"/>
                <w:b w:val="0"/>
                <w:i w:val="0"/>
                <w:color w:val="000000"/>
                <w:sz w:val="11"/>
              </w:rPr>
              <w:t>2.9627</w:t>
            </w:r>
          </w:p>
        </w:tc>
        <w:tc>
          <w:tcPr>
            <w:tcW w:type="dxa" w:w="1954"/>
            <w:vAlign w:val="center"/>
          </w:tcPr>
          <w:p>
            <w:pPr>
              <w:spacing w:after="0" w:line="240" w:lineRule="auto"/>
              <w:jc w:val="center"/>
            </w:pPr>
            <w:r/>
            <w:r>
              <w:rPr>
                <w:rFonts w:ascii="Calibri" w:hAnsi="Calibri"/>
                <w:b w:val="0"/>
                <w:i w:val="0"/>
                <w:color w:val="000000"/>
                <w:sz w:val="11"/>
              </w:rPr>
              <w:t>0.0006</w:t>
            </w:r>
          </w:p>
        </w:tc>
        <w:tc>
          <w:tcPr>
            <w:tcW w:type="dxa" w:w="1535"/>
            <w:vAlign w:val="center"/>
          </w:tcPr>
          <w:p>
            <w:pPr>
              <w:spacing w:after="0" w:line="240" w:lineRule="auto"/>
              <w:jc w:val="center"/>
            </w:pPr>
            <w:r/>
            <w:r>
              <w:rPr>
                <w:rFonts w:ascii="Calibri" w:hAnsi="Calibri"/>
                <w:b w:val="0"/>
                <w:i w:val="0"/>
                <w:color w:val="000000"/>
                <w:sz w:val="11"/>
              </w:rPr>
              <w:t>-0.0045</w:t>
            </w:r>
          </w:p>
        </w:tc>
        <w:tc>
          <w:tcPr>
            <w:tcW w:type="dxa" w:w="2654"/>
            <w:vAlign w:val="center"/>
          </w:tcPr>
          <w:p>
            <w:pPr>
              <w:spacing w:after="0" w:line="240" w:lineRule="auto"/>
              <w:jc w:val="center"/>
            </w:pPr>
            <w:r/>
            <w:r>
              <w:rPr>
                <w:rFonts w:ascii="Calibri" w:hAnsi="Calibri"/>
                <w:b w:val="0"/>
                <w:i w:val="0"/>
                <w:color w:val="000000"/>
                <w:sz w:val="11"/>
              </w:rPr>
              <w:t>0.7875</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0.2381</w:t>
            </w:r>
          </w:p>
        </w:tc>
        <w:tc>
          <w:tcPr>
            <w:tcW w:type="dxa" w:w="1954"/>
            <w:vAlign w:val="center"/>
          </w:tcPr>
          <w:p>
            <w:pPr>
              <w:spacing w:after="0" w:line="240" w:lineRule="auto"/>
              <w:jc w:val="center"/>
            </w:pPr>
            <w:r/>
            <w:r>
              <w:rPr>
                <w:rFonts w:ascii="Calibri" w:hAnsi="Calibri"/>
                <w:b w:val="0"/>
                <w:i w:val="0"/>
                <w:color w:val="000000"/>
                <w:sz w:val="11"/>
              </w:rPr>
              <w:t>4.2000</w:t>
            </w:r>
          </w:p>
        </w:tc>
        <w:tc>
          <w:tcPr>
            <w:tcW w:type="dxa" w:w="1954"/>
            <w:vAlign w:val="center"/>
          </w:tcPr>
          <w:p>
            <w:pPr>
              <w:spacing w:after="0" w:line="240" w:lineRule="auto"/>
              <w:jc w:val="center"/>
            </w:pPr>
            <w:r/>
            <w:r>
              <w:rPr>
                <w:rFonts w:ascii="Calibri" w:hAnsi="Calibri"/>
                <w:b w:val="0"/>
                <w:i w:val="0"/>
                <w:color w:val="000000"/>
                <w:sz w:val="11"/>
              </w:rPr>
              <w:t>0.0008</w:t>
            </w:r>
          </w:p>
        </w:tc>
        <w:tc>
          <w:tcPr>
            <w:tcW w:type="dxa" w:w="1535"/>
            <w:vAlign w:val="center"/>
          </w:tcPr>
          <w:p>
            <w:pPr>
              <w:spacing w:after="0" w:line="240" w:lineRule="auto"/>
              <w:jc w:val="center"/>
            </w:pPr>
            <w:r/>
            <w:r>
              <w:rPr>
                <w:rFonts w:ascii="Calibri" w:hAnsi="Calibri"/>
                <w:b w:val="0"/>
                <w:i w:val="0"/>
                <w:color w:val="000000"/>
                <w:sz w:val="11"/>
              </w:rPr>
              <w:t>-0.0290</w:t>
            </w:r>
          </w:p>
        </w:tc>
        <w:tc>
          <w:tcPr>
            <w:tcW w:type="dxa" w:w="2654"/>
            <w:vAlign w:val="center"/>
          </w:tcPr>
          <w:p>
            <w:pPr>
              <w:spacing w:after="0" w:line="240" w:lineRule="auto"/>
              <w:jc w:val="center"/>
            </w:pPr>
            <w:r/>
            <w:r>
              <w:rPr>
                <w:rFonts w:ascii="Calibri" w:hAnsi="Calibri"/>
                <w:b w:val="0"/>
                <w:i w:val="0"/>
                <w:color w:val="000000"/>
                <w:sz w:val="11"/>
              </w:rPr>
              <w:t>0.5324</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0.0812</w:t>
            </w:r>
          </w:p>
        </w:tc>
        <w:tc>
          <w:tcPr>
            <w:tcW w:type="dxa" w:w="1954"/>
            <w:vAlign w:val="center"/>
          </w:tcPr>
          <w:p>
            <w:pPr>
              <w:spacing w:after="0" w:line="240" w:lineRule="auto"/>
              <w:jc w:val="center"/>
            </w:pPr>
            <w:r/>
            <w:r>
              <w:rPr>
                <w:rFonts w:ascii="Calibri" w:hAnsi="Calibri"/>
                <w:b w:val="0"/>
                <w:i w:val="0"/>
                <w:color w:val="000000"/>
                <w:sz w:val="11"/>
              </w:rPr>
              <w:t>12.3103</w:t>
            </w:r>
          </w:p>
        </w:tc>
        <w:tc>
          <w:tcPr>
            <w:tcW w:type="dxa" w:w="1954"/>
            <w:vAlign w:val="center"/>
          </w:tcPr>
          <w:p>
            <w:pPr>
              <w:spacing w:after="0" w:line="240" w:lineRule="auto"/>
              <w:jc w:val="center"/>
            </w:pPr>
            <w:r/>
            <w:r>
              <w:rPr>
                <w:rFonts w:ascii="Calibri" w:hAnsi="Calibri"/>
                <w:b w:val="0"/>
                <w:i w:val="0"/>
                <w:color w:val="000000"/>
                <w:sz w:val="11"/>
              </w:rPr>
              <w:t>0.0015</w:t>
            </w:r>
          </w:p>
        </w:tc>
        <w:tc>
          <w:tcPr>
            <w:tcW w:type="dxa" w:w="1535"/>
            <w:vAlign w:val="center"/>
          </w:tcPr>
          <w:p>
            <w:pPr>
              <w:spacing w:after="0" w:line="240" w:lineRule="auto"/>
              <w:jc w:val="center"/>
            </w:pPr>
            <w:r/>
            <w:r>
              <w:rPr>
                <w:rFonts w:ascii="Calibri" w:hAnsi="Calibri"/>
                <w:b w:val="0"/>
                <w:i w:val="0"/>
                <w:color w:val="000000"/>
                <w:sz w:val="11"/>
              </w:rPr>
              <w:t>0.0683</w:t>
            </w:r>
          </w:p>
        </w:tc>
        <w:tc>
          <w:tcPr>
            <w:tcW w:type="dxa" w:w="2654"/>
            <w:vAlign w:val="center"/>
          </w:tcPr>
          <w:p>
            <w:pPr>
              <w:spacing w:after="0" w:line="240" w:lineRule="auto"/>
              <w:jc w:val="center"/>
            </w:pPr>
            <w:r/>
            <w:r>
              <w:rPr>
                <w:rFonts w:ascii="Calibri" w:hAnsi="Calibri"/>
                <w:b w:val="0"/>
                <w:i w:val="0"/>
                <w:color w:val="000000"/>
                <w:sz w:val="11"/>
              </w:rPr>
              <w:t>0.3999</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0.0322</w:t>
            </w:r>
          </w:p>
        </w:tc>
        <w:tc>
          <w:tcPr>
            <w:tcW w:type="dxa" w:w="1954"/>
            <w:vAlign w:val="center"/>
          </w:tcPr>
          <w:p>
            <w:pPr>
              <w:spacing w:after="0" w:line="240" w:lineRule="auto"/>
              <w:jc w:val="center"/>
            </w:pPr>
            <w:r/>
            <w:r>
              <w:rPr>
                <w:rFonts w:ascii="Calibri" w:hAnsi="Calibri"/>
                <w:b w:val="0"/>
                <w:i w:val="0"/>
                <w:color w:val="000000"/>
                <w:sz w:val="11"/>
              </w:rPr>
              <w:t>31.0435</w:t>
            </w:r>
          </w:p>
        </w:tc>
        <w:tc>
          <w:tcPr>
            <w:tcW w:type="dxa" w:w="1954"/>
            <w:vAlign w:val="center"/>
          </w:tcPr>
          <w:p>
            <w:pPr>
              <w:spacing w:after="0" w:line="240" w:lineRule="auto"/>
              <w:jc w:val="center"/>
            </w:pPr>
            <w:r/>
            <w:r>
              <w:rPr>
                <w:rFonts w:ascii="Calibri" w:hAnsi="Calibri"/>
                <w:b w:val="0"/>
                <w:i w:val="0"/>
                <w:color w:val="000000"/>
                <w:sz w:val="11"/>
              </w:rPr>
              <w:t>0.0068</w:t>
            </w:r>
          </w:p>
        </w:tc>
        <w:tc>
          <w:tcPr>
            <w:tcW w:type="dxa" w:w="1535"/>
            <w:vAlign w:val="center"/>
          </w:tcPr>
          <w:p>
            <w:pPr>
              <w:spacing w:after="0" w:line="240" w:lineRule="auto"/>
              <w:jc w:val="center"/>
            </w:pPr>
            <w:r/>
            <w:r>
              <w:rPr>
                <w:rFonts w:ascii="Calibri" w:hAnsi="Calibri"/>
                <w:b w:val="0"/>
                <w:i w:val="0"/>
                <w:color w:val="000000"/>
                <w:sz w:val="11"/>
              </w:rPr>
              <w:t>0.1861</w:t>
            </w:r>
          </w:p>
        </w:tc>
        <w:tc>
          <w:tcPr>
            <w:tcW w:type="dxa" w:w="2654"/>
            <w:vAlign w:val="center"/>
          </w:tcPr>
          <w:p>
            <w:pPr>
              <w:spacing w:after="0" w:line="240" w:lineRule="auto"/>
              <w:jc w:val="center"/>
            </w:pPr>
            <w:r/>
            <w:r>
              <w:rPr>
                <w:rFonts w:ascii="Calibri" w:hAnsi="Calibri"/>
                <w:b w:val="0"/>
                <w:i w:val="0"/>
                <w:color w:val="000000"/>
                <w:sz w:val="11"/>
              </w:rPr>
              <w:t>0.2353</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0.0098</w:t>
            </w:r>
          </w:p>
        </w:tc>
        <w:tc>
          <w:tcPr>
            <w:tcW w:type="dxa" w:w="1954"/>
            <w:vAlign w:val="center"/>
          </w:tcPr>
          <w:p>
            <w:pPr>
              <w:spacing w:after="0" w:line="240" w:lineRule="auto"/>
              <w:jc w:val="center"/>
            </w:pPr>
            <w:r/>
            <w:r>
              <w:rPr>
                <w:rFonts w:ascii="Calibri" w:hAnsi="Calibri"/>
                <w:b w:val="0"/>
                <w:i w:val="0"/>
                <w:color w:val="000000"/>
                <w:sz w:val="11"/>
              </w:rPr>
              <w:t>102.0000</w:t>
            </w:r>
          </w:p>
        </w:tc>
        <w:tc>
          <w:tcPr>
            <w:tcW w:type="dxa" w:w="1954"/>
            <w:vAlign w:val="center"/>
          </w:tcPr>
          <w:p>
            <w:pPr>
              <w:spacing w:after="0" w:line="240" w:lineRule="auto"/>
              <w:jc w:val="center"/>
            </w:pPr>
            <w:r/>
            <w:r>
              <w:rPr>
                <w:rFonts w:ascii="Calibri" w:hAnsi="Calibri"/>
                <w:b w:val="0"/>
                <w:i w:val="0"/>
                <w:color w:val="000000"/>
                <w:sz w:val="11"/>
              </w:rPr>
              <w:t>0.0542</w:t>
            </w:r>
          </w:p>
        </w:tc>
        <w:tc>
          <w:tcPr>
            <w:tcW w:type="dxa" w:w="1535"/>
            <w:vAlign w:val="center"/>
          </w:tcPr>
          <w:p>
            <w:pPr>
              <w:spacing w:after="0" w:line="240" w:lineRule="auto"/>
              <w:jc w:val="center"/>
            </w:pPr>
            <w:r/>
            <w:r>
              <w:rPr>
                <w:rFonts w:ascii="Calibri" w:hAnsi="Calibri"/>
                <w:b w:val="0"/>
                <w:i w:val="0"/>
                <w:color w:val="000000"/>
                <w:sz w:val="11"/>
              </w:rPr>
              <w:t>0.4401</w:t>
            </w:r>
          </w:p>
        </w:tc>
        <w:tc>
          <w:tcPr>
            <w:tcW w:type="dxa" w:w="2654"/>
            <w:vAlign w:val="center"/>
          </w:tcPr>
          <w:p>
            <w:pPr>
              <w:spacing w:after="0" w:line="240" w:lineRule="auto"/>
              <w:jc w:val="center"/>
            </w:pPr>
            <w:r/>
            <w:r>
              <w:rPr>
                <w:rFonts w:ascii="Calibri" w:hAnsi="Calibri"/>
                <w:b w:val="0"/>
                <w:i w:val="0"/>
                <w:color w:val="000000"/>
                <w:sz w:val="11"/>
              </w:rPr>
              <w:t>0.0716</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0.0042</w:t>
            </w:r>
          </w:p>
        </w:tc>
        <w:tc>
          <w:tcPr>
            <w:tcW w:type="dxa" w:w="1954"/>
            <w:vAlign w:val="center"/>
          </w:tcPr>
          <w:p>
            <w:pPr>
              <w:spacing w:after="0" w:line="240" w:lineRule="auto"/>
              <w:jc w:val="center"/>
            </w:pPr>
            <w:r/>
            <w:r>
              <w:rPr>
                <w:rFonts w:ascii="Calibri" w:hAnsi="Calibri"/>
                <w:b w:val="0"/>
                <w:i w:val="0"/>
                <w:color w:val="000000"/>
                <w:sz w:val="11"/>
              </w:rPr>
              <w:t>238.0000</w:t>
            </w:r>
          </w:p>
        </w:tc>
        <w:tc>
          <w:tcPr>
            <w:tcW w:type="dxa" w:w="1954"/>
            <w:vAlign w:val="center"/>
          </w:tcPr>
          <w:p>
            <w:pPr>
              <w:spacing w:after="0" w:line="240" w:lineRule="auto"/>
              <w:jc w:val="center"/>
            </w:pPr>
            <w:r/>
            <w:r>
              <w:rPr>
                <w:rFonts w:ascii="Calibri" w:hAnsi="Calibri"/>
                <w:b w:val="0"/>
                <w:i w:val="0"/>
                <w:color w:val="000000"/>
                <w:sz w:val="11"/>
              </w:rPr>
              <w:t>0.0617</w:t>
            </w:r>
          </w:p>
        </w:tc>
        <w:tc>
          <w:tcPr>
            <w:tcW w:type="dxa" w:w="1535"/>
            <w:vAlign w:val="center"/>
          </w:tcPr>
          <w:p>
            <w:pPr>
              <w:spacing w:after="0" w:line="240" w:lineRule="auto"/>
              <w:jc w:val="center"/>
            </w:pPr>
            <w:r/>
            <w:r>
              <w:rPr>
                <w:rFonts w:ascii="Calibri" w:hAnsi="Calibri"/>
                <w:b w:val="0"/>
                <w:i w:val="0"/>
                <w:color w:val="000000"/>
                <w:sz w:val="11"/>
              </w:rPr>
              <w:t>0.6934</w:t>
            </w:r>
          </w:p>
        </w:tc>
        <w:tc>
          <w:tcPr>
            <w:tcW w:type="dxa" w:w="2654"/>
            <w:vAlign w:val="center"/>
          </w:tcPr>
          <w:p>
            <w:pPr>
              <w:spacing w:after="0" w:line="240" w:lineRule="auto"/>
              <w:jc w:val="center"/>
            </w:pPr>
            <w:r/>
            <w:r>
              <w:rPr>
                <w:rFonts w:ascii="Calibri" w:hAnsi="Calibri"/>
                <w:b w:val="0"/>
                <w:i w:val="0"/>
                <w:color w:val="000000"/>
                <w:sz w:val="11"/>
              </w:rPr>
              <w:t>0.0342</w:t>
            </w:r>
          </w:p>
        </w:tc>
      </w:tr>
      <w:tr>
        <w:tc>
          <w:tcPr>
            <w:tcW w:type="dxa" w:w="2373"/>
            <w:vAlign w:val="center"/>
          </w:tcPr>
          <w:p>
            <w:pPr>
              <w:spacing w:after="0" w:line="240" w:lineRule="auto"/>
              <w:jc w:val="left"/>
            </w:pPr>
            <w:r/>
            <w:r>
              <w:rPr>
                <w:rFonts w:ascii="Calibri" w:hAnsi="Calibri"/>
                <w:b w:val="0"/>
                <w:i w:val="0"/>
                <w:color w:val="000000"/>
                <w:sz w:val="11"/>
              </w:rPr>
              <w:t>lithium_hydroxide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0.0000</w:t>
            </w:r>
          </w:p>
        </w:tc>
        <w:tc>
          <w:tcPr>
            <w:tcW w:type="dxa" w:w="1954"/>
            <w:vAlign w:val="center"/>
          </w:tcPr>
          <w:p>
            <w:pPr>
              <w:spacing w:after="0" w:line="240" w:lineRule="auto"/>
              <w:jc w:val="center"/>
            </w:pPr>
            <w:r/>
            <w:r>
              <w:rPr>
                <w:rFonts w:ascii="Calibri" w:hAnsi="Calibri"/>
                <w:b w:val="0"/>
                <w:i w:val="0"/>
                <w:color w:val="000000"/>
                <w:sz w:val="11"/>
              </w:rPr>
            </w:r>
          </w:p>
        </w:tc>
        <w:tc>
          <w:tcPr>
            <w:tcW w:type="dxa" w:w="1954"/>
            <w:vAlign w:val="center"/>
          </w:tcPr>
          <w:p>
            <w:pPr>
              <w:spacing w:after="0" w:line="240" w:lineRule="auto"/>
              <w:jc w:val="center"/>
            </w:pPr>
            <w:r/>
            <w:r>
              <w:rPr>
                <w:rFonts w:ascii="Calibri" w:hAnsi="Calibri"/>
                <w:b w:val="0"/>
                <w:i w:val="0"/>
                <w:color w:val="000000"/>
                <w:sz w:val="11"/>
              </w:rPr>
              <w:t>0.6059</w:t>
            </w:r>
          </w:p>
        </w:tc>
        <w:tc>
          <w:tcPr>
            <w:tcW w:type="dxa" w:w="1535"/>
            <w:vAlign w:val="center"/>
          </w:tcPr>
          <w:p>
            <w:pPr>
              <w:spacing w:after="0" w:line="240" w:lineRule="auto"/>
              <w:jc w:val="center"/>
            </w:pPr>
            <w:r/>
            <w:r>
              <w:rPr>
                <w:rFonts w:ascii="Calibri" w:hAnsi="Calibri"/>
                <w:b w:val="0"/>
                <w:i w:val="0"/>
                <w:color w:val="000000"/>
                <w:sz w:val="11"/>
              </w:rPr>
              <w:t>0.9098</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0.0072</w:t>
            </w:r>
          </w:p>
        </w:tc>
        <w:tc>
          <w:tcPr>
            <w:tcW w:type="dxa" w:w="1954"/>
            <w:vAlign w:val="center"/>
          </w:tcPr>
          <w:p>
            <w:pPr>
              <w:spacing w:after="0" w:line="240" w:lineRule="auto"/>
              <w:jc w:val="center"/>
            </w:pPr>
            <w:r/>
            <w:r>
              <w:rPr>
                <w:rFonts w:ascii="Calibri" w:hAnsi="Calibri"/>
                <w:b w:val="0"/>
                <w:i w:val="0"/>
                <w:color w:val="000000"/>
                <w:sz w:val="11"/>
              </w:rPr>
              <w:t>138.0000</w:t>
            </w:r>
          </w:p>
        </w:tc>
        <w:tc>
          <w:tcPr>
            <w:tcW w:type="dxa" w:w="1954"/>
            <w:vAlign w:val="center"/>
          </w:tcPr>
          <w:p>
            <w:pPr>
              <w:spacing w:after="0" w:line="240" w:lineRule="auto"/>
              <w:jc w:val="center"/>
            </w:pPr>
            <w:r/>
            <w:r>
              <w:rPr>
                <w:rFonts w:ascii="Calibri" w:hAnsi="Calibri"/>
                <w:b w:val="0"/>
                <w:i w:val="0"/>
                <w:color w:val="000000"/>
                <w:sz w:val="11"/>
              </w:rPr>
              <w:t>0.2786</w:t>
            </w:r>
          </w:p>
        </w:tc>
        <w:tc>
          <w:tcPr>
            <w:tcW w:type="dxa" w:w="1535"/>
            <w:vAlign w:val="center"/>
          </w:tcPr>
          <w:p>
            <w:pPr>
              <w:spacing w:after="0" w:line="240" w:lineRule="auto"/>
              <w:jc w:val="center"/>
            </w:pPr>
            <w:r/>
            <w:r>
              <w:rPr>
                <w:rFonts w:ascii="Calibri" w:hAnsi="Calibri"/>
                <w:b w:val="0"/>
                <w:i w:val="0"/>
                <w:color w:val="000000"/>
                <w:sz w:val="11"/>
              </w:rPr>
              <w:t>0.8026</w:t>
            </w:r>
          </w:p>
        </w:tc>
        <w:tc>
          <w:tcPr>
            <w:tcW w:type="dxa" w:w="2654"/>
            <w:vAlign w:val="center"/>
          </w:tcPr>
          <w:p>
            <w:pPr>
              <w:spacing w:after="0" w:line="240" w:lineRule="auto"/>
              <w:jc w:val="center"/>
            </w:pPr>
            <w:r/>
            <w:r>
              <w:rPr>
                <w:rFonts w:ascii="Calibri" w:hAnsi="Calibri"/>
                <w:b w:val="0"/>
                <w:i w:val="0"/>
                <w:color w:val="000000"/>
                <w:sz w:val="11"/>
              </w:rPr>
              <w:t>0.0071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0.3836</w:t>
            </w:r>
          </w:p>
        </w:tc>
        <w:tc>
          <w:tcPr>
            <w:tcW w:type="dxa" w:w="1535"/>
            <w:vAlign w:val="center"/>
          </w:tcPr>
          <w:p>
            <w:pPr>
              <w:spacing w:after="0" w:line="240" w:lineRule="auto"/>
              <w:jc w:val="center"/>
            </w:pPr>
            <w:r/>
            <w:r>
              <w:rPr>
                <w:rFonts w:ascii="Calibri" w:hAnsi="Calibri"/>
                <w:b w:val="0"/>
                <w:i w:val="0"/>
                <w:color w:val="000000"/>
                <w:sz w:val="11"/>
              </w:rPr>
              <w:t>0.8602</w:t>
            </w:r>
          </w:p>
        </w:tc>
        <w:tc>
          <w:tcPr>
            <w:tcW w:type="dxa" w:w="2654"/>
            <w:vAlign w:val="center"/>
          </w:tcPr>
          <w:p>
            <w:pPr>
              <w:spacing w:after="0" w:line="240" w:lineRule="auto"/>
              <w:jc w:val="center"/>
            </w:pPr>
            <w:r/>
            <w:r>
              <w:rPr>
                <w:rFonts w:ascii="Calibri" w:hAnsi="Calibri"/>
                <w:b w:val="0"/>
                <w:i w:val="0"/>
                <w:color w:val="000000"/>
                <w:sz w:val="11"/>
              </w:rPr>
              <w:t>0.0265</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0.0101</w:t>
            </w:r>
          </w:p>
        </w:tc>
        <w:tc>
          <w:tcPr>
            <w:tcW w:type="dxa" w:w="1954"/>
            <w:vAlign w:val="center"/>
          </w:tcPr>
          <w:p>
            <w:pPr>
              <w:spacing w:after="0" w:line="240" w:lineRule="auto"/>
              <w:jc w:val="center"/>
            </w:pPr>
            <w:r/>
            <w:r>
              <w:rPr>
                <w:rFonts w:ascii="Calibri" w:hAnsi="Calibri"/>
                <w:b w:val="0"/>
                <w:i w:val="0"/>
                <w:color w:val="000000"/>
                <w:sz w:val="11"/>
              </w:rPr>
              <w:t>98.5714</w:t>
            </w:r>
          </w:p>
        </w:tc>
        <w:tc>
          <w:tcPr>
            <w:tcW w:type="dxa" w:w="1954"/>
            <w:vAlign w:val="center"/>
          </w:tcPr>
          <w:p>
            <w:pPr>
              <w:spacing w:after="0" w:line="240" w:lineRule="auto"/>
              <w:jc w:val="center"/>
            </w:pPr>
            <w:r/>
            <w:r>
              <w:rPr>
                <w:rFonts w:ascii="Calibri" w:hAnsi="Calibri"/>
                <w:b w:val="0"/>
                <w:i w:val="0"/>
                <w:color w:val="000000"/>
                <w:sz w:val="11"/>
              </w:rPr>
              <w:t>0.0213</w:t>
            </w:r>
          </w:p>
        </w:tc>
        <w:tc>
          <w:tcPr>
            <w:tcW w:type="dxa" w:w="1535"/>
            <w:vAlign w:val="center"/>
          </w:tcPr>
          <w:p>
            <w:pPr>
              <w:spacing w:after="0" w:line="240" w:lineRule="auto"/>
              <w:jc w:val="center"/>
            </w:pPr>
            <w:r/>
            <w:r>
              <w:rPr>
                <w:rFonts w:ascii="Calibri" w:hAnsi="Calibri"/>
                <w:b w:val="0"/>
                <w:i w:val="0"/>
                <w:color w:val="000000"/>
                <w:sz w:val="11"/>
              </w:rPr>
              <w:t>0.2181</w:t>
            </w:r>
          </w:p>
        </w:tc>
        <w:tc>
          <w:tcPr>
            <w:tcW w:type="dxa" w:w="2654"/>
            <w:vAlign w:val="center"/>
          </w:tcPr>
          <w:p>
            <w:pPr>
              <w:spacing w:after="0" w:line="240" w:lineRule="auto"/>
              <w:jc w:val="center"/>
            </w:pPr>
            <w:r/>
            <w:r>
              <w:rPr>
                <w:rFonts w:ascii="Calibri" w:hAnsi="Calibri"/>
                <w:b w:val="0"/>
                <w:i w:val="0"/>
                <w:color w:val="000000"/>
                <w:sz w:val="11"/>
              </w:rPr>
              <w:t>0.2060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0.0304</w:t>
            </w:r>
          </w:p>
        </w:tc>
        <w:tc>
          <w:tcPr>
            <w:tcW w:type="dxa" w:w="1954"/>
            <w:vAlign w:val="center"/>
          </w:tcPr>
          <w:p>
            <w:pPr>
              <w:spacing w:after="0" w:line="240" w:lineRule="auto"/>
              <w:jc w:val="center"/>
            </w:pPr>
            <w:r/>
            <w:r>
              <w:rPr>
                <w:rFonts w:ascii="Calibri" w:hAnsi="Calibri"/>
                <w:b w:val="0"/>
                <w:i w:val="0"/>
                <w:color w:val="000000"/>
                <w:sz w:val="11"/>
              </w:rPr>
              <w:t>32.8571</w:t>
            </w:r>
          </w:p>
        </w:tc>
        <w:tc>
          <w:tcPr>
            <w:tcW w:type="dxa" w:w="1954"/>
            <w:vAlign w:val="center"/>
          </w:tcPr>
          <w:p>
            <w:pPr>
              <w:spacing w:after="0" w:line="240" w:lineRule="auto"/>
              <w:jc w:val="center"/>
            </w:pPr>
            <w:r/>
            <w:r>
              <w:rPr>
                <w:rFonts w:ascii="Calibri" w:hAnsi="Calibri"/>
                <w:b w:val="0"/>
                <w:i w:val="0"/>
                <w:color w:val="000000"/>
                <w:sz w:val="11"/>
              </w:rPr>
              <w:t>0.0040</w:t>
            </w:r>
          </w:p>
        </w:tc>
        <w:tc>
          <w:tcPr>
            <w:tcW w:type="dxa" w:w="1535"/>
            <w:vAlign w:val="center"/>
          </w:tcPr>
          <w:p>
            <w:pPr>
              <w:spacing w:after="0" w:line="240" w:lineRule="auto"/>
              <w:jc w:val="center"/>
            </w:pPr>
            <w:r/>
            <w:r>
              <w:rPr>
                <w:rFonts w:ascii="Calibri" w:hAnsi="Calibri"/>
                <w:b w:val="0"/>
                <w:i w:val="0"/>
                <w:color w:val="000000"/>
                <w:sz w:val="11"/>
              </w:rPr>
              <w:t>0.0977</w:t>
            </w:r>
          </w:p>
        </w:tc>
        <w:tc>
          <w:tcPr>
            <w:tcW w:type="dxa" w:w="2654"/>
            <w:vAlign w:val="center"/>
          </w:tcPr>
          <w:p>
            <w:pPr>
              <w:spacing w:after="0" w:line="240" w:lineRule="auto"/>
              <w:jc w:val="center"/>
            </w:pPr>
            <w:r/>
            <w:r>
              <w:rPr>
                <w:rFonts w:ascii="Calibri" w:hAnsi="Calibri"/>
                <w:b w:val="0"/>
                <w:i w:val="0"/>
                <w:color w:val="000000"/>
                <w:sz w:val="11"/>
              </w:rPr>
              <w:t>0.3076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0.0580</w:t>
            </w:r>
          </w:p>
        </w:tc>
        <w:tc>
          <w:tcPr>
            <w:tcW w:type="dxa" w:w="1954"/>
            <w:vAlign w:val="center"/>
          </w:tcPr>
          <w:p>
            <w:pPr>
              <w:spacing w:after="0" w:line="240" w:lineRule="auto"/>
              <w:jc w:val="center"/>
            </w:pPr>
            <w:r/>
            <w:r>
              <w:rPr>
                <w:rFonts w:ascii="Calibri" w:hAnsi="Calibri"/>
                <w:b w:val="0"/>
                <w:i w:val="0"/>
                <w:color w:val="000000"/>
                <w:sz w:val="11"/>
              </w:rPr>
              <w:t>17.2500</w:t>
            </w:r>
          </w:p>
        </w:tc>
        <w:tc>
          <w:tcPr>
            <w:tcW w:type="dxa" w:w="1954"/>
            <w:vAlign w:val="center"/>
          </w:tcPr>
          <w:p>
            <w:pPr>
              <w:spacing w:after="0" w:line="240" w:lineRule="auto"/>
              <w:jc w:val="center"/>
            </w:pPr>
            <w:r/>
            <w:r>
              <w:rPr>
                <w:rFonts w:ascii="Calibri" w:hAnsi="Calibri"/>
                <w:b w:val="0"/>
                <w:i w:val="0"/>
                <w:color w:val="000000"/>
                <w:sz w:val="11"/>
              </w:rPr>
              <w:t>0.0018</w:t>
            </w:r>
          </w:p>
        </w:tc>
        <w:tc>
          <w:tcPr>
            <w:tcW w:type="dxa" w:w="1535"/>
            <w:vAlign w:val="center"/>
          </w:tcPr>
          <w:p>
            <w:pPr>
              <w:spacing w:after="0" w:line="240" w:lineRule="auto"/>
              <w:jc w:val="center"/>
            </w:pPr>
            <w:r/>
            <w:r>
              <w:rPr>
                <w:rFonts w:ascii="Calibri" w:hAnsi="Calibri"/>
                <w:b w:val="0"/>
                <w:i w:val="0"/>
                <w:color w:val="000000"/>
                <w:sz w:val="11"/>
              </w:rPr>
              <w:t>0.0619</w:t>
            </w:r>
          </w:p>
        </w:tc>
        <w:tc>
          <w:tcPr>
            <w:tcW w:type="dxa" w:w="2654"/>
            <w:vAlign w:val="center"/>
          </w:tcPr>
          <w:p>
            <w:pPr>
              <w:spacing w:after="0" w:line="240" w:lineRule="auto"/>
              <w:jc w:val="center"/>
            </w:pPr>
            <w:r/>
            <w:r>
              <w:rPr>
                <w:rFonts w:ascii="Calibri" w:hAnsi="Calibri"/>
                <w:b w:val="0"/>
                <w:i w:val="0"/>
                <w:color w:val="000000"/>
                <w:sz w:val="11"/>
              </w:rPr>
              <w:t>0.2997</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0.3058</w:t>
            </w:r>
          </w:p>
        </w:tc>
        <w:tc>
          <w:tcPr>
            <w:tcW w:type="dxa" w:w="1954"/>
            <w:vAlign w:val="center"/>
          </w:tcPr>
          <w:p>
            <w:pPr>
              <w:spacing w:after="0" w:line="240" w:lineRule="auto"/>
              <w:jc w:val="center"/>
            </w:pPr>
            <w:r/>
            <w:r>
              <w:rPr>
                <w:rFonts w:ascii="Calibri" w:hAnsi="Calibri"/>
                <w:b w:val="0"/>
                <w:i w:val="0"/>
                <w:color w:val="000000"/>
                <w:sz w:val="11"/>
              </w:rPr>
              <w:t>3.2701</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0.0086</w:t>
            </w:r>
          </w:p>
        </w:tc>
        <w:tc>
          <w:tcPr>
            <w:tcW w:type="dxa" w:w="2654"/>
            <w:vAlign w:val="center"/>
          </w:tcPr>
          <w:p>
            <w:pPr>
              <w:spacing w:after="0" w:line="240" w:lineRule="auto"/>
              <w:jc w:val="center"/>
            </w:pPr>
            <w:r/>
            <w:r>
              <w:rPr>
                <w:rFonts w:ascii="Calibri" w:hAnsi="Calibri"/>
                <w:b w:val="0"/>
                <w:i w:val="0"/>
                <w:color w:val="000000"/>
                <w:sz w:val="11"/>
              </w:rPr>
              <w:t>0.2383</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0.3522</w:t>
            </w:r>
          </w:p>
        </w:tc>
        <w:tc>
          <w:tcPr>
            <w:tcW w:type="dxa" w:w="1954"/>
            <w:vAlign w:val="center"/>
          </w:tcPr>
          <w:p>
            <w:pPr>
              <w:spacing w:after="0" w:line="240" w:lineRule="auto"/>
              <w:jc w:val="center"/>
            </w:pPr>
            <w:r/>
            <w:r>
              <w:rPr>
                <w:rFonts w:ascii="Calibri" w:hAnsi="Calibri"/>
                <w:b w:val="0"/>
                <w:i w:val="0"/>
                <w:color w:val="000000"/>
                <w:sz w:val="11"/>
              </w:rPr>
              <w:t>2.8395</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0.0074</w:t>
            </w:r>
          </w:p>
        </w:tc>
        <w:tc>
          <w:tcPr>
            <w:tcW w:type="dxa" w:w="2654"/>
            <w:vAlign w:val="center"/>
          </w:tcPr>
          <w:p>
            <w:pPr>
              <w:spacing w:after="0" w:line="240" w:lineRule="auto"/>
              <w:jc w:val="center"/>
            </w:pPr>
            <w:r/>
            <w:r>
              <w:rPr>
                <w:rFonts w:ascii="Calibri" w:hAnsi="Calibri"/>
                <w:b w:val="0"/>
                <w:i w:val="0"/>
                <w:color w:val="000000"/>
                <w:sz w:val="11"/>
              </w:rPr>
              <w:t>0.3242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VMD</w:t>
            </w:r>
          </w:p>
        </w:tc>
        <w:tc>
          <w:tcPr>
            <w:tcW w:type="dxa" w:w="977"/>
            <w:vAlign w:val="center"/>
          </w:tcPr>
          <w:p>
            <w:pPr>
              <w:spacing w:after="0" w:line="240" w:lineRule="auto"/>
              <w:jc w:val="center"/>
            </w:pPr>
            <w:r/>
            <w:r>
              <w:rPr>
                <w:rFonts w:ascii="Calibri" w:hAnsi="Calibri"/>
                <w:b w:val="0"/>
                <w:i w:val="0"/>
                <w:color w:val="000000"/>
                <w:sz w:val="11"/>
              </w:rPr>
              <w:t>8.0000</w:t>
            </w:r>
          </w:p>
        </w:tc>
        <w:tc>
          <w:tcPr>
            <w:tcW w:type="dxa" w:w="1256"/>
            <w:vAlign w:val="center"/>
          </w:tcPr>
          <w:p>
            <w:pPr>
              <w:spacing w:after="0" w:line="240" w:lineRule="auto"/>
              <w:jc w:val="center"/>
            </w:pPr>
            <w:r/>
            <w:r>
              <w:rPr>
                <w:rFonts w:ascii="Calibri" w:hAnsi="Calibri"/>
                <w:b w:val="0"/>
                <w:i w:val="0"/>
                <w:color w:val="000000"/>
                <w:sz w:val="11"/>
              </w:rPr>
              <w:t>0.4029</w:t>
            </w:r>
          </w:p>
        </w:tc>
        <w:tc>
          <w:tcPr>
            <w:tcW w:type="dxa" w:w="1954"/>
            <w:vAlign w:val="center"/>
          </w:tcPr>
          <w:p>
            <w:pPr>
              <w:spacing w:after="0" w:line="240" w:lineRule="auto"/>
              <w:jc w:val="center"/>
            </w:pPr>
            <w:r/>
            <w:r>
              <w:rPr>
                <w:rFonts w:ascii="Calibri" w:hAnsi="Calibri"/>
                <w:b w:val="0"/>
                <w:i w:val="0"/>
                <w:color w:val="000000"/>
                <w:sz w:val="11"/>
              </w:rPr>
              <w:t>2.4820</w:t>
            </w:r>
          </w:p>
        </w:tc>
        <w:tc>
          <w:tcPr>
            <w:tcW w:type="dxa" w:w="1954"/>
            <w:vAlign w:val="center"/>
          </w:tcPr>
          <w:p>
            <w:pPr>
              <w:spacing w:after="0" w:line="240" w:lineRule="auto"/>
              <w:jc w:val="center"/>
            </w:pPr>
            <w:r/>
            <w:r>
              <w:rPr>
                <w:rFonts w:ascii="Calibri" w:hAnsi="Calibri"/>
                <w:b w:val="0"/>
                <w:i w:val="0"/>
                <w:color w:val="000000"/>
                <w:sz w:val="11"/>
              </w:rPr>
              <w:t>0.0000</w:t>
            </w:r>
          </w:p>
        </w:tc>
        <w:tc>
          <w:tcPr>
            <w:tcW w:type="dxa" w:w="1535"/>
            <w:vAlign w:val="center"/>
          </w:tcPr>
          <w:p>
            <w:pPr>
              <w:spacing w:after="0" w:line="240" w:lineRule="auto"/>
              <w:jc w:val="center"/>
            </w:pPr>
            <w:r/>
            <w:r>
              <w:rPr>
                <w:rFonts w:ascii="Calibri" w:hAnsi="Calibri"/>
                <w:b w:val="0"/>
                <w:i w:val="0"/>
                <w:color w:val="000000"/>
                <w:sz w:val="11"/>
              </w:rPr>
              <w:t>0.0068</w:t>
            </w:r>
          </w:p>
        </w:tc>
        <w:tc>
          <w:tcPr>
            <w:tcW w:type="dxa" w:w="2654"/>
            <w:vAlign w:val="center"/>
          </w:tcPr>
          <w:p>
            <w:pPr>
              <w:spacing w:after="0" w:line="240" w:lineRule="auto"/>
              <w:jc w:val="center"/>
            </w:pPr>
            <w:r/>
            <w:r>
              <w:rPr>
                <w:rFonts w:ascii="Calibri" w:hAnsi="Calibri"/>
                <w:b w:val="0"/>
                <w:i w:val="0"/>
                <w:color w:val="000000"/>
                <w:sz w:val="11"/>
              </w:rPr>
              <w:t>0.5062</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1.0000</w:t>
            </w:r>
          </w:p>
        </w:tc>
        <w:tc>
          <w:tcPr>
            <w:tcW w:type="dxa" w:w="1256"/>
            <w:vAlign w:val="center"/>
          </w:tcPr>
          <w:p>
            <w:pPr>
              <w:spacing w:after="0" w:line="240" w:lineRule="auto"/>
              <w:jc w:val="center"/>
            </w:pPr>
            <w:r/>
            <w:r>
              <w:rPr>
                <w:rFonts w:ascii="Calibri" w:hAnsi="Calibri"/>
                <w:b w:val="0"/>
                <w:i w:val="0"/>
                <w:color w:val="000000"/>
                <w:sz w:val="11"/>
              </w:rPr>
              <w:t>0.3275</w:t>
            </w:r>
          </w:p>
        </w:tc>
        <w:tc>
          <w:tcPr>
            <w:tcW w:type="dxa" w:w="1954"/>
            <w:vAlign w:val="center"/>
          </w:tcPr>
          <w:p>
            <w:pPr>
              <w:spacing w:after="0" w:line="240" w:lineRule="auto"/>
              <w:jc w:val="center"/>
            </w:pPr>
            <w:r/>
            <w:r>
              <w:rPr>
                <w:rFonts w:ascii="Calibri" w:hAnsi="Calibri"/>
                <w:b w:val="0"/>
                <w:i w:val="0"/>
                <w:color w:val="000000"/>
                <w:sz w:val="11"/>
              </w:rPr>
              <w:t>3.0531</w:t>
            </w:r>
          </w:p>
        </w:tc>
        <w:tc>
          <w:tcPr>
            <w:tcW w:type="dxa" w:w="1954"/>
            <w:vAlign w:val="center"/>
          </w:tcPr>
          <w:p>
            <w:pPr>
              <w:spacing w:after="0" w:line="240" w:lineRule="auto"/>
              <w:jc w:val="center"/>
            </w:pPr>
            <w:r/>
            <w:r>
              <w:rPr>
                <w:rFonts w:ascii="Calibri" w:hAnsi="Calibri"/>
                <w:b w:val="0"/>
                <w:i w:val="0"/>
                <w:color w:val="000000"/>
                <w:sz w:val="11"/>
              </w:rPr>
              <w:t>0.0002</w:t>
            </w:r>
          </w:p>
        </w:tc>
        <w:tc>
          <w:tcPr>
            <w:tcW w:type="dxa" w:w="1535"/>
            <w:vAlign w:val="center"/>
          </w:tcPr>
          <w:p>
            <w:pPr>
              <w:spacing w:after="0" w:line="240" w:lineRule="auto"/>
              <w:jc w:val="center"/>
            </w:pPr>
            <w:r/>
            <w:r>
              <w:rPr>
                <w:rFonts w:ascii="Calibri" w:hAnsi="Calibri"/>
                <w:b w:val="0"/>
                <w:i w:val="0"/>
                <w:color w:val="000000"/>
                <w:sz w:val="11"/>
              </w:rPr>
              <w:t>-0.0179</w:t>
            </w:r>
          </w:p>
        </w:tc>
        <w:tc>
          <w:tcPr>
            <w:tcW w:type="dxa" w:w="2654"/>
            <w:vAlign w:val="center"/>
          </w:tcPr>
          <w:p>
            <w:pPr>
              <w:spacing w:after="0" w:line="240" w:lineRule="auto"/>
              <w:jc w:val="center"/>
            </w:pPr>
            <w:r/>
            <w:r>
              <w:rPr>
                <w:rFonts w:ascii="Calibri" w:hAnsi="Calibri"/>
                <w:b w:val="0"/>
                <w:i w:val="0"/>
                <w:color w:val="000000"/>
                <w:sz w:val="11"/>
              </w:rPr>
              <w:t>0.8096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2.0000</w:t>
            </w:r>
          </w:p>
        </w:tc>
        <w:tc>
          <w:tcPr>
            <w:tcW w:type="dxa" w:w="1256"/>
            <w:vAlign w:val="center"/>
          </w:tcPr>
          <w:p>
            <w:pPr>
              <w:spacing w:after="0" w:line="240" w:lineRule="auto"/>
              <w:jc w:val="center"/>
            </w:pPr>
            <w:r/>
            <w:r>
              <w:rPr>
                <w:rFonts w:ascii="Calibri" w:hAnsi="Calibri"/>
                <w:b w:val="0"/>
                <w:i w:val="0"/>
                <w:color w:val="000000"/>
                <w:sz w:val="11"/>
              </w:rPr>
              <w:t>0.2580</w:t>
            </w:r>
          </w:p>
        </w:tc>
        <w:tc>
          <w:tcPr>
            <w:tcW w:type="dxa" w:w="1954"/>
            <w:vAlign w:val="center"/>
          </w:tcPr>
          <w:p>
            <w:pPr>
              <w:spacing w:after="0" w:line="240" w:lineRule="auto"/>
              <w:jc w:val="center"/>
            </w:pPr>
            <w:r/>
            <w:r>
              <w:rPr>
                <w:rFonts w:ascii="Calibri" w:hAnsi="Calibri"/>
                <w:b w:val="0"/>
                <w:i w:val="0"/>
                <w:color w:val="000000"/>
                <w:sz w:val="11"/>
              </w:rPr>
              <w:t>3.8764</w:t>
            </w:r>
          </w:p>
        </w:tc>
        <w:tc>
          <w:tcPr>
            <w:tcW w:type="dxa" w:w="1954"/>
            <w:vAlign w:val="center"/>
          </w:tcPr>
          <w:p>
            <w:pPr>
              <w:spacing w:after="0" w:line="240" w:lineRule="auto"/>
              <w:jc w:val="center"/>
            </w:pPr>
            <w:r/>
            <w:r>
              <w:rPr>
                <w:rFonts w:ascii="Calibri" w:hAnsi="Calibri"/>
                <w:b w:val="0"/>
                <w:i w:val="0"/>
                <w:color w:val="000000"/>
                <w:sz w:val="11"/>
              </w:rPr>
              <w:t>0.0011</w:t>
            </w:r>
          </w:p>
        </w:tc>
        <w:tc>
          <w:tcPr>
            <w:tcW w:type="dxa" w:w="1535"/>
            <w:vAlign w:val="center"/>
          </w:tcPr>
          <w:p>
            <w:pPr>
              <w:spacing w:after="0" w:line="240" w:lineRule="auto"/>
              <w:jc w:val="center"/>
            </w:pPr>
            <w:r/>
            <w:r>
              <w:rPr>
                <w:rFonts w:ascii="Calibri" w:hAnsi="Calibri"/>
                <w:b w:val="0"/>
                <w:i w:val="0"/>
                <w:color w:val="000000"/>
                <w:sz w:val="11"/>
              </w:rPr>
              <w:t>0.0308</w:t>
            </w:r>
          </w:p>
        </w:tc>
        <w:tc>
          <w:tcPr>
            <w:tcW w:type="dxa" w:w="2654"/>
            <w:vAlign w:val="center"/>
          </w:tcPr>
          <w:p>
            <w:pPr>
              <w:spacing w:after="0" w:line="240" w:lineRule="auto"/>
              <w:jc w:val="center"/>
            </w:pPr>
            <w:r/>
            <w:r>
              <w:rPr>
                <w:rFonts w:ascii="Calibri" w:hAnsi="Calibri"/>
                <w:b w:val="0"/>
                <w:i w:val="0"/>
                <w:color w:val="000000"/>
                <w:sz w:val="11"/>
              </w:rPr>
              <w:t>0.2441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3.0000</w:t>
            </w:r>
          </w:p>
        </w:tc>
        <w:tc>
          <w:tcPr>
            <w:tcW w:type="dxa" w:w="1256"/>
            <w:vAlign w:val="center"/>
          </w:tcPr>
          <w:p>
            <w:pPr>
              <w:spacing w:after="0" w:line="240" w:lineRule="auto"/>
              <w:jc w:val="center"/>
            </w:pPr>
            <w:r/>
            <w:r>
              <w:rPr>
                <w:rFonts w:ascii="Calibri" w:hAnsi="Calibri"/>
                <w:b w:val="0"/>
                <w:i w:val="0"/>
                <w:color w:val="000000"/>
                <w:sz w:val="11"/>
              </w:rPr>
              <w:t>0.0710</w:t>
            </w:r>
          </w:p>
        </w:tc>
        <w:tc>
          <w:tcPr>
            <w:tcW w:type="dxa" w:w="1954"/>
            <w:vAlign w:val="center"/>
          </w:tcPr>
          <w:p>
            <w:pPr>
              <w:spacing w:after="0" w:line="240" w:lineRule="auto"/>
              <w:jc w:val="center"/>
            </w:pPr>
            <w:r/>
            <w:r>
              <w:rPr>
                <w:rFonts w:ascii="Calibri" w:hAnsi="Calibri"/>
                <w:b w:val="0"/>
                <w:i w:val="0"/>
                <w:color w:val="000000"/>
                <w:sz w:val="11"/>
              </w:rPr>
              <w:t>14.0816</w:t>
            </w:r>
          </w:p>
        </w:tc>
        <w:tc>
          <w:tcPr>
            <w:tcW w:type="dxa" w:w="1954"/>
            <w:vAlign w:val="center"/>
          </w:tcPr>
          <w:p>
            <w:pPr>
              <w:spacing w:after="0" w:line="240" w:lineRule="auto"/>
              <w:jc w:val="center"/>
            </w:pPr>
            <w:r/>
            <w:r>
              <w:rPr>
                <w:rFonts w:ascii="Calibri" w:hAnsi="Calibri"/>
                <w:b w:val="0"/>
                <w:i w:val="0"/>
                <w:color w:val="000000"/>
                <w:sz w:val="11"/>
              </w:rPr>
              <w:t>0.0029</w:t>
            </w:r>
          </w:p>
        </w:tc>
        <w:tc>
          <w:tcPr>
            <w:tcW w:type="dxa" w:w="1535"/>
            <w:vAlign w:val="center"/>
          </w:tcPr>
          <w:p>
            <w:pPr>
              <w:spacing w:after="0" w:line="240" w:lineRule="auto"/>
              <w:jc w:val="center"/>
            </w:pPr>
            <w:r/>
            <w:r>
              <w:rPr>
                <w:rFonts w:ascii="Calibri" w:hAnsi="Calibri"/>
                <w:b w:val="0"/>
                <w:i w:val="0"/>
                <w:color w:val="000000"/>
                <w:sz w:val="11"/>
              </w:rPr>
              <w:t>0.2553</w:t>
            </w:r>
          </w:p>
        </w:tc>
        <w:tc>
          <w:tcPr>
            <w:tcW w:type="dxa" w:w="2654"/>
            <w:vAlign w:val="center"/>
          </w:tcPr>
          <w:p>
            <w:pPr>
              <w:spacing w:after="0" w:line="240" w:lineRule="auto"/>
              <w:jc w:val="center"/>
            </w:pPr>
            <w:r/>
            <w:r>
              <w:rPr>
                <w:rFonts w:ascii="Calibri" w:hAnsi="Calibri"/>
                <w:b w:val="0"/>
                <w:i w:val="0"/>
                <w:color w:val="000000"/>
                <w:sz w:val="11"/>
              </w:rPr>
              <w:t>0.3550</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4.0000</w:t>
            </w:r>
          </w:p>
        </w:tc>
        <w:tc>
          <w:tcPr>
            <w:tcW w:type="dxa" w:w="1256"/>
            <w:vAlign w:val="center"/>
          </w:tcPr>
          <w:p>
            <w:pPr>
              <w:spacing w:after="0" w:line="240" w:lineRule="auto"/>
              <w:jc w:val="center"/>
            </w:pPr>
            <w:r/>
            <w:r>
              <w:rPr>
                <w:rFonts w:ascii="Calibri" w:hAnsi="Calibri"/>
                <w:b w:val="0"/>
                <w:i w:val="0"/>
                <w:color w:val="000000"/>
                <w:sz w:val="11"/>
              </w:rPr>
              <w:t>0.0217</w:t>
            </w:r>
          </w:p>
        </w:tc>
        <w:tc>
          <w:tcPr>
            <w:tcW w:type="dxa" w:w="1954"/>
            <w:vAlign w:val="center"/>
          </w:tcPr>
          <w:p>
            <w:pPr>
              <w:spacing w:after="0" w:line="240" w:lineRule="auto"/>
              <w:jc w:val="center"/>
            </w:pPr>
            <w:r/>
            <w:r>
              <w:rPr>
                <w:rFonts w:ascii="Calibri" w:hAnsi="Calibri"/>
                <w:b w:val="0"/>
                <w:i w:val="0"/>
                <w:color w:val="000000"/>
                <w:sz w:val="11"/>
              </w:rPr>
              <w:t>46.0000</w:t>
            </w:r>
          </w:p>
        </w:tc>
        <w:tc>
          <w:tcPr>
            <w:tcW w:type="dxa" w:w="1954"/>
            <w:vAlign w:val="center"/>
          </w:tcPr>
          <w:p>
            <w:pPr>
              <w:spacing w:after="0" w:line="240" w:lineRule="auto"/>
              <w:jc w:val="center"/>
            </w:pPr>
            <w:r/>
            <w:r>
              <w:rPr>
                <w:rFonts w:ascii="Calibri" w:hAnsi="Calibri"/>
                <w:b w:val="0"/>
                <w:i w:val="0"/>
                <w:color w:val="000000"/>
                <w:sz w:val="11"/>
              </w:rPr>
              <w:t>0.0188</w:t>
            </w:r>
          </w:p>
        </w:tc>
        <w:tc>
          <w:tcPr>
            <w:tcW w:type="dxa" w:w="1535"/>
            <w:vAlign w:val="center"/>
          </w:tcPr>
          <w:p>
            <w:pPr>
              <w:spacing w:after="0" w:line="240" w:lineRule="auto"/>
              <w:jc w:val="center"/>
            </w:pPr>
            <w:r/>
            <w:r>
              <w:rPr>
                <w:rFonts w:ascii="Calibri" w:hAnsi="Calibri"/>
                <w:b w:val="0"/>
                <w:i w:val="0"/>
                <w:color w:val="000000"/>
                <w:sz w:val="11"/>
              </w:rPr>
              <w:t>0.3989</w:t>
            </w:r>
          </w:p>
        </w:tc>
        <w:tc>
          <w:tcPr>
            <w:tcW w:type="dxa" w:w="2654"/>
            <w:vAlign w:val="center"/>
          </w:tcPr>
          <w:p>
            <w:pPr>
              <w:spacing w:after="0" w:line="240" w:lineRule="auto"/>
              <w:jc w:val="center"/>
            </w:pPr>
            <w:r/>
            <w:r>
              <w:rPr>
                <w:rFonts w:ascii="Calibri" w:hAnsi="Calibri"/>
                <w:b w:val="0"/>
                <w:i w:val="0"/>
                <w:color w:val="000000"/>
                <w:sz w:val="11"/>
              </w:rPr>
              <w:t>0.2406</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5.0000</w:t>
            </w:r>
          </w:p>
        </w:tc>
        <w:tc>
          <w:tcPr>
            <w:tcW w:type="dxa" w:w="1256"/>
            <w:vAlign w:val="center"/>
          </w:tcPr>
          <w:p>
            <w:pPr>
              <w:spacing w:after="0" w:line="240" w:lineRule="auto"/>
              <w:jc w:val="center"/>
            </w:pPr>
            <w:r/>
            <w:r>
              <w:rPr>
                <w:rFonts w:ascii="Calibri" w:hAnsi="Calibri"/>
                <w:b w:val="0"/>
                <w:i w:val="0"/>
                <w:color w:val="000000"/>
                <w:sz w:val="11"/>
              </w:rPr>
              <w:t>0.0058</w:t>
            </w:r>
          </w:p>
        </w:tc>
        <w:tc>
          <w:tcPr>
            <w:tcW w:type="dxa" w:w="1954"/>
            <w:vAlign w:val="center"/>
          </w:tcPr>
          <w:p>
            <w:pPr>
              <w:spacing w:after="0" w:line="240" w:lineRule="auto"/>
              <w:jc w:val="center"/>
            </w:pPr>
            <w:r/>
            <w:r>
              <w:rPr>
                <w:rFonts w:ascii="Calibri" w:hAnsi="Calibri"/>
                <w:b w:val="0"/>
                <w:i w:val="0"/>
                <w:color w:val="000000"/>
                <w:sz w:val="11"/>
              </w:rPr>
              <w:t>172.5000</w:t>
            </w:r>
          </w:p>
        </w:tc>
        <w:tc>
          <w:tcPr>
            <w:tcW w:type="dxa" w:w="1954"/>
            <w:vAlign w:val="center"/>
          </w:tcPr>
          <w:p>
            <w:pPr>
              <w:spacing w:after="0" w:line="240" w:lineRule="auto"/>
              <w:jc w:val="center"/>
            </w:pPr>
            <w:r/>
            <w:r>
              <w:rPr>
                <w:rFonts w:ascii="Calibri" w:hAnsi="Calibri"/>
                <w:b w:val="0"/>
                <w:i w:val="0"/>
                <w:color w:val="000000"/>
                <w:sz w:val="11"/>
              </w:rPr>
              <w:t>0.1555</w:t>
            </w:r>
          </w:p>
        </w:tc>
        <w:tc>
          <w:tcPr>
            <w:tcW w:type="dxa" w:w="1535"/>
            <w:vAlign w:val="center"/>
          </w:tcPr>
          <w:p>
            <w:pPr>
              <w:spacing w:after="0" w:line="240" w:lineRule="auto"/>
              <w:jc w:val="center"/>
            </w:pPr>
            <w:r/>
            <w:r>
              <w:rPr>
                <w:rFonts w:ascii="Calibri" w:hAnsi="Calibri"/>
                <w:b w:val="0"/>
                <w:i w:val="0"/>
                <w:color w:val="000000"/>
                <w:sz w:val="11"/>
              </w:rPr>
              <w:t>0.7532</w:t>
            </w:r>
          </w:p>
        </w:tc>
        <w:tc>
          <w:tcPr>
            <w:tcW w:type="dxa" w:w="2654"/>
            <w:vAlign w:val="center"/>
          </w:tcPr>
          <w:p>
            <w:pPr>
              <w:spacing w:after="0" w:line="240" w:lineRule="auto"/>
              <w:jc w:val="center"/>
            </w:pPr>
            <w:r/>
            <w:r>
              <w:rPr>
                <w:rFonts w:ascii="Calibri" w:hAnsi="Calibri"/>
                <w:b w:val="0"/>
                <w:i w:val="0"/>
                <w:color w:val="000000"/>
                <w:sz w:val="11"/>
              </w:rPr>
              <w:t>0.0664</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6.0000</w:t>
            </w:r>
          </w:p>
        </w:tc>
        <w:tc>
          <w:tcPr>
            <w:tcW w:type="dxa" w:w="1256"/>
            <w:vAlign w:val="center"/>
          </w:tcPr>
          <w:p>
            <w:pPr>
              <w:spacing w:after="0" w:line="240" w:lineRule="auto"/>
              <w:jc w:val="center"/>
            </w:pPr>
            <w:r/>
            <w:r>
              <w:rPr>
                <w:rFonts w:ascii="Calibri" w:hAnsi="Calibri"/>
                <w:b w:val="0"/>
                <w:i w:val="0"/>
                <w:color w:val="000000"/>
                <w:sz w:val="11"/>
              </w:rPr>
              <w:t>0.0029</w:t>
            </w:r>
          </w:p>
        </w:tc>
        <w:tc>
          <w:tcPr>
            <w:tcW w:type="dxa" w:w="1954"/>
            <w:vAlign w:val="center"/>
          </w:tcPr>
          <w:p>
            <w:pPr>
              <w:spacing w:after="0" w:line="240" w:lineRule="auto"/>
              <w:jc w:val="center"/>
            </w:pPr>
            <w:r/>
            <w:r>
              <w:rPr>
                <w:rFonts w:ascii="Calibri" w:hAnsi="Calibri"/>
                <w:b w:val="0"/>
                <w:i w:val="0"/>
                <w:color w:val="000000"/>
                <w:sz w:val="11"/>
              </w:rPr>
              <w:t>345.0000</w:t>
            </w:r>
          </w:p>
        </w:tc>
        <w:tc>
          <w:tcPr>
            <w:tcW w:type="dxa" w:w="1954"/>
            <w:vAlign w:val="center"/>
          </w:tcPr>
          <w:p>
            <w:pPr>
              <w:spacing w:after="0" w:line="240" w:lineRule="auto"/>
              <w:jc w:val="center"/>
            </w:pPr>
            <w:r/>
            <w:r>
              <w:rPr>
                <w:rFonts w:ascii="Calibri" w:hAnsi="Calibri"/>
                <w:b w:val="0"/>
                <w:i w:val="0"/>
                <w:color w:val="000000"/>
                <w:sz w:val="11"/>
              </w:rPr>
              <w:t>0.0065</w:t>
            </w:r>
          </w:p>
        </w:tc>
        <w:tc>
          <w:tcPr>
            <w:tcW w:type="dxa" w:w="1535"/>
            <w:vAlign w:val="center"/>
          </w:tcPr>
          <w:p>
            <w:pPr>
              <w:spacing w:after="0" w:line="240" w:lineRule="auto"/>
              <w:jc w:val="center"/>
            </w:pPr>
            <w:r/>
            <w:r>
              <w:rPr>
                <w:rFonts w:ascii="Calibri" w:hAnsi="Calibri"/>
                <w:b w:val="0"/>
                <w:i w:val="0"/>
                <w:color w:val="000000"/>
                <w:sz w:val="11"/>
              </w:rPr>
              <w:t>0.6613</w:t>
            </w:r>
          </w:p>
        </w:tc>
        <w:tc>
          <w:tcPr>
            <w:tcW w:type="dxa" w:w="2654"/>
            <w:vAlign w:val="center"/>
          </w:tcPr>
          <w:p>
            <w:pPr>
              <w:spacing w:after="0" w:line="240" w:lineRule="auto"/>
              <w:jc w:val="center"/>
            </w:pPr>
            <w:r/>
            <w:r>
              <w:rPr>
                <w:rFonts w:ascii="Calibri" w:hAnsi="Calibri"/>
                <w:b w:val="0"/>
                <w:i w:val="0"/>
                <w:color w:val="000000"/>
                <w:sz w:val="11"/>
              </w:rPr>
              <w:t>0.0281</w:t>
            </w:r>
          </w:p>
        </w:tc>
      </w:tr>
      <w:tr>
        <w:tc>
          <w:tcPr>
            <w:tcW w:type="dxa" w:w="2373"/>
            <w:vAlign w:val="center"/>
          </w:tcPr>
          <w:p>
            <w:pPr>
              <w:spacing w:after="0" w:line="240" w:lineRule="auto"/>
              <w:jc w:val="left"/>
            </w:pPr>
            <w:r/>
            <w:r>
              <w:rPr>
                <w:rFonts w:ascii="Calibri" w:hAnsi="Calibri"/>
                <w:b w:val="0"/>
                <w:i w:val="0"/>
                <w:color w:val="000000"/>
                <w:sz w:val="11"/>
              </w:rPr>
              <w:t>lithium_carbonate</w:t>
            </w:r>
          </w:p>
        </w:tc>
        <w:tc>
          <w:tcPr>
            <w:tcW w:type="dxa" w:w="977"/>
            <w:vAlign w:val="center"/>
          </w:tcPr>
          <w:p>
            <w:pPr>
              <w:spacing w:after="0" w:line="240" w:lineRule="auto"/>
              <w:jc w:val="center"/>
            </w:pPr>
            <w:r/>
            <w:r>
              <w:rPr>
                <w:rFonts w:ascii="Calibri" w:hAnsi="Calibri"/>
                <w:b w:val="0"/>
                <w:i w:val="0"/>
                <w:color w:val="000000"/>
                <w:sz w:val="11"/>
              </w:rPr>
              <w:t>CEEMDAN</w:t>
            </w:r>
          </w:p>
        </w:tc>
        <w:tc>
          <w:tcPr>
            <w:tcW w:type="dxa" w:w="977"/>
            <w:vAlign w:val="center"/>
          </w:tcPr>
          <w:p>
            <w:pPr>
              <w:spacing w:after="0" w:line="240" w:lineRule="auto"/>
              <w:jc w:val="center"/>
            </w:pPr>
            <w:r/>
            <w:r>
              <w:rPr>
                <w:rFonts w:ascii="Calibri" w:hAnsi="Calibri"/>
                <w:b w:val="0"/>
                <w:i w:val="0"/>
                <w:color w:val="000000"/>
                <w:sz w:val="11"/>
              </w:rPr>
              <w:t>7.0000</w:t>
            </w:r>
          </w:p>
        </w:tc>
        <w:tc>
          <w:tcPr>
            <w:tcW w:type="dxa" w:w="1256"/>
            <w:vAlign w:val="center"/>
          </w:tcPr>
          <w:p>
            <w:pPr>
              <w:spacing w:after="0" w:line="240" w:lineRule="auto"/>
              <w:jc w:val="center"/>
            </w:pPr>
            <w:r/>
            <w:r>
              <w:rPr>
                <w:rFonts w:ascii="Calibri" w:hAnsi="Calibri"/>
                <w:b w:val="0"/>
                <w:i w:val="0"/>
                <w:color w:val="000000"/>
                <w:sz w:val="11"/>
              </w:rPr>
              <w:t>0.0014</w:t>
            </w:r>
          </w:p>
        </w:tc>
        <w:tc>
          <w:tcPr>
            <w:tcW w:type="dxa" w:w="1954"/>
            <w:vAlign w:val="center"/>
          </w:tcPr>
          <w:p>
            <w:pPr>
              <w:spacing w:after="0" w:line="240" w:lineRule="auto"/>
              <w:jc w:val="center"/>
            </w:pPr>
            <w:r/>
            <w:r>
              <w:rPr>
                <w:rFonts w:ascii="Calibri" w:hAnsi="Calibri"/>
                <w:b w:val="0"/>
                <w:i w:val="0"/>
                <w:color w:val="000000"/>
                <w:sz w:val="11"/>
              </w:rPr>
              <w:t>690.0000</w:t>
            </w:r>
          </w:p>
        </w:tc>
        <w:tc>
          <w:tcPr>
            <w:tcW w:type="dxa" w:w="1954"/>
            <w:vAlign w:val="center"/>
          </w:tcPr>
          <w:p>
            <w:pPr>
              <w:spacing w:after="0" w:line="240" w:lineRule="auto"/>
              <w:jc w:val="center"/>
            </w:pPr>
            <w:r/>
            <w:r>
              <w:rPr>
                <w:rFonts w:ascii="Calibri" w:hAnsi="Calibri"/>
                <w:b w:val="0"/>
                <w:i w:val="0"/>
                <w:color w:val="000000"/>
                <w:sz w:val="11"/>
              </w:rPr>
              <w:t>0.4080</w:t>
            </w:r>
          </w:p>
        </w:tc>
        <w:tc>
          <w:tcPr>
            <w:tcW w:type="dxa" w:w="1535"/>
            <w:vAlign w:val="center"/>
          </w:tcPr>
          <w:p>
            <w:pPr>
              <w:spacing w:after="0" w:line="240" w:lineRule="auto"/>
              <w:jc w:val="center"/>
            </w:pPr>
            <w:r/>
            <w:r>
              <w:rPr>
                <w:rFonts w:ascii="Calibri" w:hAnsi="Calibri"/>
                <w:b w:val="0"/>
                <w:i w:val="0"/>
                <w:color w:val="000000"/>
                <w:sz w:val="11"/>
              </w:rPr>
              <w:t>0.9087</w:t>
            </w:r>
          </w:p>
        </w:tc>
        <w:tc>
          <w:tcPr>
            <w:tcW w:type="dxa" w:w="2654"/>
            <w:vAlign w:val="center"/>
          </w:tcPr>
          <w:p>
            <w:pPr>
              <w:spacing w:after="0" w:line="240" w:lineRule="auto"/>
              <w:jc w:val="center"/>
            </w:pPr>
            <w:r/>
            <w:r>
              <w:rPr>
                <w:rFonts w:ascii="Calibri" w:hAnsi="Calibri"/>
                <w:b w:val="0"/>
                <w:i w:val="0"/>
                <w:color w:val="000000"/>
                <w:sz w:val="11"/>
              </w:rPr>
              <w:t>0.0095</w:t>
            </w:r>
          </w:p>
        </w:tc>
      </w:tr>
    </w:tbl>
    <w:p>
      <w:pPr>
        <w:spacing w:after="60"/>
      </w:pPr>
    </w:p>
    <w:p>
      <w:pPr>
        <w:pStyle w:val="Heading3"/>
      </w:pPr>
      <w:r>
        <w:t>Interpretation of Table 5</w:t>
      </w:r>
    </w:p>
    <w:p>
      <w:pPr>
        <w:spacing w:after="160" w:line="320" w:lineRule="auto"/>
        <w:jc w:val="both"/>
      </w:pPr>
      <w:r>
        <w:rPr>
          <w:rFonts w:ascii="Calibri" w:hAnsi="Calibri"/>
          <w:b/>
          <w:i w:val="0"/>
          <w:color w:val="000000"/>
          <w:sz w:val="22"/>
        </w:rPr>
        <w:t>VMD structure:</w:t>
      </w:r>
      <w:r>
        <w:rPr>
          <w:rFonts w:ascii="Calibri" w:hAnsi="Calibri"/>
          <w:b w:val="0"/>
          <w:i w:val="0"/>
          <w:color w:val="000000"/>
          <w:sz w:val="22"/>
        </w:rPr>
        <w:t xml:space="preserve"> For hydroxide, VMD modes 1 and 2 carry variance shares of 0.3273 and 0.3651 and correlate 0.8212 and 0.8439 with the original series. For carbonate, the corresponding shares are 0.2786 and 0.3836 with correlations 0.8026 and 0.8602. Much of the smooth price path is therefore concentrated in the first two modes.</w:t>
      </w:r>
    </w:p>
    <w:p>
      <w:pPr>
        <w:spacing w:after="160" w:line="320" w:lineRule="auto"/>
        <w:jc w:val="both"/>
      </w:pPr>
      <w:r>
        <w:rPr>
          <w:rFonts w:ascii="Calibri" w:hAnsi="Calibri"/>
          <w:b/>
          <w:i w:val="0"/>
          <w:color w:val="000000"/>
          <w:sz w:val="22"/>
        </w:rPr>
        <w:t>CEEMDAN contrast:</w:t>
      </w:r>
      <w:r>
        <w:rPr>
          <w:rFonts w:ascii="Calibri" w:hAnsi="Calibri"/>
          <w:b w:val="0"/>
          <w:i w:val="0"/>
          <w:color w:val="000000"/>
          <w:sz w:val="22"/>
        </w:rPr>
        <w:t xml:space="preserve"> CEEMDAN concentrates its dominant low-frequency structure later: mode 7 accounts for 0.6059 of hydroxide variance and 0.4080 of carbonate variance, with correlations above 0.90 in both panels. Mode numbering is decomposition-specific, so VMD mode 1 cannot be interpreted as equivalent to CEEMDAN mode 1.</w:t>
      </w:r>
    </w:p>
    <w:p>
      <w:pPr>
        <w:spacing w:after="160" w:line="320" w:lineRule="auto"/>
        <w:jc w:val="both"/>
      </w:pPr>
      <w:r>
        <w:rPr>
          <w:rFonts w:ascii="Calibri" w:hAnsi="Calibri"/>
          <w:b/>
          <w:i w:val="0"/>
          <w:color w:val="000000"/>
          <w:sz w:val="22"/>
        </w:rPr>
        <w:t>Routing implication:</w:t>
      </w:r>
      <w:r>
        <w:rPr>
          <w:rFonts w:ascii="Calibri" w:hAnsi="Calibri"/>
          <w:b w:val="0"/>
          <w:i w:val="0"/>
          <w:color w:val="000000"/>
          <w:sz w:val="22"/>
        </w:rPr>
        <w:t xml:space="preserve"> Approximate entropy generally rises for faster modes, supporting different treatment of smooth and irregular components. The proposed method therefore assigns the first two smooth VMD modes to ARIMA and the remaining irregular modes to LSTM; Table 5 motivates but does not prove that this fixed routing is optimal.</w:t>
      </w:r>
    </w:p>
    <w:p>
      <w:pPr>
        <w:keepNext/>
        <w:spacing w:before="100" w:after="80"/>
      </w:pPr>
      <w:r>
        <w:rPr>
          <w:rFonts w:ascii="Calibri" w:hAnsi="Calibri"/>
          <w:b/>
          <w:i w:val="0"/>
          <w:color w:val="1F4D78"/>
          <w:sz w:val="18"/>
        </w:rPr>
        <w:t xml:space="preserve">Table 6. </w:t>
      </w:r>
      <w:r>
        <w:rPr>
          <w:rFonts w:ascii="Calibri" w:hAnsi="Calibri"/>
          <w:b w:val="0"/>
          <w:i/>
          <w:color w:val="000000"/>
          <w:sz w:val="18"/>
        </w:rPr>
        <w:t>Indicators selected for the decomposed modes using LASSO regression.</w:t>
      </w:r>
    </w:p>
    <w:tbl>
      <w:tblPr>
        <w:tblStyle w:val="TableGrid"/>
        <w:tblW w:type="dxa" w:w="13680"/>
        <w:jc w:val="left"/>
        <w:tblLayout w:type="fixed"/>
        <w:tblLook w:firstColumn="1" w:firstRow="1" w:lastColumn="0" w:lastRow="0" w:noHBand="0" w:noVBand="1" w:val="04A0"/>
      </w:tblPr>
      <w:tblGrid>
        <w:gridCol w:w="3020"/>
        <w:gridCol w:w="1421"/>
        <w:gridCol w:w="1243"/>
        <w:gridCol w:w="6040"/>
        <w:gridCol w:w="1956"/>
      </w:tblGrid>
      <w:tr>
        <w:trPr>
          <w:tblHeader w:val="true"/>
        </w:trPr>
        <w:tc>
          <w:tcPr>
            <w:tcW w:type="dxa" w:w="3020"/>
            <w:shd w:fill="F4F6F9"/>
            <w:vAlign w:val="center"/>
          </w:tcPr>
          <w:p>
            <w:pPr>
              <w:jc w:val="center"/>
            </w:pPr>
            <w:r/>
            <w:r>
              <w:rPr>
                <w:rFonts w:ascii="Calibri" w:hAnsi="Calibri"/>
                <w:b/>
                <w:i w:val="0"/>
                <w:color w:val="0B2545"/>
                <w:sz w:val="11"/>
              </w:rPr>
              <w:t>Panel</w:t>
            </w:r>
          </w:p>
        </w:tc>
        <w:tc>
          <w:tcPr>
            <w:tcW w:type="dxa" w:w="1421"/>
            <w:shd w:fill="F4F6F9"/>
            <w:vAlign w:val="center"/>
          </w:tcPr>
          <w:p>
            <w:pPr>
              <w:jc w:val="center"/>
            </w:pPr>
            <w:r/>
            <w:r>
              <w:rPr>
                <w:rFonts w:ascii="Calibri" w:hAnsi="Calibri"/>
                <w:b/>
                <w:i w:val="0"/>
                <w:color w:val="0B2545"/>
                <w:sz w:val="11"/>
              </w:rPr>
              <w:t>Mode</w:t>
            </w:r>
          </w:p>
        </w:tc>
        <w:tc>
          <w:tcPr>
            <w:tcW w:type="dxa" w:w="1243"/>
            <w:shd w:fill="F4F6F9"/>
            <w:vAlign w:val="center"/>
          </w:tcPr>
          <w:p>
            <w:pPr>
              <w:jc w:val="center"/>
            </w:pPr>
            <w:r/>
            <w:r>
              <w:rPr>
                <w:rFonts w:ascii="Calibri" w:hAnsi="Calibri"/>
                <w:b/>
                <w:i w:val="0"/>
                <w:color w:val="0B2545"/>
                <w:sz w:val="11"/>
              </w:rPr>
              <w:t>Route</w:t>
            </w:r>
          </w:p>
        </w:tc>
        <w:tc>
          <w:tcPr>
            <w:tcW w:type="dxa" w:w="6040"/>
            <w:shd w:fill="F4F6F9"/>
            <w:vAlign w:val="center"/>
          </w:tcPr>
          <w:p>
            <w:pPr>
              <w:jc w:val="center"/>
            </w:pPr>
            <w:r/>
            <w:r>
              <w:rPr>
                <w:rFonts w:ascii="Calibri" w:hAnsi="Calibri"/>
                <w:b/>
                <w:i w:val="0"/>
                <w:color w:val="0B2545"/>
                <w:sz w:val="11"/>
              </w:rPr>
              <w:t>Selected indicators</w:t>
            </w:r>
          </w:p>
        </w:tc>
        <w:tc>
          <w:tcPr>
            <w:tcW w:type="dxa" w:w="1956"/>
            <w:shd w:fill="F4F6F9"/>
            <w:vAlign w:val="center"/>
          </w:tcPr>
          <w:p>
            <w:pPr>
              <w:jc w:val="center"/>
            </w:pPr>
            <w:r/>
            <w:r>
              <w:rPr>
                <w:rFonts w:ascii="Calibri" w:hAnsi="Calibri"/>
                <w:b/>
                <w:i w:val="0"/>
                <w:color w:val="0B2545"/>
                <w:sz w:val="11"/>
              </w:rPr>
              <w:t>LASSO alpha</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w:t>
            </w:r>
          </w:p>
        </w:tc>
        <w:tc>
          <w:tcPr>
            <w:tcW w:type="dxa" w:w="1956"/>
            <w:vAlign w:val="center"/>
          </w:tcPr>
          <w:p>
            <w:pPr>
              <w:spacing w:after="0" w:line="240" w:lineRule="auto"/>
              <w:jc w:val="center"/>
            </w:pPr>
            <w:r/>
            <w:r>
              <w:rPr>
                <w:rFonts w:ascii="Calibri" w:hAnsi="Calibri"/>
                <w:b w:val="0"/>
                <w:i w:val="0"/>
                <w:color w:val="000000"/>
                <w:sz w:val="11"/>
              </w:rPr>
              <w:t>0.0013</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w:t>
            </w:r>
          </w:p>
        </w:tc>
        <w:tc>
          <w:tcPr>
            <w:tcW w:type="dxa" w:w="1956"/>
            <w:vAlign w:val="center"/>
          </w:tcPr>
          <w:p>
            <w:pPr>
              <w:spacing w:after="0" w:line="240" w:lineRule="auto"/>
              <w:jc w:val="center"/>
            </w:pPr>
            <w:r/>
            <w:r>
              <w:rPr>
                <w:rFonts w:ascii="Calibri" w:hAnsi="Calibri"/>
                <w:b w:val="0"/>
                <w:i w:val="0"/>
                <w:color w:val="000000"/>
                <w:sz w:val="11"/>
              </w:rPr>
              <w:t>0.0398</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target_5, News_FinBERT_Score, News_TextBlob_Polarity, News_Article_Count,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target_5, VIX, News_TextBlob_Polarity, Cross_Lithium_Close, News_FinBERT_Score</w:t>
            </w:r>
          </w:p>
        </w:tc>
        <w:tc>
          <w:tcPr>
            <w:tcW w:type="dxa" w:w="1956"/>
            <w:vAlign w:val="center"/>
          </w:tcPr>
          <w:p>
            <w:pPr>
              <w:spacing w:after="0" w:line="240" w:lineRule="auto"/>
              <w:jc w:val="center"/>
            </w:pPr>
            <w:r/>
            <w:r>
              <w:rPr>
                <w:rFonts w:ascii="Calibri" w:hAnsi="Calibri"/>
                <w:b w:val="0"/>
                <w:i w:val="0"/>
                <w:color w:val="000000"/>
                <w:sz w:val="11"/>
              </w:rPr>
              <w:t>0.0011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target_3, Cross_Lithium_Close, VIX, News_Article_Count, News_TextBlob_Polarity</w:t>
            </w:r>
          </w:p>
        </w:tc>
        <w:tc>
          <w:tcPr>
            <w:tcW w:type="dxa" w:w="1956"/>
            <w:vAlign w:val="center"/>
          </w:tcPr>
          <w:p>
            <w:pPr>
              <w:spacing w:after="0" w:line="240" w:lineRule="auto"/>
              <w:jc w:val="center"/>
            </w:pPr>
            <w:r/>
            <w:r>
              <w:rPr>
                <w:rFonts w:ascii="Calibri" w:hAnsi="Calibri"/>
                <w:b w:val="0"/>
                <w:i w:val="0"/>
                <w:color w:val="000000"/>
                <w:sz w:val="11"/>
              </w:rPr>
              <w:t>0.0026</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target_5, target_4, News_FinBERT_Score, VIX, Cross_Lithium_Close</w:t>
            </w:r>
          </w:p>
        </w:tc>
        <w:tc>
          <w:tcPr>
            <w:tcW w:type="dxa" w:w="1956"/>
            <w:vAlign w:val="center"/>
          </w:tcPr>
          <w:p>
            <w:pPr>
              <w:spacing w:after="0" w:line="240" w:lineRule="auto"/>
              <w:jc w:val="center"/>
            </w:pPr>
            <w:r/>
            <w:r>
              <w:rPr>
                <w:rFonts w:ascii="Calibri" w:hAnsi="Calibri"/>
                <w:b w:val="0"/>
                <w:i w:val="0"/>
                <w:color w:val="000000"/>
                <w:sz w:val="11"/>
              </w:rPr>
              <w:t>0.0021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News_FinBERT_Score, Cross_Lithium_Close, VIX, News_TextBlob_Polarity</w:t>
            </w:r>
          </w:p>
        </w:tc>
        <w:tc>
          <w:tcPr>
            <w:tcW w:type="dxa" w:w="1956"/>
            <w:vAlign w:val="center"/>
          </w:tcPr>
          <w:p>
            <w:pPr>
              <w:spacing w:after="0" w:line="240" w:lineRule="auto"/>
              <w:jc w:val="center"/>
            </w:pPr>
            <w:r/>
            <w:r>
              <w:rPr>
                <w:rFonts w:ascii="Calibri" w:hAnsi="Calibri"/>
                <w:b w:val="0"/>
                <w:i w:val="0"/>
                <w:color w:val="000000"/>
                <w:sz w:val="11"/>
              </w:rPr>
              <w:t>0.0015</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9</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target_3, target_2, target_5, News_FinBERT_Score, News_Article_Count,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lithium_hydroxide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target_3, target_2, target_4, Cross_Lithium_Close</w:t>
            </w:r>
          </w:p>
        </w:tc>
        <w:tc>
          <w:tcPr>
            <w:tcW w:type="dxa" w:w="1956"/>
            <w:vAlign w:val="center"/>
          </w:tcPr>
          <w:p>
            <w:pPr>
              <w:spacing w:after="0" w:line="240" w:lineRule="auto"/>
              <w:jc w:val="center"/>
            </w:pPr>
            <w:r/>
            <w:r>
              <w:rPr>
                <w:rFonts w:ascii="Calibri" w:hAnsi="Calibri"/>
                <w:b w:val="0"/>
                <w:i w:val="0"/>
                <w:color w:val="000000"/>
                <w:sz w:val="11"/>
              </w:rPr>
              <w:t>0.0395</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1</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Cross_Lithium_Close, Ganfeng_Lithium_Close</w:t>
            </w:r>
          </w:p>
        </w:tc>
        <w:tc>
          <w:tcPr>
            <w:tcW w:type="dxa" w:w="1956"/>
            <w:vAlign w:val="center"/>
          </w:tcPr>
          <w:p>
            <w:pPr>
              <w:spacing w:after="0" w:line="240" w:lineRule="auto"/>
              <w:jc w:val="center"/>
            </w:pPr>
            <w:r/>
            <w:r>
              <w:rPr>
                <w:rFonts w:ascii="Calibri" w:hAnsi="Calibri"/>
                <w:b w:val="0"/>
                <w:i w:val="0"/>
                <w:color w:val="000000"/>
                <w:sz w:val="11"/>
              </w:rPr>
              <w:t>0.0014</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2</w:t>
            </w:r>
          </w:p>
        </w:tc>
        <w:tc>
          <w:tcPr>
            <w:tcW w:type="dxa" w:w="1243"/>
            <w:vAlign w:val="center"/>
          </w:tcPr>
          <w:p>
            <w:pPr>
              <w:spacing w:after="0" w:line="240" w:lineRule="auto"/>
              <w:jc w:val="center"/>
            </w:pPr>
            <w:r/>
            <w:r>
              <w:rPr>
                <w:rFonts w:ascii="Calibri" w:hAnsi="Calibri"/>
                <w:b w:val="0"/>
                <w:i w:val="0"/>
                <w:color w:val="000000"/>
                <w:sz w:val="11"/>
              </w:rPr>
              <w:t>ARIMA</w:t>
            </w:r>
          </w:p>
        </w:tc>
        <w:tc>
          <w:tcPr>
            <w:tcW w:type="dxa" w:w="6040"/>
            <w:vAlign w:val="center"/>
          </w:tcPr>
          <w:p>
            <w:pPr>
              <w:spacing w:after="0" w:line="240" w:lineRule="auto"/>
              <w:jc w:val="center"/>
            </w:pPr>
            <w:r/>
            <w:r>
              <w:rPr>
                <w:rFonts w:ascii="Calibri" w:hAnsi="Calibri"/>
                <w:b w:val="0"/>
                <w:i w:val="0"/>
                <w:color w:val="000000"/>
                <w:sz w:val="11"/>
              </w:rPr>
              <w:t>target_1, SP500</w:t>
            </w:r>
          </w:p>
        </w:tc>
        <w:tc>
          <w:tcPr>
            <w:tcW w:type="dxa" w:w="1956"/>
            <w:vAlign w:val="center"/>
          </w:tcPr>
          <w:p>
            <w:pPr>
              <w:spacing w:after="0" w:line="240" w:lineRule="auto"/>
              <w:jc w:val="center"/>
            </w:pPr>
            <w:r/>
            <w:r>
              <w:rPr>
                <w:rFonts w:ascii="Calibri" w:hAnsi="Calibri"/>
                <w:b w:val="0"/>
                <w:i w:val="0"/>
                <w:color w:val="000000"/>
                <w:sz w:val="11"/>
              </w:rPr>
              <w:t>0.0018</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3</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Cross_Lithium_Close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4</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target_5, Ganfeng_Lithium_Close, News_TextBlob_Polarity</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5</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target_4, target_3, Ganfeng_Lithium_Close, News_Article_Count, News_FinBERT_Score</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6</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target_4, target_1, target_5, target_3, Ganfeng_Lithium_Close, US_Dollar_Index, Cross_Lithium_Close,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7</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target_2, target_1, target_4, target_5, Ganfeng_Lithium_Close, US_Dollar_Index, News_FinBERT_Score,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8</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target_4, target_3, Ganfeng_Lithium_Close, US_Dollar_Index, News_TextBlob_Polarity, …</w:t>
            </w:r>
          </w:p>
        </w:tc>
        <w:tc>
          <w:tcPr>
            <w:tcW w:type="dxa" w:w="1956"/>
            <w:vAlign w:val="center"/>
          </w:tcPr>
          <w:p>
            <w:pPr>
              <w:spacing w:after="0" w:line="240" w:lineRule="auto"/>
              <w:jc w:val="center"/>
            </w:pPr>
            <w:r/>
            <w:r>
              <w:rPr>
                <w:rFonts w:ascii="Calibri" w:hAnsi="Calibri"/>
                <w:b w:val="0"/>
                <w:i w:val="0"/>
                <w:color w:val="000000"/>
                <w:sz w:val="11"/>
              </w:rPr>
              <w:t>0.001</w:t>
            </w:r>
          </w:p>
        </w:tc>
      </w:tr>
      <w:tr>
        <w:tc>
          <w:tcPr>
            <w:tcW w:type="dxa" w:w="3020"/>
            <w:vAlign w:val="center"/>
          </w:tcPr>
          <w:p>
            <w:pPr>
              <w:spacing w:after="0" w:line="240" w:lineRule="auto"/>
              <w:jc w:val="left"/>
            </w:pPr>
            <w:r/>
            <w:r>
              <w:rPr>
                <w:rFonts w:ascii="Calibri" w:hAnsi="Calibri"/>
                <w:b w:val="0"/>
                <w:i w:val="0"/>
                <w:color w:val="000000"/>
                <w:sz w:val="11"/>
              </w:rPr>
              <w:t>lithium_carbonate</w:t>
            </w:r>
          </w:p>
        </w:tc>
        <w:tc>
          <w:tcPr>
            <w:tcW w:type="dxa" w:w="1421"/>
            <w:vAlign w:val="center"/>
          </w:tcPr>
          <w:p>
            <w:pPr>
              <w:spacing w:after="0" w:line="240" w:lineRule="auto"/>
              <w:jc w:val="center"/>
            </w:pPr>
            <w:r/>
            <w:r>
              <w:rPr>
                <w:rFonts w:ascii="Calibri" w:hAnsi="Calibri"/>
                <w:b w:val="0"/>
                <w:i w:val="0"/>
                <w:color w:val="000000"/>
                <w:sz w:val="11"/>
              </w:rPr>
              <w:t>Residual</w:t>
            </w:r>
          </w:p>
        </w:tc>
        <w:tc>
          <w:tcPr>
            <w:tcW w:type="dxa" w:w="1243"/>
            <w:vAlign w:val="center"/>
          </w:tcPr>
          <w:p>
            <w:pPr>
              <w:spacing w:after="0" w:line="240" w:lineRule="auto"/>
              <w:jc w:val="center"/>
            </w:pPr>
            <w:r/>
            <w:r>
              <w:rPr>
                <w:rFonts w:ascii="Calibri" w:hAnsi="Calibri"/>
                <w:b w:val="0"/>
                <w:i w:val="0"/>
                <w:color w:val="000000"/>
                <w:sz w:val="11"/>
              </w:rPr>
              <w:t>LSTM</w:t>
            </w:r>
          </w:p>
        </w:tc>
        <w:tc>
          <w:tcPr>
            <w:tcW w:type="dxa" w:w="6040"/>
            <w:vAlign w:val="center"/>
          </w:tcPr>
          <w:p>
            <w:pPr>
              <w:spacing w:after="0" w:line="240" w:lineRule="auto"/>
              <w:jc w:val="center"/>
            </w:pPr>
            <w:r/>
            <w:r>
              <w:rPr>
                <w:rFonts w:ascii="Calibri" w:hAnsi="Calibri"/>
                <w:b w:val="0"/>
                <w:i w:val="0"/>
                <w:color w:val="000000"/>
                <w:sz w:val="11"/>
              </w:rPr>
              <w:t>target_1, target_2, target_5, target_4, Albemarle_Close, News_Article_Count, Ganfeng_Lithium_Close, US_Dollar_Index</w:t>
            </w:r>
          </w:p>
        </w:tc>
        <w:tc>
          <w:tcPr>
            <w:tcW w:type="dxa" w:w="1956"/>
            <w:vAlign w:val="center"/>
          </w:tcPr>
          <w:p>
            <w:pPr>
              <w:spacing w:after="0" w:line="240" w:lineRule="auto"/>
              <w:jc w:val="center"/>
            </w:pPr>
            <w:r/>
            <w:r>
              <w:rPr>
                <w:rFonts w:ascii="Calibri" w:hAnsi="Calibri"/>
                <w:b w:val="0"/>
                <w:i w:val="0"/>
                <w:color w:val="000000"/>
                <w:sz w:val="11"/>
              </w:rPr>
              <w:t>0.0153</w:t>
            </w:r>
          </w:p>
        </w:tc>
      </w:tr>
    </w:tbl>
    <w:p>
      <w:pPr>
        <w:spacing w:after="60"/>
      </w:pPr>
    </w:p>
    <w:p>
      <w:pPr>
        <w:pStyle w:val="Heading3"/>
      </w:pPr>
      <w:r>
        <w:t>Interpretation of Table 6</w:t>
      </w:r>
    </w:p>
    <w:p>
      <w:pPr>
        <w:spacing w:after="160" w:line="320" w:lineRule="auto"/>
        <w:jc w:val="both"/>
      </w:pPr>
      <w:r>
        <w:rPr>
          <w:rFonts w:ascii="Calibri" w:hAnsi="Calibri"/>
          <w:b/>
          <w:i w:val="0"/>
          <w:color w:val="000000"/>
          <w:sz w:val="22"/>
        </w:rPr>
        <w:t>Persistence dominates:</w:t>
      </w:r>
      <w:r>
        <w:rPr>
          <w:rFonts w:ascii="Calibri" w:hAnsi="Calibri"/>
          <w:b w:val="0"/>
          <w:i w:val="0"/>
          <w:color w:val="000000"/>
          <w:sz w:val="22"/>
        </w:rPr>
        <w:t xml:space="preserve"> The immediately lagged decomposed target, target_1, is selected in all nine target-specific mode rows for both panels. Longer lags also recur, showing that the decomposed components retain meaningful autoregressive memory after VMD.</w:t>
      </w:r>
    </w:p>
    <w:p>
      <w:pPr>
        <w:spacing w:after="160" w:line="320" w:lineRule="auto"/>
        <w:jc w:val="both"/>
      </w:pPr>
      <w:r>
        <w:rPr>
          <w:rFonts w:ascii="Calibri" w:hAnsi="Calibri"/>
          <w:b/>
          <w:i w:val="0"/>
          <w:color w:val="000000"/>
          <w:sz w:val="22"/>
        </w:rPr>
        <w:t>External-signal differences:</w:t>
      </w:r>
      <w:r>
        <w:rPr>
          <w:rFonts w:ascii="Calibri" w:hAnsi="Calibri"/>
          <w:b w:val="0"/>
          <w:i w:val="0"/>
          <w:color w:val="000000"/>
          <w:sz w:val="22"/>
        </w:rPr>
        <w:t xml:space="preserve"> Cross_Lithium_Close appears in eight hydroxide mode models, whereas Ganfeng_Lithium_Close appears in eight carbonate mode models. Hydroxide also selects FinBERT sentiment in five modes and TextBlob polarity in four; carbonate more often selects the US dollar index and Ganfeng equity signal.</w:t>
      </w:r>
    </w:p>
    <w:p>
      <w:pPr>
        <w:spacing w:after="160" w:line="320" w:lineRule="auto"/>
        <w:jc w:val="both"/>
      </w:pPr>
      <w:r>
        <w:rPr>
          <w:rFonts w:ascii="Calibri" w:hAnsi="Calibri"/>
          <w:b/>
          <w:i w:val="0"/>
          <w:color w:val="000000"/>
          <w:sz w:val="22"/>
        </w:rPr>
        <w:t>Interpretation:</w:t>
      </w:r>
      <w:r>
        <w:rPr>
          <w:rFonts w:ascii="Calibri" w:hAnsi="Calibri"/>
          <w:b w:val="0"/>
          <w:i w:val="0"/>
          <w:color w:val="000000"/>
          <w:sz w:val="22"/>
        </w:rPr>
        <w:t xml:space="preserve"> Selection frequency indicates predictive inclusion under this fitted sample, not structural causality. Correlated indicators can substitute for one another under LASSO, and the full-sample/static protocol can make the selected set look more stable than it would be in a rolling real-time experiment.</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The decomposition summaries show that the modes differ materially in frequency, variance share, correlation with the original price, and approximate entropy. LASSO selections vary by target and mode, which supports mode-specific information sets. Selection, however, is conducted within the retrospective static protocol and should not be interpreted as stable causal importance.</w:t>
      </w:r>
    </w:p>
    <w:p>
      <w:pPr>
        <w:pStyle w:val="Heading1"/>
      </w:pPr>
      <w:r>
        <w:t>6. Forecasting results</w:t>
      </w:r>
    </w:p>
    <w:p>
      <w:pPr>
        <w:keepNext/>
        <w:spacing w:before="100" w:after="80"/>
      </w:pPr>
      <w:r>
        <w:rPr>
          <w:rFonts w:ascii="Calibri" w:hAnsi="Calibri"/>
          <w:b/>
          <w:i w:val="0"/>
          <w:color w:val="1F4D78"/>
          <w:sz w:val="18"/>
        </w:rPr>
        <w:t xml:space="preserve">Figure 9. </w:t>
      </w:r>
      <w:r>
        <w:rPr>
          <w:rFonts w:ascii="Calibri" w:hAnsi="Calibri"/>
          <w:b w:val="0"/>
          <w:i/>
          <w:color w:val="000000"/>
          <w:sz w:val="18"/>
        </w:rPr>
        <w:t>Testing-set forecasts from representative single forecasting models.</w:t>
      </w:r>
    </w:p>
    <w:p>
      <w:pPr>
        <w:spacing w:after="180"/>
        <w:jc w:val="center"/>
      </w:pPr>
      <w:r>
        <w:drawing>
          <wp:inline xmlns:a="http://schemas.openxmlformats.org/drawingml/2006/main" xmlns:pic="http://schemas.openxmlformats.org/drawingml/2006/picture">
            <wp:extent cx="5760720" cy="3857534"/>
            <wp:docPr id="9" name="Picture 9"/>
            <wp:cNvGraphicFramePr>
              <a:graphicFrameLocks noChangeAspect="1"/>
            </wp:cNvGraphicFramePr>
            <a:graphic>
              <a:graphicData uri="http://schemas.openxmlformats.org/drawingml/2006/picture">
                <pic:pic>
                  <pic:nvPicPr>
                    <pic:cNvPr id="0" name="fig9_single_forecasts.png"/>
                    <pic:cNvPicPr/>
                  </pic:nvPicPr>
                  <pic:blipFill>
                    <a:blip r:embed="rId19"/>
                    <a:stretch>
                      <a:fillRect/>
                    </a:stretch>
                  </pic:blipFill>
                  <pic:spPr>
                    <a:xfrm>
                      <a:off x="0" y="0"/>
                      <a:ext cx="5760720" cy="3857534"/>
                    </a:xfrm>
                    <a:prstGeom prst="rect"/>
                  </pic:spPr>
                </pic:pic>
              </a:graphicData>
            </a:graphic>
          </wp:inline>
        </w:drawing>
      </w:r>
    </w:p>
    <w:p>
      <w:pPr>
        <w:keepNext/>
        <w:spacing w:before="100" w:after="80"/>
      </w:pPr>
      <w:r>
        <w:rPr>
          <w:rFonts w:ascii="Calibri" w:hAnsi="Calibri"/>
          <w:b/>
          <w:i w:val="0"/>
          <w:color w:val="1F4D78"/>
          <w:sz w:val="18"/>
        </w:rPr>
        <w:t xml:space="preserve">Figure 10. </w:t>
      </w:r>
      <w:r>
        <w:rPr>
          <w:rFonts w:ascii="Calibri" w:hAnsi="Calibri"/>
          <w:b w:val="0"/>
          <w:i/>
          <w:color w:val="000000"/>
          <w:sz w:val="18"/>
        </w:rPr>
        <w:t>Target-normalized forecasting errors across all evaluated models.</w:t>
      </w:r>
    </w:p>
    <w:p>
      <w:pPr>
        <w:spacing w:after="180"/>
        <w:jc w:val="center"/>
      </w:pPr>
      <w:r>
        <w:drawing>
          <wp:inline xmlns:a="http://schemas.openxmlformats.org/drawingml/2006/main" xmlns:pic="http://schemas.openxmlformats.org/drawingml/2006/picture">
            <wp:extent cx="5760720" cy="3089961"/>
            <wp:docPr id="10" name="Picture 10"/>
            <wp:cNvGraphicFramePr>
              <a:graphicFrameLocks noChangeAspect="1"/>
            </wp:cNvGraphicFramePr>
            <a:graphic>
              <a:graphicData uri="http://schemas.openxmlformats.org/drawingml/2006/picture">
                <pic:pic>
                  <pic:nvPicPr>
                    <pic:cNvPr id="0" name="fig10_errors.png"/>
                    <pic:cNvPicPr/>
                  </pic:nvPicPr>
                  <pic:blipFill>
                    <a:blip r:embed="rId20"/>
                    <a:stretch>
                      <a:fillRect/>
                    </a:stretch>
                  </pic:blipFill>
                  <pic:spPr>
                    <a:xfrm>
                      <a:off x="0" y="0"/>
                      <a:ext cx="5760720" cy="3089961"/>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7. </w:t>
      </w:r>
      <w:r>
        <w:rPr>
          <w:rFonts w:ascii="Calibri" w:hAnsi="Calibri"/>
          <w:b w:val="0"/>
          <w:i/>
          <w:color w:val="000000"/>
          <w:sz w:val="18"/>
        </w:rPr>
        <w:t>Forecasting errors on the testing sets for single models.</w:t>
      </w:r>
    </w:p>
    <w:tbl>
      <w:tblPr>
        <w:tblStyle w:val="TableGrid"/>
        <w:tblW w:type="dxa" w:w="13680"/>
        <w:jc w:val="left"/>
        <w:tblLayout w:type="fixed"/>
        <w:tblLook w:firstColumn="1" w:firstRow="1" w:lastColumn="0" w:lastRow="0" w:noHBand="0" w:noVBand="1" w:val="04A0"/>
      </w:tblPr>
      <w:tblGrid>
        <w:gridCol w:w="2673"/>
        <w:gridCol w:w="1100"/>
        <w:gridCol w:w="1729"/>
        <w:gridCol w:w="1729"/>
        <w:gridCol w:w="1100"/>
        <w:gridCol w:w="1100"/>
        <w:gridCol w:w="1100"/>
        <w:gridCol w:w="3149"/>
      </w:tblGrid>
      <w:tr>
        <w:trPr>
          <w:tblHeader w:val="true"/>
        </w:trPr>
        <w:tc>
          <w:tcPr>
            <w:tcW w:type="dxa" w:w="2673"/>
            <w:shd w:fill="F4F6F9"/>
            <w:vAlign w:val="center"/>
          </w:tcPr>
          <w:p>
            <w:pPr>
              <w:jc w:val="center"/>
            </w:pPr>
            <w:r/>
            <w:r>
              <w:rPr>
                <w:rFonts w:ascii="Calibri" w:hAnsi="Calibri"/>
                <w:b/>
                <w:i w:val="0"/>
                <w:color w:val="0B2545"/>
                <w:sz w:val="12"/>
              </w:rPr>
              <w:t>Target</w:t>
            </w:r>
          </w:p>
        </w:tc>
        <w:tc>
          <w:tcPr>
            <w:tcW w:type="dxa" w:w="1100"/>
            <w:shd w:fill="F4F6F9"/>
            <w:vAlign w:val="center"/>
          </w:tcPr>
          <w:p>
            <w:pPr>
              <w:jc w:val="center"/>
            </w:pPr>
            <w:r/>
            <w:r>
              <w:rPr>
                <w:rFonts w:ascii="Calibri" w:hAnsi="Calibri"/>
                <w:b/>
                <w:i w:val="0"/>
                <w:color w:val="0B2545"/>
                <w:sz w:val="12"/>
              </w:rPr>
              <w:t>Model</w:t>
            </w:r>
          </w:p>
        </w:tc>
        <w:tc>
          <w:tcPr>
            <w:tcW w:type="dxa" w:w="1729"/>
            <w:shd w:fill="F4F6F9"/>
            <w:vAlign w:val="center"/>
          </w:tcPr>
          <w:p>
            <w:pPr>
              <w:jc w:val="center"/>
            </w:pPr>
            <w:r/>
            <w:r>
              <w:rPr>
                <w:rFonts w:ascii="Calibri" w:hAnsi="Calibri"/>
                <w:b/>
                <w:i w:val="0"/>
                <w:color w:val="0B2545"/>
                <w:sz w:val="12"/>
              </w:rPr>
              <w:t>RMSE</w:t>
            </w:r>
          </w:p>
        </w:tc>
        <w:tc>
          <w:tcPr>
            <w:tcW w:type="dxa" w:w="1729"/>
            <w:shd w:fill="F4F6F9"/>
            <w:vAlign w:val="center"/>
          </w:tcPr>
          <w:p>
            <w:pPr>
              <w:jc w:val="center"/>
            </w:pPr>
            <w:r/>
            <w:r>
              <w:rPr>
                <w:rFonts w:ascii="Calibri" w:hAnsi="Calibri"/>
                <w:b/>
                <w:i w:val="0"/>
                <w:color w:val="0B2545"/>
                <w:sz w:val="12"/>
              </w:rPr>
              <w:t>MAE</w:t>
            </w:r>
          </w:p>
        </w:tc>
        <w:tc>
          <w:tcPr>
            <w:tcW w:type="dxa" w:w="1100"/>
            <w:shd w:fill="F4F6F9"/>
            <w:vAlign w:val="center"/>
          </w:tcPr>
          <w:p>
            <w:pPr>
              <w:jc w:val="center"/>
            </w:pPr>
            <w:r/>
            <w:r>
              <w:rPr>
                <w:rFonts w:ascii="Calibri" w:hAnsi="Calibri"/>
                <w:b/>
                <w:i w:val="0"/>
                <w:color w:val="0B2545"/>
                <w:sz w:val="12"/>
              </w:rPr>
              <w:t>MASE</w:t>
            </w:r>
          </w:p>
        </w:tc>
        <w:tc>
          <w:tcPr>
            <w:tcW w:type="dxa" w:w="1100"/>
            <w:shd w:fill="F4F6F9"/>
            <w:vAlign w:val="center"/>
          </w:tcPr>
          <w:p>
            <w:pPr>
              <w:jc w:val="center"/>
            </w:pPr>
            <w:r/>
            <w:r>
              <w:rPr>
                <w:rFonts w:ascii="Calibri" w:hAnsi="Calibri"/>
                <w:b/>
                <w:i w:val="0"/>
                <w:color w:val="0B2545"/>
                <w:sz w:val="12"/>
              </w:rPr>
              <w:t>MAPE</w:t>
            </w:r>
          </w:p>
        </w:tc>
        <w:tc>
          <w:tcPr>
            <w:tcW w:type="dxa" w:w="1100"/>
            <w:shd w:fill="F4F6F9"/>
            <w:vAlign w:val="center"/>
          </w:tcPr>
          <w:p>
            <w:pPr>
              <w:jc w:val="center"/>
            </w:pPr>
            <w:r/>
            <w:r>
              <w:rPr>
                <w:rFonts w:ascii="Calibri" w:hAnsi="Calibri"/>
                <w:b/>
                <w:i w:val="0"/>
                <w:color w:val="0B2545"/>
                <w:sz w:val="12"/>
              </w:rPr>
              <w:t>sMAPE</w:t>
            </w:r>
          </w:p>
        </w:tc>
        <w:tc>
          <w:tcPr>
            <w:tcW w:type="dxa" w:w="3149"/>
            <w:shd w:fill="F4F6F9"/>
            <w:vAlign w:val="center"/>
          </w:tcPr>
          <w:p>
            <w:pPr>
              <w:jc w:val="center"/>
            </w:pPr>
            <w:r/>
            <w:r>
              <w:rPr>
                <w:rFonts w:ascii="Calibri" w:hAnsi="Calibri"/>
                <w:b/>
                <w:i w:val="0"/>
                <w:color w:val="0B2545"/>
                <w:sz w:val="12"/>
              </w:rPr>
              <w:t>Directional Accuracy</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3612.1970</w:t>
            </w:r>
          </w:p>
        </w:tc>
        <w:tc>
          <w:tcPr>
            <w:tcW w:type="dxa" w:w="1729"/>
            <w:vAlign w:val="center"/>
          </w:tcPr>
          <w:p>
            <w:pPr>
              <w:spacing w:after="0" w:line="240" w:lineRule="auto"/>
              <w:jc w:val="center"/>
            </w:pPr>
            <w:r/>
            <w:r>
              <w:rPr>
                <w:rFonts w:ascii="Calibri" w:hAnsi="Calibri"/>
                <w:b w:val="0"/>
                <w:i w:val="0"/>
                <w:color w:val="000000"/>
                <w:sz w:val="12"/>
              </w:rPr>
              <w:t>1827.0413</w:t>
            </w:r>
          </w:p>
        </w:tc>
        <w:tc>
          <w:tcPr>
            <w:tcW w:type="dxa" w:w="1100"/>
            <w:vAlign w:val="center"/>
          </w:tcPr>
          <w:p>
            <w:pPr>
              <w:spacing w:after="0" w:line="240" w:lineRule="auto"/>
              <w:jc w:val="center"/>
            </w:pPr>
            <w:r/>
            <w:r>
              <w:rPr>
                <w:rFonts w:ascii="Calibri" w:hAnsi="Calibri"/>
                <w:b w:val="0"/>
                <w:i w:val="0"/>
                <w:color w:val="000000"/>
                <w:sz w:val="12"/>
              </w:rPr>
              <w:t>0.9132</w:t>
            </w:r>
          </w:p>
        </w:tc>
        <w:tc>
          <w:tcPr>
            <w:tcW w:type="dxa" w:w="1100"/>
            <w:vAlign w:val="center"/>
          </w:tcPr>
          <w:p>
            <w:pPr>
              <w:spacing w:after="0" w:line="240" w:lineRule="auto"/>
              <w:jc w:val="center"/>
            </w:pPr>
            <w:r/>
            <w:r>
              <w:rPr>
                <w:rFonts w:ascii="Calibri" w:hAnsi="Calibri"/>
                <w:b w:val="0"/>
                <w:i w:val="0"/>
                <w:color w:val="000000"/>
                <w:sz w:val="12"/>
              </w:rPr>
              <w:t>1.43</w:t>
            </w:r>
          </w:p>
        </w:tc>
        <w:tc>
          <w:tcPr>
            <w:tcW w:type="dxa" w:w="1100"/>
            <w:vAlign w:val="center"/>
          </w:tcPr>
          <w:p>
            <w:pPr>
              <w:spacing w:after="0" w:line="240" w:lineRule="auto"/>
              <w:jc w:val="center"/>
            </w:pPr>
            <w:r/>
            <w:r>
              <w:rPr>
                <w:rFonts w:ascii="Calibri" w:hAnsi="Calibri"/>
                <w:b w:val="0"/>
                <w:i w:val="0"/>
                <w:color w:val="000000"/>
                <w:sz w:val="12"/>
              </w:rPr>
              <w:t>1.46</w:t>
            </w:r>
          </w:p>
        </w:tc>
        <w:tc>
          <w:tcPr>
            <w:tcW w:type="dxa" w:w="3149"/>
            <w:vAlign w:val="center"/>
          </w:tcPr>
          <w:p>
            <w:pPr>
              <w:spacing w:after="0" w:line="240" w:lineRule="auto"/>
              <w:jc w:val="center"/>
            </w:pPr>
            <w:r/>
            <w:r>
              <w:rPr>
                <w:rFonts w:ascii="Calibri" w:hAnsi="Calibri"/>
                <w:b w:val="0"/>
                <w:i w:val="0"/>
                <w:color w:val="000000"/>
                <w:sz w:val="12"/>
              </w:rPr>
              <w:t>69.63</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5380.3212</w:t>
            </w:r>
          </w:p>
        </w:tc>
        <w:tc>
          <w:tcPr>
            <w:tcW w:type="dxa" w:w="1729"/>
            <w:vAlign w:val="center"/>
          </w:tcPr>
          <w:p>
            <w:pPr>
              <w:spacing w:after="0" w:line="240" w:lineRule="auto"/>
              <w:jc w:val="center"/>
            </w:pPr>
            <w:r/>
            <w:r>
              <w:rPr>
                <w:rFonts w:ascii="Calibri" w:hAnsi="Calibri"/>
                <w:b w:val="0"/>
                <w:i w:val="0"/>
                <w:color w:val="000000"/>
                <w:sz w:val="12"/>
              </w:rPr>
              <w:t>3231.2770</w:t>
            </w:r>
          </w:p>
        </w:tc>
        <w:tc>
          <w:tcPr>
            <w:tcW w:type="dxa" w:w="1100"/>
            <w:vAlign w:val="center"/>
          </w:tcPr>
          <w:p>
            <w:pPr>
              <w:spacing w:after="0" w:line="240" w:lineRule="auto"/>
              <w:jc w:val="center"/>
            </w:pPr>
            <w:r/>
            <w:r>
              <w:rPr>
                <w:rFonts w:ascii="Calibri" w:hAnsi="Calibri"/>
                <w:b w:val="0"/>
                <w:i w:val="0"/>
                <w:color w:val="000000"/>
                <w:sz w:val="12"/>
              </w:rPr>
              <w:t>1.6150</w:t>
            </w:r>
          </w:p>
        </w:tc>
        <w:tc>
          <w:tcPr>
            <w:tcW w:type="dxa" w:w="1100"/>
            <w:vAlign w:val="center"/>
          </w:tcPr>
          <w:p>
            <w:pPr>
              <w:spacing w:after="0" w:line="240" w:lineRule="auto"/>
              <w:jc w:val="center"/>
            </w:pPr>
            <w:r/>
            <w:r>
              <w:rPr>
                <w:rFonts w:ascii="Calibri" w:hAnsi="Calibri"/>
                <w:b w:val="0"/>
                <w:i w:val="0"/>
                <w:color w:val="000000"/>
                <w:sz w:val="12"/>
              </w:rPr>
              <w:t>2.55</w:t>
            </w:r>
          </w:p>
        </w:tc>
        <w:tc>
          <w:tcPr>
            <w:tcW w:type="dxa" w:w="1100"/>
            <w:vAlign w:val="center"/>
          </w:tcPr>
          <w:p>
            <w:pPr>
              <w:spacing w:after="0" w:line="240" w:lineRule="auto"/>
              <w:jc w:val="center"/>
            </w:pPr>
            <w:r/>
            <w:r>
              <w:rPr>
                <w:rFonts w:ascii="Calibri" w:hAnsi="Calibri"/>
                <w:b w:val="0"/>
                <w:i w:val="0"/>
                <w:color w:val="000000"/>
                <w:sz w:val="12"/>
              </w:rPr>
              <w:t>2.59</w:t>
            </w:r>
          </w:p>
        </w:tc>
        <w:tc>
          <w:tcPr>
            <w:tcW w:type="dxa" w:w="3149"/>
            <w:vAlign w:val="center"/>
          </w:tcPr>
          <w:p>
            <w:pPr>
              <w:spacing w:after="0" w:line="240" w:lineRule="auto"/>
              <w:jc w:val="center"/>
            </w:pPr>
            <w:r/>
            <w:r>
              <w:rPr>
                <w:rFonts w:ascii="Calibri" w:hAnsi="Calibri"/>
                <w:b w:val="0"/>
                <w:i w:val="0"/>
                <w:color w:val="000000"/>
                <w:sz w:val="12"/>
              </w:rPr>
              <w:t>72.59</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11222.0126</w:t>
            </w:r>
          </w:p>
        </w:tc>
        <w:tc>
          <w:tcPr>
            <w:tcW w:type="dxa" w:w="1729"/>
            <w:vAlign w:val="center"/>
          </w:tcPr>
          <w:p>
            <w:pPr>
              <w:spacing w:after="0" w:line="240" w:lineRule="auto"/>
              <w:jc w:val="center"/>
            </w:pPr>
            <w:r/>
            <w:r>
              <w:rPr>
                <w:rFonts w:ascii="Calibri" w:hAnsi="Calibri"/>
                <w:b w:val="0"/>
                <w:i w:val="0"/>
                <w:color w:val="000000"/>
                <w:sz w:val="12"/>
              </w:rPr>
              <w:t>9516.7432</w:t>
            </w:r>
          </w:p>
        </w:tc>
        <w:tc>
          <w:tcPr>
            <w:tcW w:type="dxa" w:w="1100"/>
            <w:vAlign w:val="center"/>
          </w:tcPr>
          <w:p>
            <w:pPr>
              <w:spacing w:after="0" w:line="240" w:lineRule="auto"/>
              <w:jc w:val="center"/>
            </w:pPr>
            <w:r/>
            <w:r>
              <w:rPr>
                <w:rFonts w:ascii="Calibri" w:hAnsi="Calibri"/>
                <w:b w:val="0"/>
                <w:i w:val="0"/>
                <w:color w:val="000000"/>
                <w:sz w:val="12"/>
              </w:rPr>
              <w:t>4.7566</w:t>
            </w:r>
          </w:p>
        </w:tc>
        <w:tc>
          <w:tcPr>
            <w:tcW w:type="dxa" w:w="1100"/>
            <w:vAlign w:val="center"/>
          </w:tcPr>
          <w:p>
            <w:pPr>
              <w:spacing w:after="0" w:line="240" w:lineRule="auto"/>
              <w:jc w:val="center"/>
            </w:pPr>
            <w:r/>
            <w:r>
              <w:rPr>
                <w:rFonts w:ascii="Calibri" w:hAnsi="Calibri"/>
                <w:b w:val="0"/>
                <w:i w:val="0"/>
                <w:color w:val="000000"/>
                <w:sz w:val="12"/>
              </w:rPr>
              <w:t>9.56</w:t>
            </w:r>
          </w:p>
        </w:tc>
        <w:tc>
          <w:tcPr>
            <w:tcW w:type="dxa" w:w="1100"/>
            <w:vAlign w:val="center"/>
          </w:tcPr>
          <w:p>
            <w:pPr>
              <w:spacing w:after="0" w:line="240" w:lineRule="auto"/>
              <w:jc w:val="center"/>
            </w:pPr>
            <w:r/>
            <w:r>
              <w:rPr>
                <w:rFonts w:ascii="Calibri" w:hAnsi="Calibri"/>
                <w:b w:val="0"/>
                <w:i w:val="0"/>
                <w:color w:val="000000"/>
                <w:sz w:val="12"/>
              </w:rPr>
              <w:t>9.04</w:t>
            </w:r>
          </w:p>
        </w:tc>
        <w:tc>
          <w:tcPr>
            <w:tcW w:type="dxa" w:w="3149"/>
            <w:vAlign w:val="center"/>
          </w:tcPr>
          <w:p>
            <w:pPr>
              <w:spacing w:after="0" w:line="240" w:lineRule="auto"/>
              <w:jc w:val="center"/>
            </w:pPr>
            <w:r/>
            <w:r>
              <w:rPr>
                <w:rFonts w:ascii="Calibri" w:hAnsi="Calibri"/>
                <w:b w:val="0"/>
                <w:i w:val="0"/>
                <w:color w:val="000000"/>
                <w:sz w:val="12"/>
              </w:rPr>
              <w:t>54.81</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24629.9992</w:t>
            </w:r>
          </w:p>
        </w:tc>
        <w:tc>
          <w:tcPr>
            <w:tcW w:type="dxa" w:w="1729"/>
            <w:vAlign w:val="center"/>
          </w:tcPr>
          <w:p>
            <w:pPr>
              <w:spacing w:after="0" w:line="240" w:lineRule="auto"/>
              <w:jc w:val="center"/>
            </w:pPr>
            <w:r/>
            <w:r>
              <w:rPr>
                <w:rFonts w:ascii="Calibri" w:hAnsi="Calibri"/>
                <w:b w:val="0"/>
                <w:i w:val="0"/>
                <w:color w:val="000000"/>
                <w:sz w:val="12"/>
              </w:rPr>
              <w:t>18864.5712</w:t>
            </w:r>
          </w:p>
        </w:tc>
        <w:tc>
          <w:tcPr>
            <w:tcW w:type="dxa" w:w="1100"/>
            <w:vAlign w:val="center"/>
          </w:tcPr>
          <w:p>
            <w:pPr>
              <w:spacing w:after="0" w:line="240" w:lineRule="auto"/>
              <w:jc w:val="center"/>
            </w:pPr>
            <w:r/>
            <w:r>
              <w:rPr>
                <w:rFonts w:ascii="Calibri" w:hAnsi="Calibri"/>
                <w:b w:val="0"/>
                <w:i w:val="0"/>
                <w:color w:val="000000"/>
                <w:sz w:val="12"/>
              </w:rPr>
              <w:t>9.4288</w:t>
            </w:r>
          </w:p>
        </w:tc>
        <w:tc>
          <w:tcPr>
            <w:tcW w:type="dxa" w:w="1100"/>
            <w:vAlign w:val="center"/>
          </w:tcPr>
          <w:p>
            <w:pPr>
              <w:spacing w:after="0" w:line="240" w:lineRule="auto"/>
              <w:jc w:val="center"/>
            </w:pPr>
            <w:r/>
            <w:r>
              <w:rPr>
                <w:rFonts w:ascii="Calibri" w:hAnsi="Calibri"/>
                <w:b w:val="0"/>
                <w:i w:val="0"/>
                <w:color w:val="000000"/>
                <w:sz w:val="12"/>
              </w:rPr>
              <w:t>21.87</w:t>
            </w:r>
          </w:p>
        </w:tc>
        <w:tc>
          <w:tcPr>
            <w:tcW w:type="dxa" w:w="1100"/>
            <w:vAlign w:val="center"/>
          </w:tcPr>
          <w:p>
            <w:pPr>
              <w:spacing w:after="0" w:line="240" w:lineRule="auto"/>
              <w:jc w:val="center"/>
            </w:pPr>
            <w:r/>
            <w:r>
              <w:rPr>
                <w:rFonts w:ascii="Calibri" w:hAnsi="Calibri"/>
                <w:b w:val="0"/>
                <w:i w:val="0"/>
                <w:color w:val="000000"/>
                <w:sz w:val="12"/>
              </w:rPr>
              <w:t>18.25</w:t>
            </w:r>
          </w:p>
        </w:tc>
        <w:tc>
          <w:tcPr>
            <w:tcW w:type="dxa" w:w="3149"/>
            <w:vAlign w:val="center"/>
          </w:tcPr>
          <w:p>
            <w:pPr>
              <w:spacing w:after="0" w:line="240" w:lineRule="auto"/>
              <w:jc w:val="center"/>
            </w:pPr>
            <w:r/>
            <w:r>
              <w:rPr>
                <w:rFonts w:ascii="Calibri" w:hAnsi="Calibri"/>
                <w:b w:val="0"/>
                <w:i w:val="0"/>
                <w:color w:val="000000"/>
                <w:sz w:val="12"/>
              </w:rPr>
              <w:t>56.30</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41457.7667</w:t>
            </w:r>
          </w:p>
        </w:tc>
        <w:tc>
          <w:tcPr>
            <w:tcW w:type="dxa" w:w="1729"/>
            <w:vAlign w:val="center"/>
          </w:tcPr>
          <w:p>
            <w:pPr>
              <w:spacing w:after="0" w:line="240" w:lineRule="auto"/>
              <w:jc w:val="center"/>
            </w:pPr>
            <w:r/>
            <w:r>
              <w:rPr>
                <w:rFonts w:ascii="Calibri" w:hAnsi="Calibri"/>
                <w:b w:val="0"/>
                <w:i w:val="0"/>
                <w:color w:val="000000"/>
                <w:sz w:val="12"/>
              </w:rPr>
              <w:t>34950.9727</w:t>
            </w:r>
          </w:p>
        </w:tc>
        <w:tc>
          <w:tcPr>
            <w:tcW w:type="dxa" w:w="1100"/>
            <w:vAlign w:val="center"/>
          </w:tcPr>
          <w:p>
            <w:pPr>
              <w:spacing w:after="0" w:line="240" w:lineRule="auto"/>
              <w:jc w:val="center"/>
            </w:pPr>
            <w:r/>
            <w:r>
              <w:rPr>
                <w:rFonts w:ascii="Calibri" w:hAnsi="Calibri"/>
                <w:b w:val="0"/>
                <w:i w:val="0"/>
                <w:color w:val="000000"/>
                <w:sz w:val="12"/>
              </w:rPr>
              <w:t>17.4690</w:t>
            </w:r>
          </w:p>
        </w:tc>
        <w:tc>
          <w:tcPr>
            <w:tcW w:type="dxa" w:w="1100"/>
            <w:vAlign w:val="center"/>
          </w:tcPr>
          <w:p>
            <w:pPr>
              <w:spacing w:after="0" w:line="240" w:lineRule="auto"/>
              <w:jc w:val="center"/>
            </w:pPr>
            <w:r/>
            <w:r>
              <w:rPr>
                <w:rFonts w:ascii="Calibri" w:hAnsi="Calibri"/>
                <w:b w:val="0"/>
                <w:i w:val="0"/>
                <w:color w:val="000000"/>
                <w:sz w:val="12"/>
              </w:rPr>
              <w:t>36.01</w:t>
            </w:r>
          </w:p>
        </w:tc>
        <w:tc>
          <w:tcPr>
            <w:tcW w:type="dxa" w:w="1100"/>
            <w:vAlign w:val="center"/>
          </w:tcPr>
          <w:p>
            <w:pPr>
              <w:spacing w:after="0" w:line="240" w:lineRule="auto"/>
              <w:jc w:val="center"/>
            </w:pPr>
            <w:r/>
            <w:r>
              <w:rPr>
                <w:rFonts w:ascii="Calibri" w:hAnsi="Calibri"/>
                <w:b w:val="0"/>
                <w:i w:val="0"/>
                <w:color w:val="000000"/>
                <w:sz w:val="12"/>
              </w:rPr>
              <w:t>28.29</w:t>
            </w:r>
          </w:p>
        </w:tc>
        <w:tc>
          <w:tcPr>
            <w:tcW w:type="dxa" w:w="3149"/>
            <w:vAlign w:val="center"/>
          </w:tcPr>
          <w:p>
            <w:pPr>
              <w:spacing w:after="0" w:line="240" w:lineRule="auto"/>
              <w:jc w:val="center"/>
            </w:pPr>
            <w:r/>
            <w:r>
              <w:rPr>
                <w:rFonts w:ascii="Calibri" w:hAnsi="Calibri"/>
                <w:b w:val="0"/>
                <w:i w:val="0"/>
                <w:color w:val="000000"/>
                <w:sz w:val="12"/>
              </w:rPr>
              <w:t>58.52</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45712.4002</w:t>
            </w:r>
          </w:p>
        </w:tc>
        <w:tc>
          <w:tcPr>
            <w:tcW w:type="dxa" w:w="1729"/>
            <w:vAlign w:val="center"/>
          </w:tcPr>
          <w:p>
            <w:pPr>
              <w:spacing w:after="0" w:line="240" w:lineRule="auto"/>
              <w:jc w:val="center"/>
            </w:pPr>
            <w:r/>
            <w:r>
              <w:rPr>
                <w:rFonts w:ascii="Calibri" w:hAnsi="Calibri"/>
                <w:b w:val="0"/>
                <w:i w:val="0"/>
                <w:color w:val="000000"/>
                <w:sz w:val="12"/>
              </w:rPr>
              <w:t>37502.1294</w:t>
            </w:r>
          </w:p>
        </w:tc>
        <w:tc>
          <w:tcPr>
            <w:tcW w:type="dxa" w:w="1100"/>
            <w:vAlign w:val="center"/>
          </w:tcPr>
          <w:p>
            <w:pPr>
              <w:spacing w:after="0" w:line="240" w:lineRule="auto"/>
              <w:jc w:val="center"/>
            </w:pPr>
            <w:r/>
            <w:r>
              <w:rPr>
                <w:rFonts w:ascii="Calibri" w:hAnsi="Calibri"/>
                <w:b w:val="0"/>
                <w:i w:val="0"/>
                <w:color w:val="000000"/>
                <w:sz w:val="12"/>
              </w:rPr>
              <w:t>18.7441</w:t>
            </w:r>
          </w:p>
        </w:tc>
        <w:tc>
          <w:tcPr>
            <w:tcW w:type="dxa" w:w="1100"/>
            <w:vAlign w:val="center"/>
          </w:tcPr>
          <w:p>
            <w:pPr>
              <w:spacing w:after="0" w:line="240" w:lineRule="auto"/>
              <w:jc w:val="center"/>
            </w:pPr>
            <w:r/>
            <w:r>
              <w:rPr>
                <w:rFonts w:ascii="Calibri" w:hAnsi="Calibri"/>
                <w:b w:val="0"/>
                <w:i w:val="0"/>
                <w:color w:val="000000"/>
                <w:sz w:val="12"/>
              </w:rPr>
              <w:t>40.06</w:t>
            </w:r>
          </w:p>
        </w:tc>
        <w:tc>
          <w:tcPr>
            <w:tcW w:type="dxa" w:w="1100"/>
            <w:vAlign w:val="center"/>
          </w:tcPr>
          <w:p>
            <w:pPr>
              <w:spacing w:after="0" w:line="240" w:lineRule="auto"/>
              <w:jc w:val="center"/>
            </w:pPr>
            <w:r/>
            <w:r>
              <w:rPr>
                <w:rFonts w:ascii="Calibri" w:hAnsi="Calibri"/>
                <w:b w:val="0"/>
                <w:i w:val="0"/>
                <w:color w:val="000000"/>
                <w:sz w:val="12"/>
              </w:rPr>
              <w:t>30.61</w:t>
            </w:r>
          </w:p>
        </w:tc>
        <w:tc>
          <w:tcPr>
            <w:tcW w:type="dxa" w:w="3149"/>
            <w:vAlign w:val="center"/>
          </w:tcPr>
          <w:p>
            <w:pPr>
              <w:spacing w:after="0" w:line="240" w:lineRule="auto"/>
              <w:jc w:val="center"/>
            </w:pPr>
            <w:r/>
            <w:r>
              <w:rPr>
                <w:rFonts w:ascii="Calibri" w:hAnsi="Calibri"/>
                <w:b w:val="0"/>
                <w:i w:val="0"/>
                <w:color w:val="000000"/>
                <w:sz w:val="12"/>
              </w:rPr>
              <w:t>48.15</w:t>
            </w:r>
          </w:p>
        </w:tc>
      </w:tr>
      <w:tr>
        <w:tc>
          <w:tcPr>
            <w:tcW w:type="dxa" w:w="2673"/>
            <w:vAlign w:val="center"/>
          </w:tcPr>
          <w:p>
            <w:pPr>
              <w:spacing w:after="0" w:line="240" w:lineRule="auto"/>
              <w:jc w:val="left"/>
            </w:pPr>
            <w:r/>
            <w:r>
              <w:rPr>
                <w:rFonts w:ascii="Calibri" w:hAnsi="Calibri"/>
                <w:b w:val="0"/>
                <w:i w:val="0"/>
                <w:color w:val="000000"/>
                <w:sz w:val="12"/>
              </w:rPr>
              <w:t>lithium_carbonate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200226.2914</w:t>
            </w:r>
          </w:p>
        </w:tc>
        <w:tc>
          <w:tcPr>
            <w:tcW w:type="dxa" w:w="1729"/>
            <w:vAlign w:val="center"/>
          </w:tcPr>
          <w:p>
            <w:pPr>
              <w:spacing w:after="0" w:line="240" w:lineRule="auto"/>
              <w:jc w:val="center"/>
            </w:pPr>
            <w:r/>
            <w:r>
              <w:rPr>
                <w:rFonts w:ascii="Calibri" w:hAnsi="Calibri"/>
                <w:b w:val="0"/>
                <w:i w:val="0"/>
                <w:color w:val="000000"/>
                <w:sz w:val="12"/>
              </w:rPr>
              <w:t>180239.9823</w:t>
            </w:r>
          </w:p>
        </w:tc>
        <w:tc>
          <w:tcPr>
            <w:tcW w:type="dxa" w:w="1100"/>
            <w:vAlign w:val="center"/>
          </w:tcPr>
          <w:p>
            <w:pPr>
              <w:spacing w:after="0" w:line="240" w:lineRule="auto"/>
              <w:jc w:val="center"/>
            </w:pPr>
            <w:r/>
            <w:r>
              <w:rPr>
                <w:rFonts w:ascii="Calibri" w:hAnsi="Calibri"/>
                <w:b w:val="0"/>
                <w:i w:val="0"/>
                <w:color w:val="000000"/>
                <w:sz w:val="12"/>
              </w:rPr>
              <w:t>90.0866</w:t>
            </w:r>
          </w:p>
        </w:tc>
        <w:tc>
          <w:tcPr>
            <w:tcW w:type="dxa" w:w="1100"/>
            <w:vAlign w:val="center"/>
          </w:tcPr>
          <w:p>
            <w:pPr>
              <w:spacing w:after="0" w:line="240" w:lineRule="auto"/>
              <w:jc w:val="center"/>
            </w:pPr>
            <w:r/>
            <w:r>
              <w:rPr>
                <w:rFonts w:ascii="Calibri" w:hAnsi="Calibri"/>
                <w:b w:val="0"/>
                <w:i w:val="0"/>
                <w:color w:val="000000"/>
                <w:sz w:val="12"/>
              </w:rPr>
              <w:t>165.22</w:t>
            </w:r>
          </w:p>
        </w:tc>
        <w:tc>
          <w:tcPr>
            <w:tcW w:type="dxa" w:w="1100"/>
            <w:vAlign w:val="center"/>
          </w:tcPr>
          <w:p>
            <w:pPr>
              <w:spacing w:after="0" w:line="240" w:lineRule="auto"/>
              <w:jc w:val="center"/>
            </w:pPr>
            <w:r/>
            <w:r>
              <w:rPr>
                <w:rFonts w:ascii="Calibri" w:hAnsi="Calibri"/>
                <w:b w:val="0"/>
                <w:i w:val="0"/>
                <w:color w:val="000000"/>
                <w:sz w:val="12"/>
              </w:rPr>
              <w:t>86.50</w:t>
            </w:r>
          </w:p>
        </w:tc>
        <w:tc>
          <w:tcPr>
            <w:tcW w:type="dxa" w:w="3149"/>
            <w:vAlign w:val="center"/>
          </w:tcPr>
          <w:p>
            <w:pPr>
              <w:spacing w:after="0" w:line="240" w:lineRule="auto"/>
              <w:jc w:val="center"/>
            </w:pPr>
            <w:r/>
            <w:r>
              <w:rPr>
                <w:rFonts w:ascii="Calibri" w:hAnsi="Calibri"/>
                <w:b w:val="0"/>
                <w:i w:val="0"/>
                <w:color w:val="000000"/>
                <w:sz w:val="12"/>
              </w:rPr>
              <w:t>54.07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ARIMA</w:t>
            </w:r>
          </w:p>
        </w:tc>
        <w:tc>
          <w:tcPr>
            <w:tcW w:type="dxa" w:w="1729"/>
            <w:vAlign w:val="center"/>
          </w:tcPr>
          <w:p>
            <w:pPr>
              <w:spacing w:after="0" w:line="240" w:lineRule="auto"/>
              <w:jc w:val="center"/>
            </w:pPr>
            <w:r/>
            <w:r>
              <w:rPr>
                <w:rFonts w:ascii="Calibri" w:hAnsi="Calibri"/>
                <w:b w:val="0"/>
                <w:i w:val="0"/>
                <w:color w:val="000000"/>
                <w:sz w:val="12"/>
              </w:rPr>
              <w:t>0.6437</w:t>
            </w:r>
          </w:p>
        </w:tc>
        <w:tc>
          <w:tcPr>
            <w:tcW w:type="dxa" w:w="1729"/>
            <w:vAlign w:val="center"/>
          </w:tcPr>
          <w:p>
            <w:pPr>
              <w:spacing w:after="0" w:line="240" w:lineRule="auto"/>
              <w:jc w:val="center"/>
            </w:pPr>
            <w:r/>
            <w:r>
              <w:rPr>
                <w:rFonts w:ascii="Calibri" w:hAnsi="Calibri"/>
                <w:b w:val="0"/>
                <w:i w:val="0"/>
                <w:color w:val="000000"/>
                <w:sz w:val="12"/>
              </w:rPr>
              <w:t>0.2395</w:t>
            </w:r>
          </w:p>
        </w:tc>
        <w:tc>
          <w:tcPr>
            <w:tcW w:type="dxa" w:w="1100"/>
            <w:vAlign w:val="center"/>
          </w:tcPr>
          <w:p>
            <w:pPr>
              <w:spacing w:after="0" w:line="240" w:lineRule="auto"/>
              <w:jc w:val="center"/>
            </w:pPr>
            <w:r/>
            <w:r>
              <w:rPr>
                <w:rFonts w:ascii="Calibri" w:hAnsi="Calibri"/>
                <w:b w:val="0"/>
                <w:i w:val="0"/>
                <w:color w:val="000000"/>
                <w:sz w:val="12"/>
              </w:rPr>
              <w:t>1.3159</w:t>
            </w:r>
          </w:p>
        </w:tc>
        <w:tc>
          <w:tcPr>
            <w:tcW w:type="dxa" w:w="1100"/>
            <w:vAlign w:val="center"/>
          </w:tcPr>
          <w:p>
            <w:pPr>
              <w:spacing w:after="0" w:line="240" w:lineRule="auto"/>
              <w:jc w:val="center"/>
            </w:pPr>
            <w:r/>
            <w:r>
              <w:rPr>
                <w:rFonts w:ascii="Calibri" w:hAnsi="Calibri"/>
                <w:b w:val="0"/>
                <w:i w:val="0"/>
                <w:color w:val="000000"/>
                <w:sz w:val="12"/>
              </w:rPr>
              <w:t>1.76</w:t>
            </w:r>
          </w:p>
        </w:tc>
        <w:tc>
          <w:tcPr>
            <w:tcW w:type="dxa" w:w="1100"/>
            <w:vAlign w:val="center"/>
          </w:tcPr>
          <w:p>
            <w:pPr>
              <w:spacing w:after="0" w:line="240" w:lineRule="auto"/>
              <w:jc w:val="center"/>
            </w:pPr>
            <w:r/>
            <w:r>
              <w:rPr>
                <w:rFonts w:ascii="Calibri" w:hAnsi="Calibri"/>
                <w:b w:val="0"/>
                <w:i w:val="0"/>
                <w:color w:val="000000"/>
                <w:sz w:val="12"/>
              </w:rPr>
              <w:t>1.92</w:t>
            </w:r>
          </w:p>
        </w:tc>
        <w:tc>
          <w:tcPr>
            <w:tcW w:type="dxa" w:w="3149"/>
            <w:vAlign w:val="center"/>
          </w:tcPr>
          <w:p>
            <w:pPr>
              <w:spacing w:after="0" w:line="240" w:lineRule="auto"/>
              <w:jc w:val="center"/>
            </w:pPr>
            <w:r/>
            <w:r>
              <w:rPr>
                <w:rFonts w:ascii="Calibri" w:hAnsi="Calibri"/>
                <w:b w:val="0"/>
                <w:i w:val="0"/>
                <w:color w:val="000000"/>
                <w:sz w:val="12"/>
              </w:rPr>
              <w:t>29.29</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ELM</w:t>
            </w:r>
          </w:p>
        </w:tc>
        <w:tc>
          <w:tcPr>
            <w:tcW w:type="dxa" w:w="1729"/>
            <w:vAlign w:val="center"/>
          </w:tcPr>
          <w:p>
            <w:pPr>
              <w:spacing w:after="0" w:line="240" w:lineRule="auto"/>
              <w:jc w:val="center"/>
            </w:pPr>
            <w:r/>
            <w:r>
              <w:rPr>
                <w:rFonts w:ascii="Calibri" w:hAnsi="Calibri"/>
                <w:b w:val="0"/>
                <w:i w:val="0"/>
                <w:color w:val="000000"/>
                <w:sz w:val="12"/>
              </w:rPr>
              <w:t>0.6542</w:t>
            </w:r>
          </w:p>
        </w:tc>
        <w:tc>
          <w:tcPr>
            <w:tcW w:type="dxa" w:w="1729"/>
            <w:vAlign w:val="center"/>
          </w:tcPr>
          <w:p>
            <w:pPr>
              <w:spacing w:after="0" w:line="240" w:lineRule="auto"/>
              <w:jc w:val="center"/>
            </w:pPr>
            <w:r/>
            <w:r>
              <w:rPr>
                <w:rFonts w:ascii="Calibri" w:hAnsi="Calibri"/>
                <w:b w:val="0"/>
                <w:i w:val="0"/>
                <w:color w:val="000000"/>
                <w:sz w:val="12"/>
              </w:rPr>
              <w:t>0.2573</w:t>
            </w:r>
          </w:p>
        </w:tc>
        <w:tc>
          <w:tcPr>
            <w:tcW w:type="dxa" w:w="1100"/>
            <w:vAlign w:val="center"/>
          </w:tcPr>
          <w:p>
            <w:pPr>
              <w:spacing w:after="0" w:line="240" w:lineRule="auto"/>
              <w:jc w:val="center"/>
            </w:pPr>
            <w:r/>
            <w:r>
              <w:rPr>
                <w:rFonts w:ascii="Calibri" w:hAnsi="Calibri"/>
                <w:b w:val="0"/>
                <w:i w:val="0"/>
                <w:color w:val="000000"/>
                <w:sz w:val="12"/>
              </w:rPr>
              <w:t>1.4138</w:t>
            </w:r>
          </w:p>
        </w:tc>
        <w:tc>
          <w:tcPr>
            <w:tcW w:type="dxa" w:w="1100"/>
            <w:vAlign w:val="center"/>
          </w:tcPr>
          <w:p>
            <w:pPr>
              <w:spacing w:after="0" w:line="240" w:lineRule="auto"/>
              <w:jc w:val="center"/>
            </w:pPr>
            <w:r/>
            <w:r>
              <w:rPr>
                <w:rFonts w:ascii="Calibri" w:hAnsi="Calibri"/>
                <w:b w:val="0"/>
                <w:i w:val="0"/>
                <w:color w:val="000000"/>
                <w:sz w:val="12"/>
              </w:rPr>
              <w:t>1.71</w:t>
            </w:r>
          </w:p>
        </w:tc>
        <w:tc>
          <w:tcPr>
            <w:tcW w:type="dxa" w:w="1100"/>
            <w:vAlign w:val="center"/>
          </w:tcPr>
          <w:p>
            <w:pPr>
              <w:spacing w:after="0" w:line="240" w:lineRule="auto"/>
              <w:jc w:val="center"/>
            </w:pPr>
            <w:r/>
            <w:r>
              <w:rPr>
                <w:rFonts w:ascii="Calibri" w:hAnsi="Calibri"/>
                <w:b w:val="0"/>
                <w:i w:val="0"/>
                <w:color w:val="000000"/>
                <w:sz w:val="12"/>
              </w:rPr>
              <w:t>1.79</w:t>
            </w:r>
          </w:p>
        </w:tc>
        <w:tc>
          <w:tcPr>
            <w:tcW w:type="dxa" w:w="3149"/>
            <w:vAlign w:val="center"/>
          </w:tcPr>
          <w:p>
            <w:pPr>
              <w:spacing w:after="0" w:line="240" w:lineRule="auto"/>
              <w:jc w:val="center"/>
            </w:pPr>
            <w:r/>
            <w:r>
              <w:rPr>
                <w:rFonts w:ascii="Calibri" w:hAnsi="Calibri"/>
                <w:b w:val="0"/>
                <w:i w:val="0"/>
                <w:color w:val="000000"/>
                <w:sz w:val="12"/>
              </w:rPr>
              <w:t>28.57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MLP</w:t>
            </w:r>
          </w:p>
        </w:tc>
        <w:tc>
          <w:tcPr>
            <w:tcW w:type="dxa" w:w="1729"/>
            <w:vAlign w:val="center"/>
          </w:tcPr>
          <w:p>
            <w:pPr>
              <w:spacing w:after="0" w:line="240" w:lineRule="auto"/>
              <w:jc w:val="center"/>
            </w:pPr>
            <w:r/>
            <w:r>
              <w:rPr>
                <w:rFonts w:ascii="Calibri" w:hAnsi="Calibri"/>
                <w:b w:val="0"/>
                <w:i w:val="0"/>
                <w:color w:val="000000"/>
                <w:sz w:val="12"/>
              </w:rPr>
              <w:t>0.6766</w:t>
            </w:r>
          </w:p>
        </w:tc>
        <w:tc>
          <w:tcPr>
            <w:tcW w:type="dxa" w:w="1729"/>
            <w:vAlign w:val="center"/>
          </w:tcPr>
          <w:p>
            <w:pPr>
              <w:spacing w:after="0" w:line="240" w:lineRule="auto"/>
              <w:jc w:val="center"/>
            </w:pPr>
            <w:r/>
            <w:r>
              <w:rPr>
                <w:rFonts w:ascii="Calibri" w:hAnsi="Calibri"/>
                <w:b w:val="0"/>
                <w:i w:val="0"/>
                <w:color w:val="000000"/>
                <w:sz w:val="12"/>
              </w:rPr>
              <w:t>0.4589</w:t>
            </w:r>
          </w:p>
        </w:tc>
        <w:tc>
          <w:tcPr>
            <w:tcW w:type="dxa" w:w="1100"/>
            <w:vAlign w:val="center"/>
          </w:tcPr>
          <w:p>
            <w:pPr>
              <w:spacing w:after="0" w:line="240" w:lineRule="auto"/>
              <w:jc w:val="center"/>
            </w:pPr>
            <w:r/>
            <w:r>
              <w:rPr>
                <w:rFonts w:ascii="Calibri" w:hAnsi="Calibri"/>
                <w:b w:val="0"/>
                <w:i w:val="0"/>
                <w:color w:val="000000"/>
                <w:sz w:val="12"/>
              </w:rPr>
              <w:t>2.5212</w:t>
            </w:r>
          </w:p>
        </w:tc>
        <w:tc>
          <w:tcPr>
            <w:tcW w:type="dxa" w:w="1100"/>
            <w:vAlign w:val="center"/>
          </w:tcPr>
          <w:p>
            <w:pPr>
              <w:spacing w:after="0" w:line="240" w:lineRule="auto"/>
              <w:jc w:val="center"/>
            </w:pPr>
            <w:r/>
            <w:r>
              <w:rPr>
                <w:rFonts w:ascii="Calibri" w:hAnsi="Calibri"/>
                <w:b w:val="0"/>
                <w:i w:val="0"/>
                <w:color w:val="000000"/>
                <w:sz w:val="12"/>
              </w:rPr>
              <w:t>3.52</w:t>
            </w:r>
          </w:p>
        </w:tc>
        <w:tc>
          <w:tcPr>
            <w:tcW w:type="dxa" w:w="1100"/>
            <w:vAlign w:val="center"/>
          </w:tcPr>
          <w:p>
            <w:pPr>
              <w:spacing w:after="0" w:line="240" w:lineRule="auto"/>
              <w:jc w:val="center"/>
            </w:pPr>
            <w:r/>
            <w:r>
              <w:rPr>
                <w:rFonts w:ascii="Calibri" w:hAnsi="Calibri"/>
                <w:b w:val="0"/>
                <w:i w:val="0"/>
                <w:color w:val="000000"/>
                <w:sz w:val="12"/>
              </w:rPr>
              <w:t>3.54</w:t>
            </w:r>
          </w:p>
        </w:tc>
        <w:tc>
          <w:tcPr>
            <w:tcW w:type="dxa" w:w="3149"/>
            <w:vAlign w:val="center"/>
          </w:tcPr>
          <w:p>
            <w:pPr>
              <w:spacing w:after="0" w:line="240" w:lineRule="auto"/>
              <w:jc w:val="center"/>
            </w:pPr>
            <w:r/>
            <w:r>
              <w:rPr>
                <w:rFonts w:ascii="Calibri" w:hAnsi="Calibri"/>
                <w:b w:val="0"/>
                <w:i w:val="0"/>
                <w:color w:val="000000"/>
                <w:sz w:val="12"/>
              </w:rPr>
              <w:t>35.00</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SVR</w:t>
            </w:r>
          </w:p>
        </w:tc>
        <w:tc>
          <w:tcPr>
            <w:tcW w:type="dxa" w:w="1729"/>
            <w:vAlign w:val="center"/>
          </w:tcPr>
          <w:p>
            <w:pPr>
              <w:spacing w:after="0" w:line="240" w:lineRule="auto"/>
              <w:jc w:val="center"/>
            </w:pPr>
            <w:r/>
            <w:r>
              <w:rPr>
                <w:rFonts w:ascii="Calibri" w:hAnsi="Calibri"/>
                <w:b w:val="0"/>
                <w:i w:val="0"/>
                <w:color w:val="000000"/>
                <w:sz w:val="12"/>
              </w:rPr>
              <w:t>0.7060</w:t>
            </w:r>
          </w:p>
        </w:tc>
        <w:tc>
          <w:tcPr>
            <w:tcW w:type="dxa" w:w="1729"/>
            <w:vAlign w:val="center"/>
          </w:tcPr>
          <w:p>
            <w:pPr>
              <w:spacing w:after="0" w:line="240" w:lineRule="auto"/>
              <w:jc w:val="center"/>
            </w:pPr>
            <w:r/>
            <w:r>
              <w:rPr>
                <w:rFonts w:ascii="Calibri" w:hAnsi="Calibri"/>
                <w:b w:val="0"/>
                <w:i w:val="0"/>
                <w:color w:val="000000"/>
                <w:sz w:val="12"/>
              </w:rPr>
              <w:t>0.5847</w:t>
            </w:r>
          </w:p>
        </w:tc>
        <w:tc>
          <w:tcPr>
            <w:tcW w:type="dxa" w:w="1100"/>
            <w:vAlign w:val="center"/>
          </w:tcPr>
          <w:p>
            <w:pPr>
              <w:spacing w:after="0" w:line="240" w:lineRule="auto"/>
              <w:jc w:val="center"/>
            </w:pPr>
            <w:r/>
            <w:r>
              <w:rPr>
                <w:rFonts w:ascii="Calibri" w:hAnsi="Calibri"/>
                <w:b w:val="0"/>
                <w:i w:val="0"/>
                <w:color w:val="000000"/>
                <w:sz w:val="12"/>
              </w:rPr>
              <w:t>3.2129</w:t>
            </w:r>
          </w:p>
        </w:tc>
        <w:tc>
          <w:tcPr>
            <w:tcW w:type="dxa" w:w="1100"/>
            <w:vAlign w:val="center"/>
          </w:tcPr>
          <w:p>
            <w:pPr>
              <w:spacing w:after="0" w:line="240" w:lineRule="auto"/>
              <w:jc w:val="center"/>
            </w:pPr>
            <w:r/>
            <w:r>
              <w:rPr>
                <w:rFonts w:ascii="Calibri" w:hAnsi="Calibri"/>
                <w:b w:val="0"/>
                <w:i w:val="0"/>
                <w:color w:val="000000"/>
                <w:sz w:val="12"/>
              </w:rPr>
              <w:t>4.95</w:t>
            </w:r>
          </w:p>
        </w:tc>
        <w:tc>
          <w:tcPr>
            <w:tcW w:type="dxa" w:w="1100"/>
            <w:vAlign w:val="center"/>
          </w:tcPr>
          <w:p>
            <w:pPr>
              <w:spacing w:after="0" w:line="240" w:lineRule="auto"/>
              <w:jc w:val="center"/>
            </w:pPr>
            <w:r/>
            <w:r>
              <w:rPr>
                <w:rFonts w:ascii="Calibri" w:hAnsi="Calibri"/>
                <w:b w:val="0"/>
                <w:i w:val="0"/>
                <w:color w:val="000000"/>
                <w:sz w:val="12"/>
              </w:rPr>
              <w:t>4.83</w:t>
            </w:r>
          </w:p>
        </w:tc>
        <w:tc>
          <w:tcPr>
            <w:tcW w:type="dxa" w:w="3149"/>
            <w:vAlign w:val="center"/>
          </w:tcPr>
          <w:p>
            <w:pPr>
              <w:spacing w:after="0" w:line="240" w:lineRule="auto"/>
              <w:jc w:val="center"/>
            </w:pPr>
            <w:r/>
            <w:r>
              <w:rPr>
                <w:rFonts w:ascii="Calibri" w:hAnsi="Calibri"/>
                <w:b w:val="0"/>
                <w:i w:val="0"/>
                <w:color w:val="000000"/>
                <w:sz w:val="12"/>
              </w:rPr>
              <w:t>38.57</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LSTM</w:t>
            </w:r>
          </w:p>
        </w:tc>
        <w:tc>
          <w:tcPr>
            <w:tcW w:type="dxa" w:w="1729"/>
            <w:vAlign w:val="center"/>
          </w:tcPr>
          <w:p>
            <w:pPr>
              <w:spacing w:after="0" w:line="240" w:lineRule="auto"/>
              <w:jc w:val="center"/>
            </w:pPr>
            <w:r/>
            <w:r>
              <w:rPr>
                <w:rFonts w:ascii="Calibri" w:hAnsi="Calibri"/>
                <w:b w:val="0"/>
                <w:i w:val="0"/>
                <w:color w:val="000000"/>
                <w:sz w:val="12"/>
              </w:rPr>
              <w:t>0.7220</w:t>
            </w:r>
          </w:p>
        </w:tc>
        <w:tc>
          <w:tcPr>
            <w:tcW w:type="dxa" w:w="1729"/>
            <w:vAlign w:val="center"/>
          </w:tcPr>
          <w:p>
            <w:pPr>
              <w:spacing w:after="0" w:line="240" w:lineRule="auto"/>
              <w:jc w:val="center"/>
            </w:pPr>
            <w:r/>
            <w:r>
              <w:rPr>
                <w:rFonts w:ascii="Calibri" w:hAnsi="Calibri"/>
                <w:b w:val="0"/>
                <w:i w:val="0"/>
                <w:color w:val="000000"/>
                <w:sz w:val="12"/>
              </w:rPr>
              <w:t>0.4668</w:t>
            </w:r>
          </w:p>
        </w:tc>
        <w:tc>
          <w:tcPr>
            <w:tcW w:type="dxa" w:w="1100"/>
            <w:vAlign w:val="center"/>
          </w:tcPr>
          <w:p>
            <w:pPr>
              <w:spacing w:after="0" w:line="240" w:lineRule="auto"/>
              <w:jc w:val="center"/>
            </w:pPr>
            <w:r/>
            <w:r>
              <w:rPr>
                <w:rFonts w:ascii="Calibri" w:hAnsi="Calibri"/>
                <w:b w:val="0"/>
                <w:i w:val="0"/>
                <w:color w:val="000000"/>
                <w:sz w:val="12"/>
              </w:rPr>
              <w:t>2.5646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1100"/>
            <w:vAlign w:val="center"/>
          </w:tcPr>
          <w:p>
            <w:pPr>
              <w:spacing w:after="0" w:line="240" w:lineRule="auto"/>
              <w:jc w:val="center"/>
            </w:pPr>
            <w:r/>
            <w:r>
              <w:rPr>
                <w:rFonts w:ascii="Calibri" w:hAnsi="Calibri"/>
                <w:b w:val="0"/>
                <w:i w:val="0"/>
                <w:color w:val="000000"/>
                <w:sz w:val="12"/>
              </w:rPr>
              <w:t>3.46</w:t>
            </w:r>
          </w:p>
        </w:tc>
        <w:tc>
          <w:tcPr>
            <w:tcW w:type="dxa" w:w="3149"/>
            <w:vAlign w:val="center"/>
          </w:tcPr>
          <w:p>
            <w:pPr>
              <w:spacing w:after="0" w:line="240" w:lineRule="auto"/>
              <w:jc w:val="center"/>
            </w:pPr>
            <w:r/>
            <w:r>
              <w:rPr>
                <w:rFonts w:ascii="Calibri" w:hAnsi="Calibri"/>
                <w:b w:val="0"/>
                <w:i w:val="0"/>
                <w:color w:val="000000"/>
                <w:sz w:val="12"/>
              </w:rPr>
              <w:t>30.71</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RF</w:t>
            </w:r>
          </w:p>
        </w:tc>
        <w:tc>
          <w:tcPr>
            <w:tcW w:type="dxa" w:w="1729"/>
            <w:vAlign w:val="center"/>
          </w:tcPr>
          <w:p>
            <w:pPr>
              <w:spacing w:after="0" w:line="240" w:lineRule="auto"/>
              <w:jc w:val="center"/>
            </w:pPr>
            <w:r/>
            <w:r>
              <w:rPr>
                <w:rFonts w:ascii="Calibri" w:hAnsi="Calibri"/>
                <w:b w:val="0"/>
                <w:i w:val="0"/>
                <w:color w:val="000000"/>
                <w:sz w:val="12"/>
              </w:rPr>
              <w:t>1.3033</w:t>
            </w:r>
          </w:p>
        </w:tc>
        <w:tc>
          <w:tcPr>
            <w:tcW w:type="dxa" w:w="1729"/>
            <w:vAlign w:val="center"/>
          </w:tcPr>
          <w:p>
            <w:pPr>
              <w:spacing w:after="0" w:line="240" w:lineRule="auto"/>
              <w:jc w:val="center"/>
            </w:pPr>
            <w:r/>
            <w:r>
              <w:rPr>
                <w:rFonts w:ascii="Calibri" w:hAnsi="Calibri"/>
                <w:b w:val="0"/>
                <w:i w:val="0"/>
                <w:color w:val="000000"/>
                <w:sz w:val="12"/>
              </w:rPr>
              <w:t>0.8864</w:t>
            </w:r>
          </w:p>
        </w:tc>
        <w:tc>
          <w:tcPr>
            <w:tcW w:type="dxa" w:w="1100"/>
            <w:vAlign w:val="center"/>
          </w:tcPr>
          <w:p>
            <w:pPr>
              <w:spacing w:after="0" w:line="240" w:lineRule="auto"/>
              <w:jc w:val="center"/>
            </w:pPr>
            <w:r/>
            <w:r>
              <w:rPr>
                <w:rFonts w:ascii="Calibri" w:hAnsi="Calibri"/>
                <w:b w:val="0"/>
                <w:i w:val="0"/>
                <w:color w:val="000000"/>
                <w:sz w:val="12"/>
              </w:rPr>
              <w:t>4.8704</w:t>
            </w:r>
          </w:p>
        </w:tc>
        <w:tc>
          <w:tcPr>
            <w:tcW w:type="dxa" w:w="1100"/>
            <w:vAlign w:val="center"/>
          </w:tcPr>
          <w:p>
            <w:pPr>
              <w:spacing w:after="0" w:line="240" w:lineRule="auto"/>
              <w:jc w:val="center"/>
            </w:pPr>
            <w:r/>
            <w:r>
              <w:rPr>
                <w:rFonts w:ascii="Calibri" w:hAnsi="Calibri"/>
                <w:b w:val="0"/>
                <w:i w:val="0"/>
                <w:color w:val="000000"/>
                <w:sz w:val="12"/>
              </w:rPr>
              <w:t>6.01</w:t>
            </w:r>
          </w:p>
        </w:tc>
        <w:tc>
          <w:tcPr>
            <w:tcW w:type="dxa" w:w="1100"/>
            <w:vAlign w:val="center"/>
          </w:tcPr>
          <w:p>
            <w:pPr>
              <w:spacing w:after="0" w:line="240" w:lineRule="auto"/>
              <w:jc w:val="center"/>
            </w:pPr>
            <w:r/>
            <w:r>
              <w:rPr>
                <w:rFonts w:ascii="Calibri" w:hAnsi="Calibri"/>
                <w:b w:val="0"/>
                <w:i w:val="0"/>
                <w:color w:val="000000"/>
                <w:sz w:val="12"/>
              </w:rPr>
              <w:t>5.76</w:t>
            </w:r>
          </w:p>
        </w:tc>
        <w:tc>
          <w:tcPr>
            <w:tcW w:type="dxa" w:w="3149"/>
            <w:vAlign w:val="center"/>
          </w:tcPr>
          <w:p>
            <w:pPr>
              <w:spacing w:after="0" w:line="240" w:lineRule="auto"/>
              <w:jc w:val="center"/>
            </w:pPr>
            <w:r/>
            <w:r>
              <w:rPr>
                <w:rFonts w:ascii="Calibri" w:hAnsi="Calibri"/>
                <w:b w:val="0"/>
                <w:i w:val="0"/>
                <w:color w:val="000000"/>
                <w:sz w:val="12"/>
              </w:rPr>
              <w:t>37.14</w:t>
            </w:r>
          </w:p>
        </w:tc>
      </w:tr>
      <w:tr>
        <w:tc>
          <w:tcPr>
            <w:tcW w:type="dxa" w:w="2673"/>
            <w:vAlign w:val="center"/>
          </w:tcPr>
          <w:p>
            <w:pPr>
              <w:spacing w:after="0" w:line="240" w:lineRule="auto"/>
              <w:jc w:val="left"/>
            </w:pPr>
            <w:r/>
            <w:r>
              <w:rPr>
                <w:rFonts w:ascii="Calibri" w:hAnsi="Calibri"/>
                <w:b w:val="0"/>
                <w:i w:val="0"/>
                <w:color w:val="000000"/>
                <w:sz w:val="12"/>
              </w:rPr>
              <w:t>lithium_hydroxide</w:t>
            </w:r>
          </w:p>
        </w:tc>
        <w:tc>
          <w:tcPr>
            <w:tcW w:type="dxa" w:w="1100"/>
            <w:vAlign w:val="center"/>
          </w:tcPr>
          <w:p>
            <w:pPr>
              <w:spacing w:after="0" w:line="240" w:lineRule="auto"/>
              <w:jc w:val="center"/>
            </w:pPr>
            <w:r/>
            <w:r>
              <w:rPr>
                <w:rFonts w:ascii="Calibri" w:hAnsi="Calibri"/>
                <w:b w:val="0"/>
                <w:i w:val="0"/>
                <w:color w:val="000000"/>
                <w:sz w:val="12"/>
              </w:rPr>
              <w:t>ES</w:t>
            </w:r>
          </w:p>
        </w:tc>
        <w:tc>
          <w:tcPr>
            <w:tcW w:type="dxa" w:w="1729"/>
            <w:vAlign w:val="center"/>
          </w:tcPr>
          <w:p>
            <w:pPr>
              <w:spacing w:after="0" w:line="240" w:lineRule="auto"/>
              <w:jc w:val="center"/>
            </w:pPr>
            <w:r/>
            <w:r>
              <w:rPr>
                <w:rFonts w:ascii="Calibri" w:hAnsi="Calibri"/>
                <w:b w:val="0"/>
                <w:i w:val="0"/>
                <w:color w:val="000000"/>
                <w:sz w:val="12"/>
              </w:rPr>
              <w:t>4.8948</w:t>
            </w:r>
          </w:p>
        </w:tc>
        <w:tc>
          <w:tcPr>
            <w:tcW w:type="dxa" w:w="1729"/>
            <w:vAlign w:val="center"/>
          </w:tcPr>
          <w:p>
            <w:pPr>
              <w:spacing w:after="0" w:line="240" w:lineRule="auto"/>
              <w:jc w:val="center"/>
            </w:pPr>
            <w:r/>
            <w:r>
              <w:rPr>
                <w:rFonts w:ascii="Calibri" w:hAnsi="Calibri"/>
                <w:b w:val="0"/>
                <w:i w:val="0"/>
                <w:color w:val="000000"/>
                <w:sz w:val="12"/>
              </w:rPr>
              <w:t>3.3720</w:t>
            </w:r>
          </w:p>
        </w:tc>
        <w:tc>
          <w:tcPr>
            <w:tcW w:type="dxa" w:w="1100"/>
            <w:vAlign w:val="center"/>
          </w:tcPr>
          <w:p>
            <w:pPr>
              <w:spacing w:after="0" w:line="240" w:lineRule="auto"/>
              <w:jc w:val="center"/>
            </w:pPr>
            <w:r/>
            <w:r>
              <w:rPr>
                <w:rFonts w:ascii="Calibri" w:hAnsi="Calibri"/>
                <w:b w:val="0"/>
                <w:i w:val="0"/>
                <w:color w:val="000000"/>
                <w:sz w:val="12"/>
              </w:rPr>
              <w:t>18.5273</w:t>
            </w:r>
          </w:p>
        </w:tc>
        <w:tc>
          <w:tcPr>
            <w:tcW w:type="dxa" w:w="1100"/>
            <w:vAlign w:val="center"/>
          </w:tcPr>
          <w:p>
            <w:pPr>
              <w:spacing w:after="0" w:line="240" w:lineRule="auto"/>
              <w:jc w:val="center"/>
            </w:pPr>
            <w:r/>
            <w:r>
              <w:rPr>
                <w:rFonts w:ascii="Calibri" w:hAnsi="Calibri"/>
                <w:b w:val="0"/>
                <w:i w:val="0"/>
                <w:color w:val="000000"/>
                <w:sz w:val="12"/>
              </w:rPr>
              <w:t>21.47</w:t>
            </w:r>
          </w:p>
        </w:tc>
        <w:tc>
          <w:tcPr>
            <w:tcW w:type="dxa" w:w="1100"/>
            <w:vAlign w:val="center"/>
          </w:tcPr>
          <w:p>
            <w:pPr>
              <w:spacing w:after="0" w:line="240" w:lineRule="auto"/>
              <w:jc w:val="center"/>
            </w:pPr>
            <w:r/>
            <w:r>
              <w:rPr>
                <w:rFonts w:ascii="Calibri" w:hAnsi="Calibri"/>
                <w:b w:val="0"/>
                <w:i w:val="0"/>
                <w:color w:val="000000"/>
                <w:sz w:val="12"/>
              </w:rPr>
              <w:t>26.45</w:t>
            </w:r>
          </w:p>
        </w:tc>
        <w:tc>
          <w:tcPr>
            <w:tcW w:type="dxa" w:w="3149"/>
            <w:vAlign w:val="center"/>
          </w:tcPr>
          <w:p>
            <w:pPr>
              <w:spacing w:after="0" w:line="240" w:lineRule="auto"/>
              <w:jc w:val="center"/>
            </w:pPr>
            <w:r/>
            <w:r>
              <w:rPr>
                <w:rFonts w:ascii="Calibri" w:hAnsi="Calibri"/>
                <w:b w:val="0"/>
                <w:i w:val="0"/>
                <w:color w:val="000000"/>
                <w:sz w:val="12"/>
              </w:rPr>
              <w:t>35.00</w:t>
            </w:r>
          </w:p>
        </w:tc>
      </w:tr>
    </w:tbl>
    <w:p>
      <w:pPr>
        <w:spacing w:after="60"/>
      </w:pPr>
    </w:p>
    <w:p>
      <w:pPr>
        <w:pStyle w:val="Heading3"/>
      </w:pPr>
      <w:r>
        <w:t>Interpretation of Table 7</w:t>
      </w:r>
    </w:p>
    <w:p>
      <w:pPr>
        <w:spacing w:after="160" w:line="320" w:lineRule="auto"/>
        <w:jc w:val="both"/>
      </w:pPr>
      <w:r>
        <w:rPr>
          <w:rFonts w:ascii="Calibri" w:hAnsi="Calibri"/>
          <w:b/>
          <w:i w:val="0"/>
          <w:color w:val="000000"/>
          <w:sz w:val="22"/>
        </w:rPr>
        <w:t>Carbonate result:</w:t>
      </w:r>
      <w:r>
        <w:rPr>
          <w:rFonts w:ascii="Calibri" w:hAnsi="Calibri"/>
          <w:b w:val="0"/>
          <w:i w:val="0"/>
          <w:color w:val="000000"/>
          <w:sz w:val="22"/>
        </w:rPr>
        <w:t xml:space="preserve"> ARIMA is the strongest single model for carbonate by RMSE (3,612.20), MAE (1,827.04), MASE (0.9132), and MAPE (1.43%). RF has the highest directional accuracy (72.59%) but a materially worse RMSE of 5,380.32, showing that direction and price-level accuracy answer different questions.</w:t>
      </w:r>
    </w:p>
    <w:p>
      <w:pPr>
        <w:spacing w:after="160" w:line="320" w:lineRule="auto"/>
        <w:jc w:val="both"/>
      </w:pPr>
      <w:r>
        <w:rPr>
          <w:rFonts w:ascii="Calibri" w:hAnsi="Calibri"/>
          <w:b/>
          <w:i w:val="0"/>
          <w:color w:val="000000"/>
          <w:sz w:val="22"/>
        </w:rPr>
        <w:t>Hydroxide result:</w:t>
      </w:r>
      <w:r>
        <w:rPr>
          <w:rFonts w:ascii="Calibri" w:hAnsi="Calibri"/>
          <w:b w:val="0"/>
          <w:i w:val="0"/>
          <w:color w:val="000000"/>
          <w:sz w:val="22"/>
        </w:rPr>
        <w:t xml:space="preserve"> ARIMA again has the lowest single-model RMSE (0.6437) and MAE (0.2395), but its directional accuracy is only 29.29%. SVR raises directional accuracy to 38.57% while worsening RMSE to 0.7060. A model can track the price level yet fail to identify small one-day changes around a persistent series.</w:t>
      </w:r>
    </w:p>
    <w:p>
      <w:pPr>
        <w:spacing w:after="160" w:line="320" w:lineRule="auto"/>
        <w:jc w:val="both"/>
      </w:pPr>
      <w:r>
        <w:rPr>
          <w:rFonts w:ascii="Calibri" w:hAnsi="Calibri"/>
          <w:b/>
          <w:i w:val="0"/>
          <w:color w:val="000000"/>
          <w:sz w:val="22"/>
        </w:rPr>
        <w:t>Benchmark lesson:</w:t>
      </w:r>
      <w:r>
        <w:rPr>
          <w:rFonts w:ascii="Calibri" w:hAnsi="Calibri"/>
          <w:b w:val="0"/>
          <w:i w:val="0"/>
          <w:color w:val="000000"/>
          <w:sz w:val="22"/>
        </w:rPr>
        <w:t xml:space="preserve"> ES performs especially poorly after structural shifts, while MLP, ELM, and LSTM do not automatically benefit from greater nonlinearity in this short sample. Table 7 therefore establishes a demanding statistical baseline: complexity is valuable only when decomposition or information selection converts it into lower loss.</w:t>
      </w:r>
    </w:p>
    <w:p>
      <w:pPr>
        <w:keepNext/>
        <w:spacing w:before="100" w:after="80"/>
      </w:pPr>
      <w:r>
        <w:rPr>
          <w:rFonts w:ascii="Calibri" w:hAnsi="Calibri"/>
          <w:b/>
          <w:i w:val="0"/>
          <w:color w:val="1F4D78"/>
          <w:sz w:val="18"/>
        </w:rPr>
        <w:t xml:space="preserve">Table 8. </w:t>
      </w:r>
      <w:r>
        <w:rPr>
          <w:rFonts w:ascii="Calibri" w:hAnsi="Calibri"/>
          <w:b w:val="0"/>
          <w:i/>
          <w:color w:val="000000"/>
          <w:sz w:val="18"/>
        </w:rPr>
        <w:t>Forecasting errors on the testing sets for decomposition models.</w:t>
      </w:r>
    </w:p>
    <w:tbl>
      <w:tblPr>
        <w:tblStyle w:val="TableGrid"/>
        <w:tblW w:type="dxa" w:w="13680"/>
        <w:jc w:val="left"/>
        <w:tblLayout w:type="fixed"/>
        <w:tblLook w:firstColumn="1" w:firstRow="1" w:lastColumn="0" w:lastRow="0" w:noHBand="0" w:noVBand="1" w:val="04A0"/>
      </w:tblPr>
      <w:tblGrid>
        <w:gridCol w:w="2214"/>
        <w:gridCol w:w="3778"/>
        <w:gridCol w:w="1172"/>
        <w:gridCol w:w="1172"/>
        <w:gridCol w:w="912"/>
        <w:gridCol w:w="912"/>
        <w:gridCol w:w="912"/>
        <w:gridCol w:w="2608"/>
      </w:tblGrid>
      <w:tr>
        <w:trPr>
          <w:tblHeader w:val="true"/>
        </w:trPr>
        <w:tc>
          <w:tcPr>
            <w:tcW w:type="dxa" w:w="2214"/>
            <w:shd w:fill="F4F6F9"/>
            <w:vAlign w:val="center"/>
          </w:tcPr>
          <w:p>
            <w:pPr>
              <w:jc w:val="center"/>
            </w:pPr>
            <w:r/>
            <w:r>
              <w:rPr>
                <w:rFonts w:ascii="Calibri" w:hAnsi="Calibri"/>
                <w:b/>
                <w:i w:val="0"/>
                <w:color w:val="0B2545"/>
                <w:sz w:val="12"/>
              </w:rPr>
              <w:t>Target</w:t>
            </w:r>
          </w:p>
        </w:tc>
        <w:tc>
          <w:tcPr>
            <w:tcW w:type="dxa" w:w="3778"/>
            <w:shd w:fill="F4F6F9"/>
            <w:vAlign w:val="center"/>
          </w:tcPr>
          <w:p>
            <w:pPr>
              <w:jc w:val="center"/>
            </w:pPr>
            <w:r/>
            <w:r>
              <w:rPr>
                <w:rFonts w:ascii="Calibri" w:hAnsi="Calibri"/>
                <w:b/>
                <w:i w:val="0"/>
                <w:color w:val="0B2545"/>
                <w:sz w:val="12"/>
              </w:rPr>
              <w:t>Model</w:t>
            </w:r>
          </w:p>
        </w:tc>
        <w:tc>
          <w:tcPr>
            <w:tcW w:type="dxa" w:w="1172"/>
            <w:shd w:fill="F4F6F9"/>
            <w:vAlign w:val="center"/>
          </w:tcPr>
          <w:p>
            <w:pPr>
              <w:jc w:val="center"/>
            </w:pPr>
            <w:r/>
            <w:r>
              <w:rPr>
                <w:rFonts w:ascii="Calibri" w:hAnsi="Calibri"/>
                <w:b/>
                <w:i w:val="0"/>
                <w:color w:val="0B2545"/>
                <w:sz w:val="12"/>
              </w:rPr>
              <w:t>RMSE</w:t>
            </w:r>
          </w:p>
        </w:tc>
        <w:tc>
          <w:tcPr>
            <w:tcW w:type="dxa" w:w="1172"/>
            <w:shd w:fill="F4F6F9"/>
            <w:vAlign w:val="center"/>
          </w:tcPr>
          <w:p>
            <w:pPr>
              <w:jc w:val="center"/>
            </w:pPr>
            <w:r/>
            <w:r>
              <w:rPr>
                <w:rFonts w:ascii="Calibri" w:hAnsi="Calibri"/>
                <w:b/>
                <w:i w:val="0"/>
                <w:color w:val="0B2545"/>
                <w:sz w:val="12"/>
              </w:rPr>
              <w:t>MAE</w:t>
            </w:r>
          </w:p>
        </w:tc>
        <w:tc>
          <w:tcPr>
            <w:tcW w:type="dxa" w:w="912"/>
            <w:shd w:fill="F4F6F9"/>
            <w:vAlign w:val="center"/>
          </w:tcPr>
          <w:p>
            <w:pPr>
              <w:jc w:val="center"/>
            </w:pPr>
            <w:r/>
            <w:r>
              <w:rPr>
                <w:rFonts w:ascii="Calibri" w:hAnsi="Calibri"/>
                <w:b/>
                <w:i w:val="0"/>
                <w:color w:val="0B2545"/>
                <w:sz w:val="12"/>
              </w:rPr>
              <w:t>MASE</w:t>
            </w:r>
          </w:p>
        </w:tc>
        <w:tc>
          <w:tcPr>
            <w:tcW w:type="dxa" w:w="912"/>
            <w:shd w:fill="F4F6F9"/>
            <w:vAlign w:val="center"/>
          </w:tcPr>
          <w:p>
            <w:pPr>
              <w:jc w:val="center"/>
            </w:pPr>
            <w:r/>
            <w:r>
              <w:rPr>
                <w:rFonts w:ascii="Calibri" w:hAnsi="Calibri"/>
                <w:b/>
                <w:i w:val="0"/>
                <w:color w:val="0B2545"/>
                <w:sz w:val="12"/>
              </w:rPr>
              <w:t>MAPE</w:t>
            </w:r>
          </w:p>
        </w:tc>
        <w:tc>
          <w:tcPr>
            <w:tcW w:type="dxa" w:w="912"/>
            <w:shd w:fill="F4F6F9"/>
            <w:vAlign w:val="center"/>
          </w:tcPr>
          <w:p>
            <w:pPr>
              <w:jc w:val="center"/>
            </w:pPr>
            <w:r/>
            <w:r>
              <w:rPr>
                <w:rFonts w:ascii="Calibri" w:hAnsi="Calibri"/>
                <w:b/>
                <w:i w:val="0"/>
                <w:color w:val="0B2545"/>
                <w:sz w:val="12"/>
              </w:rPr>
              <w:t>sMAPE</w:t>
            </w:r>
          </w:p>
        </w:tc>
        <w:tc>
          <w:tcPr>
            <w:tcW w:type="dxa" w:w="2608"/>
            <w:shd w:fill="F4F6F9"/>
            <w:vAlign w:val="center"/>
          </w:tcPr>
          <w:p>
            <w:pPr>
              <w:jc w:val="center"/>
            </w:pPr>
            <w:r/>
            <w:r>
              <w:rPr>
                <w:rFonts w:ascii="Calibri" w:hAnsi="Calibri"/>
                <w:b/>
                <w:i w:val="0"/>
                <w:color w:val="0B2545"/>
                <w:sz w:val="12"/>
              </w:rPr>
              <w:t>Directional Accuracy</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3385.6721</w:t>
            </w:r>
          </w:p>
        </w:tc>
        <w:tc>
          <w:tcPr>
            <w:tcW w:type="dxa" w:w="1172"/>
            <w:vAlign w:val="center"/>
          </w:tcPr>
          <w:p>
            <w:pPr>
              <w:spacing w:after="0" w:line="240" w:lineRule="auto"/>
              <w:jc w:val="center"/>
            </w:pPr>
            <w:r/>
            <w:r>
              <w:rPr>
                <w:rFonts w:ascii="Calibri" w:hAnsi="Calibri"/>
                <w:b w:val="0"/>
                <w:i w:val="0"/>
                <w:color w:val="000000"/>
                <w:sz w:val="12"/>
              </w:rPr>
              <w:t>2193.4135</w:t>
            </w:r>
          </w:p>
        </w:tc>
        <w:tc>
          <w:tcPr>
            <w:tcW w:type="dxa" w:w="912"/>
            <w:vAlign w:val="center"/>
          </w:tcPr>
          <w:p>
            <w:pPr>
              <w:spacing w:after="0" w:line="240" w:lineRule="auto"/>
              <w:jc w:val="center"/>
            </w:pPr>
            <w:r/>
            <w:r>
              <w:rPr>
                <w:rFonts w:ascii="Calibri" w:hAnsi="Calibri"/>
                <w:b w:val="0"/>
                <w:i w:val="0"/>
                <w:color w:val="000000"/>
                <w:sz w:val="12"/>
              </w:rPr>
              <w:t>1.0963</w:t>
            </w:r>
          </w:p>
        </w:tc>
        <w:tc>
          <w:tcPr>
            <w:tcW w:type="dxa" w:w="912"/>
            <w:vAlign w:val="center"/>
          </w:tcPr>
          <w:p>
            <w:pPr>
              <w:spacing w:after="0" w:line="240" w:lineRule="auto"/>
              <w:jc w:val="center"/>
            </w:pPr>
            <w:r/>
            <w:r>
              <w:rPr>
                <w:rFonts w:ascii="Calibri" w:hAnsi="Calibri"/>
                <w:b w:val="0"/>
                <w:i w:val="0"/>
                <w:color w:val="000000"/>
                <w:sz w:val="12"/>
              </w:rPr>
              <w:t>1.89</w:t>
            </w:r>
          </w:p>
        </w:tc>
        <w:tc>
          <w:tcPr>
            <w:tcW w:type="dxa" w:w="912"/>
            <w:vAlign w:val="center"/>
          </w:tcPr>
          <w:p>
            <w:pPr>
              <w:spacing w:after="0" w:line="240" w:lineRule="auto"/>
              <w:jc w:val="center"/>
            </w:pPr>
            <w:r/>
            <w:r>
              <w:rPr>
                <w:rFonts w:ascii="Calibri" w:hAnsi="Calibri"/>
                <w:b w:val="0"/>
                <w:i w:val="0"/>
                <w:color w:val="000000"/>
                <w:sz w:val="12"/>
              </w:rPr>
              <w:t>1.89</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3623.5469</w:t>
            </w:r>
          </w:p>
        </w:tc>
        <w:tc>
          <w:tcPr>
            <w:tcW w:type="dxa" w:w="1172"/>
            <w:vAlign w:val="center"/>
          </w:tcPr>
          <w:p>
            <w:pPr>
              <w:spacing w:after="0" w:line="240" w:lineRule="auto"/>
              <w:jc w:val="center"/>
            </w:pPr>
            <w:r/>
            <w:r>
              <w:rPr>
                <w:rFonts w:ascii="Calibri" w:hAnsi="Calibri"/>
                <w:b w:val="0"/>
                <w:i w:val="0"/>
                <w:color w:val="000000"/>
                <w:sz w:val="12"/>
              </w:rPr>
              <w:t>1436.9183</w:t>
            </w:r>
          </w:p>
        </w:tc>
        <w:tc>
          <w:tcPr>
            <w:tcW w:type="dxa" w:w="912"/>
            <w:vAlign w:val="center"/>
          </w:tcPr>
          <w:p>
            <w:pPr>
              <w:spacing w:after="0" w:line="240" w:lineRule="auto"/>
              <w:jc w:val="center"/>
            </w:pPr>
            <w:r/>
            <w:r>
              <w:rPr>
                <w:rFonts w:ascii="Calibri" w:hAnsi="Calibri"/>
                <w:b w:val="0"/>
                <w:i w:val="0"/>
                <w:color w:val="000000"/>
                <w:sz w:val="12"/>
              </w:rPr>
              <w:t>0.7182</w:t>
            </w:r>
          </w:p>
        </w:tc>
        <w:tc>
          <w:tcPr>
            <w:tcW w:type="dxa" w:w="912"/>
            <w:vAlign w:val="center"/>
          </w:tcPr>
          <w:p>
            <w:pPr>
              <w:spacing w:after="0" w:line="240" w:lineRule="auto"/>
              <w:jc w:val="center"/>
            </w:pPr>
            <w:r/>
            <w:r>
              <w:rPr>
                <w:rFonts w:ascii="Calibri" w:hAnsi="Calibri"/>
                <w:b w:val="0"/>
                <w:i w:val="0"/>
                <w:color w:val="000000"/>
                <w:sz w:val="12"/>
              </w:rPr>
              <w:t>1.12</w:t>
            </w:r>
          </w:p>
        </w:tc>
        <w:tc>
          <w:tcPr>
            <w:tcW w:type="dxa" w:w="912"/>
            <w:vAlign w:val="center"/>
          </w:tcPr>
          <w:p>
            <w:pPr>
              <w:spacing w:after="0" w:line="240" w:lineRule="auto"/>
              <w:jc w:val="center"/>
            </w:pPr>
            <w:r/>
            <w:r>
              <w:rPr>
                <w:rFonts w:ascii="Calibri" w:hAnsi="Calibri"/>
                <w:b w:val="0"/>
                <w:i w:val="0"/>
                <w:color w:val="000000"/>
                <w:sz w:val="12"/>
              </w:rPr>
              <w:t>1.16</w:t>
            </w:r>
          </w:p>
        </w:tc>
        <w:tc>
          <w:tcPr>
            <w:tcW w:type="dxa" w:w="2608"/>
            <w:vAlign w:val="center"/>
          </w:tcPr>
          <w:p>
            <w:pPr>
              <w:spacing w:after="0" w:line="240" w:lineRule="auto"/>
              <w:jc w:val="center"/>
            </w:pPr>
            <w:r/>
            <w:r>
              <w:rPr>
                <w:rFonts w:ascii="Calibri" w:hAnsi="Calibri"/>
                <w:b w:val="0"/>
                <w:i w:val="0"/>
                <w:color w:val="000000"/>
                <w:sz w:val="12"/>
              </w:rPr>
              <w:t>77.04</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3672.3030</w:t>
            </w:r>
          </w:p>
        </w:tc>
        <w:tc>
          <w:tcPr>
            <w:tcW w:type="dxa" w:w="1172"/>
            <w:vAlign w:val="center"/>
          </w:tcPr>
          <w:p>
            <w:pPr>
              <w:spacing w:after="0" w:line="240" w:lineRule="auto"/>
              <w:jc w:val="center"/>
            </w:pPr>
            <w:r/>
            <w:r>
              <w:rPr>
                <w:rFonts w:ascii="Calibri" w:hAnsi="Calibri"/>
                <w:b w:val="0"/>
                <w:i w:val="0"/>
                <w:color w:val="000000"/>
                <w:sz w:val="12"/>
              </w:rPr>
              <w:t>2086.1666</w:t>
            </w:r>
          </w:p>
        </w:tc>
        <w:tc>
          <w:tcPr>
            <w:tcW w:type="dxa" w:w="912"/>
            <w:vAlign w:val="center"/>
          </w:tcPr>
          <w:p>
            <w:pPr>
              <w:spacing w:after="0" w:line="240" w:lineRule="auto"/>
              <w:jc w:val="center"/>
            </w:pPr>
            <w:r/>
            <w:r>
              <w:rPr>
                <w:rFonts w:ascii="Calibri" w:hAnsi="Calibri"/>
                <w:b w:val="0"/>
                <w:i w:val="0"/>
                <w:color w:val="000000"/>
                <w:sz w:val="12"/>
              </w:rPr>
              <w:t>1.0427</w:t>
            </w:r>
          </w:p>
        </w:tc>
        <w:tc>
          <w:tcPr>
            <w:tcW w:type="dxa" w:w="912"/>
            <w:vAlign w:val="center"/>
          </w:tcPr>
          <w:p>
            <w:pPr>
              <w:spacing w:after="0" w:line="240" w:lineRule="auto"/>
              <w:jc w:val="center"/>
            </w:pPr>
            <w:r/>
            <w:r>
              <w:rPr>
                <w:rFonts w:ascii="Calibri" w:hAnsi="Calibri"/>
                <w:b w:val="0"/>
                <w:i w:val="0"/>
                <w:color w:val="000000"/>
                <w:sz w:val="12"/>
              </w:rPr>
              <w:t>1.84</w:t>
            </w:r>
          </w:p>
        </w:tc>
        <w:tc>
          <w:tcPr>
            <w:tcW w:type="dxa" w:w="912"/>
            <w:vAlign w:val="center"/>
          </w:tcPr>
          <w:p>
            <w:pPr>
              <w:spacing w:after="0" w:line="240" w:lineRule="auto"/>
              <w:jc w:val="center"/>
            </w:pPr>
            <w:r/>
            <w:r>
              <w:rPr>
                <w:rFonts w:ascii="Calibri" w:hAnsi="Calibri"/>
                <w:b w:val="0"/>
                <w:i w:val="0"/>
                <w:color w:val="000000"/>
                <w:sz w:val="12"/>
              </w:rPr>
              <w:t>1.87</w:t>
            </w:r>
          </w:p>
        </w:tc>
        <w:tc>
          <w:tcPr>
            <w:tcW w:type="dxa" w:w="2608"/>
            <w:vAlign w:val="center"/>
          </w:tcPr>
          <w:p>
            <w:pPr>
              <w:spacing w:after="0" w:line="240" w:lineRule="auto"/>
              <w:jc w:val="center"/>
            </w:pPr>
            <w:r/>
            <w:r>
              <w:rPr>
                <w:rFonts w:ascii="Calibri" w:hAnsi="Calibri"/>
                <w:b w:val="0"/>
                <w:i w:val="0"/>
                <w:color w:val="000000"/>
                <w:sz w:val="12"/>
              </w:rPr>
              <w:t>76.30</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5592.2187</w:t>
            </w:r>
          </w:p>
        </w:tc>
        <w:tc>
          <w:tcPr>
            <w:tcW w:type="dxa" w:w="1172"/>
            <w:vAlign w:val="center"/>
          </w:tcPr>
          <w:p>
            <w:pPr>
              <w:spacing w:after="0" w:line="240" w:lineRule="auto"/>
              <w:jc w:val="center"/>
            </w:pPr>
            <w:r/>
            <w:r>
              <w:rPr>
                <w:rFonts w:ascii="Calibri" w:hAnsi="Calibri"/>
                <w:b w:val="0"/>
                <w:i w:val="0"/>
                <w:color w:val="000000"/>
                <w:sz w:val="12"/>
              </w:rPr>
              <w:t>3718.5097</w:t>
            </w:r>
          </w:p>
        </w:tc>
        <w:tc>
          <w:tcPr>
            <w:tcW w:type="dxa" w:w="912"/>
            <w:vAlign w:val="center"/>
          </w:tcPr>
          <w:p>
            <w:pPr>
              <w:spacing w:after="0" w:line="240" w:lineRule="auto"/>
              <w:jc w:val="center"/>
            </w:pPr>
            <w:r/>
            <w:r>
              <w:rPr>
                <w:rFonts w:ascii="Calibri" w:hAnsi="Calibri"/>
                <w:b w:val="0"/>
                <w:i w:val="0"/>
                <w:color w:val="000000"/>
                <w:sz w:val="12"/>
              </w:rPr>
              <w:t>1.8586</w:t>
            </w:r>
          </w:p>
        </w:tc>
        <w:tc>
          <w:tcPr>
            <w:tcW w:type="dxa" w:w="912"/>
            <w:vAlign w:val="center"/>
          </w:tcPr>
          <w:p>
            <w:pPr>
              <w:spacing w:after="0" w:line="240" w:lineRule="auto"/>
              <w:jc w:val="center"/>
            </w:pPr>
            <w:r/>
            <w:r>
              <w:rPr>
                <w:rFonts w:ascii="Calibri" w:hAnsi="Calibri"/>
                <w:b w:val="0"/>
                <w:i w:val="0"/>
                <w:color w:val="000000"/>
                <w:sz w:val="12"/>
              </w:rPr>
              <w:t>3.01</w:t>
            </w:r>
          </w:p>
        </w:tc>
        <w:tc>
          <w:tcPr>
            <w:tcW w:type="dxa" w:w="912"/>
            <w:vAlign w:val="center"/>
          </w:tcPr>
          <w:p>
            <w:pPr>
              <w:spacing w:after="0" w:line="240" w:lineRule="auto"/>
              <w:jc w:val="center"/>
            </w:pPr>
            <w:r/>
            <w:r>
              <w:rPr>
                <w:rFonts w:ascii="Calibri" w:hAnsi="Calibri"/>
                <w:b w:val="0"/>
                <w:i w:val="0"/>
                <w:color w:val="000000"/>
                <w:sz w:val="12"/>
              </w:rPr>
              <w:t>3.06</w:t>
            </w:r>
          </w:p>
        </w:tc>
        <w:tc>
          <w:tcPr>
            <w:tcW w:type="dxa" w:w="2608"/>
            <w:vAlign w:val="center"/>
          </w:tcPr>
          <w:p>
            <w:pPr>
              <w:spacing w:after="0" w:line="240" w:lineRule="auto"/>
              <w:jc w:val="center"/>
            </w:pPr>
            <w:r/>
            <w:r>
              <w:rPr>
                <w:rFonts w:ascii="Calibri" w:hAnsi="Calibri"/>
                <w:b w:val="0"/>
                <w:i w:val="0"/>
                <w:color w:val="000000"/>
                <w:sz w:val="12"/>
              </w:rPr>
              <w:t>74.81</w:t>
            </w:r>
          </w:p>
        </w:tc>
      </w:tr>
      <w:tr>
        <w:tc>
          <w:tcPr>
            <w:tcW w:type="dxa" w:w="2214"/>
            <w:vAlign w:val="center"/>
          </w:tcPr>
          <w:p>
            <w:pPr>
              <w:spacing w:after="0" w:line="240" w:lineRule="auto"/>
              <w:jc w:val="left"/>
            </w:pPr>
            <w:r/>
            <w:r>
              <w:rPr>
                <w:rFonts w:ascii="Calibri" w:hAnsi="Calibri"/>
                <w:b w:val="0"/>
                <w:i w:val="0"/>
                <w:color w:val="000000"/>
                <w:sz w:val="12"/>
              </w:rPr>
              <w:t>lithium_carbonate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8886.6128</w:t>
            </w:r>
          </w:p>
        </w:tc>
        <w:tc>
          <w:tcPr>
            <w:tcW w:type="dxa" w:w="1172"/>
            <w:vAlign w:val="center"/>
          </w:tcPr>
          <w:p>
            <w:pPr>
              <w:spacing w:after="0" w:line="240" w:lineRule="auto"/>
              <w:jc w:val="center"/>
            </w:pPr>
            <w:r/>
            <w:r>
              <w:rPr>
                <w:rFonts w:ascii="Calibri" w:hAnsi="Calibri"/>
                <w:b w:val="0"/>
                <w:i w:val="0"/>
                <w:color w:val="000000"/>
                <w:sz w:val="12"/>
              </w:rPr>
              <w:t>7428.7803</w:t>
            </w:r>
          </w:p>
        </w:tc>
        <w:tc>
          <w:tcPr>
            <w:tcW w:type="dxa" w:w="912"/>
            <w:vAlign w:val="center"/>
          </w:tcPr>
          <w:p>
            <w:pPr>
              <w:spacing w:after="0" w:line="240" w:lineRule="auto"/>
              <w:jc w:val="center"/>
            </w:pPr>
            <w:r/>
            <w:r>
              <w:rPr>
                <w:rFonts w:ascii="Calibri" w:hAnsi="Calibri"/>
                <w:b w:val="0"/>
                <w:i w:val="0"/>
                <w:color w:val="000000"/>
                <w:sz w:val="12"/>
              </w:rPr>
              <w:t>3.7130</w:t>
            </w:r>
          </w:p>
        </w:tc>
        <w:tc>
          <w:tcPr>
            <w:tcW w:type="dxa" w:w="912"/>
            <w:vAlign w:val="center"/>
          </w:tcPr>
          <w:p>
            <w:pPr>
              <w:spacing w:after="0" w:line="240" w:lineRule="auto"/>
              <w:jc w:val="center"/>
            </w:pPr>
            <w:r/>
            <w:r>
              <w:rPr>
                <w:rFonts w:ascii="Calibri" w:hAnsi="Calibri"/>
                <w:b w:val="0"/>
                <w:i w:val="0"/>
                <w:color w:val="000000"/>
                <w:sz w:val="12"/>
              </w:rPr>
              <w:t>7.36</w:t>
            </w:r>
          </w:p>
        </w:tc>
        <w:tc>
          <w:tcPr>
            <w:tcW w:type="dxa" w:w="912"/>
            <w:vAlign w:val="center"/>
          </w:tcPr>
          <w:p>
            <w:pPr>
              <w:spacing w:after="0" w:line="240" w:lineRule="auto"/>
              <w:jc w:val="center"/>
            </w:pPr>
            <w:r/>
            <w:r>
              <w:rPr>
                <w:rFonts w:ascii="Calibri" w:hAnsi="Calibri"/>
                <w:b w:val="0"/>
                <w:i w:val="0"/>
                <w:color w:val="000000"/>
                <w:sz w:val="12"/>
              </w:rPr>
              <w:t>7.36</w:t>
            </w:r>
          </w:p>
        </w:tc>
        <w:tc>
          <w:tcPr>
            <w:tcW w:type="dxa" w:w="2608"/>
            <w:vAlign w:val="center"/>
          </w:tcPr>
          <w:p>
            <w:pPr>
              <w:spacing w:after="0" w:line="240" w:lineRule="auto"/>
              <w:jc w:val="center"/>
            </w:pPr>
            <w:r/>
            <w:r>
              <w:rPr>
                <w:rFonts w:ascii="Calibri" w:hAnsi="Calibri"/>
                <w:b w:val="0"/>
                <w:i w:val="0"/>
                <w:color w:val="000000"/>
                <w:sz w:val="12"/>
              </w:rPr>
              <w:t>68.89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CEEMDAN-ARIMA</w:t>
            </w:r>
          </w:p>
        </w:tc>
        <w:tc>
          <w:tcPr>
            <w:tcW w:type="dxa" w:w="1172"/>
            <w:vAlign w:val="center"/>
          </w:tcPr>
          <w:p>
            <w:pPr>
              <w:spacing w:after="0" w:line="240" w:lineRule="auto"/>
              <w:jc w:val="center"/>
            </w:pPr>
            <w:r/>
            <w:r>
              <w:rPr>
                <w:rFonts w:ascii="Calibri" w:hAnsi="Calibri"/>
                <w:b w:val="0"/>
                <w:i w:val="0"/>
                <w:color w:val="000000"/>
                <w:sz w:val="12"/>
              </w:rPr>
              <w:t>0.4467</w:t>
            </w:r>
          </w:p>
        </w:tc>
        <w:tc>
          <w:tcPr>
            <w:tcW w:type="dxa" w:w="1172"/>
            <w:vAlign w:val="center"/>
          </w:tcPr>
          <w:p>
            <w:pPr>
              <w:spacing w:after="0" w:line="240" w:lineRule="auto"/>
              <w:jc w:val="center"/>
            </w:pPr>
            <w:r/>
            <w:r>
              <w:rPr>
                <w:rFonts w:ascii="Calibri" w:hAnsi="Calibri"/>
                <w:b w:val="0"/>
                <w:i w:val="0"/>
                <w:color w:val="000000"/>
                <w:sz w:val="12"/>
              </w:rPr>
              <w:t>0.1994</w:t>
            </w:r>
          </w:p>
        </w:tc>
        <w:tc>
          <w:tcPr>
            <w:tcW w:type="dxa" w:w="912"/>
            <w:vAlign w:val="center"/>
          </w:tcPr>
          <w:p>
            <w:pPr>
              <w:spacing w:after="0" w:line="240" w:lineRule="auto"/>
              <w:jc w:val="center"/>
            </w:pPr>
            <w:r/>
            <w:r>
              <w:rPr>
                <w:rFonts w:ascii="Calibri" w:hAnsi="Calibri"/>
                <w:b w:val="0"/>
                <w:i w:val="0"/>
                <w:color w:val="000000"/>
                <w:sz w:val="12"/>
              </w:rPr>
              <w:t>1.0955</w:t>
            </w:r>
          </w:p>
        </w:tc>
        <w:tc>
          <w:tcPr>
            <w:tcW w:type="dxa" w:w="912"/>
            <w:vAlign w:val="center"/>
          </w:tcPr>
          <w:p>
            <w:pPr>
              <w:spacing w:after="0" w:line="240" w:lineRule="auto"/>
              <w:jc w:val="center"/>
            </w:pPr>
            <w:r/>
            <w:r>
              <w:rPr>
                <w:rFonts w:ascii="Calibri" w:hAnsi="Calibri"/>
                <w:b w:val="0"/>
                <w:i w:val="0"/>
                <w:color w:val="000000"/>
                <w:sz w:val="12"/>
              </w:rPr>
              <w:t>1.54</w:t>
            </w:r>
          </w:p>
        </w:tc>
        <w:tc>
          <w:tcPr>
            <w:tcW w:type="dxa" w:w="912"/>
            <w:vAlign w:val="center"/>
          </w:tcPr>
          <w:p>
            <w:pPr>
              <w:spacing w:after="0" w:line="240" w:lineRule="auto"/>
              <w:jc w:val="center"/>
            </w:pPr>
            <w:r/>
            <w:r>
              <w:rPr>
                <w:rFonts w:ascii="Calibri" w:hAnsi="Calibri"/>
                <w:b w:val="0"/>
                <w:i w:val="0"/>
                <w:color w:val="000000"/>
                <w:sz w:val="12"/>
              </w:rPr>
              <w:t>1.66</w:t>
            </w:r>
          </w:p>
        </w:tc>
        <w:tc>
          <w:tcPr>
            <w:tcW w:type="dxa" w:w="2608"/>
            <w:vAlign w:val="center"/>
          </w:tcPr>
          <w:p>
            <w:pPr>
              <w:spacing w:after="0" w:line="240" w:lineRule="auto"/>
              <w:jc w:val="center"/>
            </w:pPr>
            <w:r/>
            <w:r>
              <w:rPr>
                <w:rFonts w:ascii="Calibri" w:hAnsi="Calibri"/>
                <w:b w:val="0"/>
                <w:i w:val="0"/>
                <w:color w:val="000000"/>
                <w:sz w:val="12"/>
              </w:rPr>
              <w:t>37.86</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VMD-ARIMA</w:t>
            </w:r>
          </w:p>
        </w:tc>
        <w:tc>
          <w:tcPr>
            <w:tcW w:type="dxa" w:w="1172"/>
            <w:vAlign w:val="center"/>
          </w:tcPr>
          <w:p>
            <w:pPr>
              <w:spacing w:after="0" w:line="240" w:lineRule="auto"/>
              <w:jc w:val="center"/>
            </w:pPr>
            <w:r/>
            <w:r>
              <w:rPr>
                <w:rFonts w:ascii="Calibri" w:hAnsi="Calibri"/>
                <w:b w:val="0"/>
                <w:i w:val="0"/>
                <w:color w:val="000000"/>
                <w:sz w:val="12"/>
              </w:rPr>
              <w:t>0.4731</w:t>
            </w:r>
          </w:p>
        </w:tc>
        <w:tc>
          <w:tcPr>
            <w:tcW w:type="dxa" w:w="1172"/>
            <w:vAlign w:val="center"/>
          </w:tcPr>
          <w:p>
            <w:pPr>
              <w:spacing w:after="0" w:line="240" w:lineRule="auto"/>
              <w:jc w:val="center"/>
            </w:pPr>
            <w:r/>
            <w:r>
              <w:rPr>
                <w:rFonts w:ascii="Calibri" w:hAnsi="Calibri"/>
                <w:b w:val="0"/>
                <w:i w:val="0"/>
                <w:color w:val="000000"/>
                <w:sz w:val="12"/>
              </w:rPr>
              <w:t>0.2450</w:t>
            </w:r>
          </w:p>
        </w:tc>
        <w:tc>
          <w:tcPr>
            <w:tcW w:type="dxa" w:w="912"/>
            <w:vAlign w:val="center"/>
          </w:tcPr>
          <w:p>
            <w:pPr>
              <w:spacing w:after="0" w:line="240" w:lineRule="auto"/>
              <w:jc w:val="center"/>
            </w:pPr>
            <w:r/>
            <w:r>
              <w:rPr>
                <w:rFonts w:ascii="Calibri" w:hAnsi="Calibri"/>
                <w:b w:val="0"/>
                <w:i w:val="0"/>
                <w:color w:val="000000"/>
                <w:sz w:val="12"/>
              </w:rPr>
              <w:t>1.3463</w:t>
            </w:r>
          </w:p>
        </w:tc>
        <w:tc>
          <w:tcPr>
            <w:tcW w:type="dxa" w:w="912"/>
            <w:vAlign w:val="center"/>
          </w:tcPr>
          <w:p>
            <w:pPr>
              <w:spacing w:after="0" w:line="240" w:lineRule="auto"/>
              <w:jc w:val="center"/>
            </w:pPr>
            <w:r/>
            <w:r>
              <w:rPr>
                <w:rFonts w:ascii="Calibri" w:hAnsi="Calibri"/>
                <w:b w:val="0"/>
                <w:i w:val="0"/>
                <w:color w:val="000000"/>
                <w:sz w:val="12"/>
              </w:rPr>
              <w:t>1.92</w:t>
            </w:r>
          </w:p>
        </w:tc>
        <w:tc>
          <w:tcPr>
            <w:tcW w:type="dxa" w:w="912"/>
            <w:vAlign w:val="center"/>
          </w:tcPr>
          <w:p>
            <w:pPr>
              <w:spacing w:after="0" w:line="240" w:lineRule="auto"/>
              <w:jc w:val="center"/>
            </w:pPr>
            <w:r/>
            <w:r>
              <w:rPr>
                <w:rFonts w:ascii="Calibri" w:hAnsi="Calibri"/>
                <w:b w:val="0"/>
                <w:i w:val="0"/>
                <w:color w:val="000000"/>
                <w:sz w:val="12"/>
              </w:rPr>
              <w:t>2.03</w:t>
            </w:r>
          </w:p>
        </w:tc>
        <w:tc>
          <w:tcPr>
            <w:tcW w:type="dxa" w:w="2608"/>
            <w:vAlign w:val="center"/>
          </w:tcPr>
          <w:p>
            <w:pPr>
              <w:spacing w:after="0" w:line="240" w:lineRule="auto"/>
              <w:jc w:val="center"/>
            </w:pPr>
            <w:r/>
            <w:r>
              <w:rPr>
                <w:rFonts w:ascii="Calibri" w:hAnsi="Calibri"/>
                <w:b w:val="0"/>
                <w:i w:val="0"/>
                <w:color w:val="000000"/>
                <w:sz w:val="12"/>
              </w:rPr>
              <w:t>44.29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Proposed VMD-LASSO-ARIMA/LSTM</w:t>
            </w:r>
          </w:p>
        </w:tc>
        <w:tc>
          <w:tcPr>
            <w:tcW w:type="dxa" w:w="1172"/>
            <w:vAlign w:val="center"/>
          </w:tcPr>
          <w:p>
            <w:pPr>
              <w:spacing w:after="0" w:line="240" w:lineRule="auto"/>
              <w:jc w:val="center"/>
            </w:pPr>
            <w:r/>
            <w:r>
              <w:rPr>
                <w:rFonts w:ascii="Calibri" w:hAnsi="Calibri"/>
                <w:b w:val="0"/>
                <w:i w:val="0"/>
                <w:color w:val="000000"/>
                <w:sz w:val="12"/>
              </w:rPr>
              <w:t>0.5360</w:t>
            </w:r>
          </w:p>
        </w:tc>
        <w:tc>
          <w:tcPr>
            <w:tcW w:type="dxa" w:w="1172"/>
            <w:vAlign w:val="center"/>
          </w:tcPr>
          <w:p>
            <w:pPr>
              <w:spacing w:after="0" w:line="240" w:lineRule="auto"/>
              <w:jc w:val="center"/>
            </w:pPr>
            <w:r/>
            <w:r>
              <w:rPr>
                <w:rFonts w:ascii="Calibri" w:hAnsi="Calibri"/>
                <w:b w:val="0"/>
                <w:i w:val="0"/>
                <w:color w:val="000000"/>
                <w:sz w:val="12"/>
              </w:rPr>
              <w:t>0.2986</w:t>
            </w:r>
          </w:p>
        </w:tc>
        <w:tc>
          <w:tcPr>
            <w:tcW w:type="dxa" w:w="912"/>
            <w:vAlign w:val="center"/>
          </w:tcPr>
          <w:p>
            <w:pPr>
              <w:spacing w:after="0" w:line="240" w:lineRule="auto"/>
              <w:jc w:val="center"/>
            </w:pPr>
            <w:r/>
            <w:r>
              <w:rPr>
                <w:rFonts w:ascii="Calibri" w:hAnsi="Calibri"/>
                <w:b w:val="0"/>
                <w:i w:val="0"/>
                <w:color w:val="000000"/>
                <w:sz w:val="12"/>
              </w:rPr>
              <w:t>1.6407</w:t>
            </w:r>
          </w:p>
        </w:tc>
        <w:tc>
          <w:tcPr>
            <w:tcW w:type="dxa" w:w="912"/>
            <w:vAlign w:val="center"/>
          </w:tcPr>
          <w:p>
            <w:pPr>
              <w:spacing w:after="0" w:line="240" w:lineRule="auto"/>
              <w:jc w:val="center"/>
            </w:pPr>
            <w:r/>
            <w:r>
              <w:rPr>
                <w:rFonts w:ascii="Calibri" w:hAnsi="Calibri"/>
                <w:b w:val="0"/>
                <w:i w:val="0"/>
                <w:color w:val="000000"/>
                <w:sz w:val="12"/>
              </w:rPr>
              <w:t>2.30</w:t>
            </w:r>
          </w:p>
        </w:tc>
        <w:tc>
          <w:tcPr>
            <w:tcW w:type="dxa" w:w="912"/>
            <w:vAlign w:val="center"/>
          </w:tcPr>
          <w:p>
            <w:pPr>
              <w:spacing w:after="0" w:line="240" w:lineRule="auto"/>
              <w:jc w:val="center"/>
            </w:pPr>
            <w:r/>
            <w:r>
              <w:rPr>
                <w:rFonts w:ascii="Calibri" w:hAnsi="Calibri"/>
                <w:b w:val="0"/>
                <w:i w:val="0"/>
                <w:color w:val="000000"/>
                <w:sz w:val="12"/>
              </w:rPr>
              <w:t>2.41</w:t>
            </w:r>
          </w:p>
        </w:tc>
        <w:tc>
          <w:tcPr>
            <w:tcW w:type="dxa" w:w="2608"/>
            <w:vAlign w:val="center"/>
          </w:tcPr>
          <w:p>
            <w:pPr>
              <w:spacing w:after="0" w:line="240" w:lineRule="auto"/>
              <w:jc w:val="center"/>
            </w:pPr>
            <w:r/>
            <w:r>
              <w:rPr>
                <w:rFonts w:ascii="Calibri" w:hAnsi="Calibri"/>
                <w:b w:val="0"/>
                <w:i w:val="0"/>
                <w:color w:val="000000"/>
                <w:sz w:val="12"/>
              </w:rPr>
              <w:t>41.43</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CEEMDAN-LSTM</w:t>
            </w:r>
          </w:p>
        </w:tc>
        <w:tc>
          <w:tcPr>
            <w:tcW w:type="dxa" w:w="1172"/>
            <w:vAlign w:val="center"/>
          </w:tcPr>
          <w:p>
            <w:pPr>
              <w:spacing w:after="0" w:line="240" w:lineRule="auto"/>
              <w:jc w:val="center"/>
            </w:pPr>
            <w:r/>
            <w:r>
              <w:rPr>
                <w:rFonts w:ascii="Calibri" w:hAnsi="Calibri"/>
                <w:b w:val="0"/>
                <w:i w:val="0"/>
                <w:color w:val="000000"/>
                <w:sz w:val="12"/>
              </w:rPr>
              <w:t>0.6157</w:t>
            </w:r>
          </w:p>
        </w:tc>
        <w:tc>
          <w:tcPr>
            <w:tcW w:type="dxa" w:w="1172"/>
            <w:vAlign w:val="center"/>
          </w:tcPr>
          <w:p>
            <w:pPr>
              <w:spacing w:after="0" w:line="240" w:lineRule="auto"/>
              <w:jc w:val="center"/>
            </w:pPr>
            <w:r/>
            <w:r>
              <w:rPr>
                <w:rFonts w:ascii="Calibri" w:hAnsi="Calibri"/>
                <w:b w:val="0"/>
                <w:i w:val="0"/>
                <w:color w:val="000000"/>
                <w:sz w:val="12"/>
              </w:rPr>
              <w:t>0.4043</w:t>
            </w:r>
          </w:p>
        </w:tc>
        <w:tc>
          <w:tcPr>
            <w:tcW w:type="dxa" w:w="912"/>
            <w:vAlign w:val="center"/>
          </w:tcPr>
          <w:p>
            <w:pPr>
              <w:spacing w:after="0" w:line="240" w:lineRule="auto"/>
              <w:jc w:val="center"/>
            </w:pPr>
            <w:r/>
            <w:r>
              <w:rPr>
                <w:rFonts w:ascii="Calibri" w:hAnsi="Calibri"/>
                <w:b w:val="0"/>
                <w:i w:val="0"/>
                <w:color w:val="000000"/>
                <w:sz w:val="12"/>
              </w:rPr>
              <w:t>2.2216</w:t>
            </w:r>
          </w:p>
        </w:tc>
        <w:tc>
          <w:tcPr>
            <w:tcW w:type="dxa" w:w="912"/>
            <w:vAlign w:val="center"/>
          </w:tcPr>
          <w:p>
            <w:pPr>
              <w:spacing w:after="0" w:line="240" w:lineRule="auto"/>
              <w:jc w:val="center"/>
            </w:pPr>
            <w:r/>
            <w:r>
              <w:rPr>
                <w:rFonts w:ascii="Calibri" w:hAnsi="Calibri"/>
                <w:b w:val="0"/>
                <w:i w:val="0"/>
                <w:color w:val="000000"/>
                <w:sz w:val="12"/>
              </w:rPr>
              <w:t>3.44</w:t>
            </w:r>
          </w:p>
        </w:tc>
        <w:tc>
          <w:tcPr>
            <w:tcW w:type="dxa" w:w="912"/>
            <w:vAlign w:val="center"/>
          </w:tcPr>
          <w:p>
            <w:pPr>
              <w:spacing w:after="0" w:line="240" w:lineRule="auto"/>
              <w:jc w:val="center"/>
            </w:pPr>
            <w:r/>
            <w:r>
              <w:rPr>
                <w:rFonts w:ascii="Calibri" w:hAnsi="Calibri"/>
                <w:b w:val="0"/>
                <w:i w:val="0"/>
                <w:color w:val="000000"/>
                <w:sz w:val="12"/>
              </w:rPr>
              <w:t>3.43</w:t>
            </w:r>
          </w:p>
        </w:tc>
        <w:tc>
          <w:tcPr>
            <w:tcW w:type="dxa" w:w="2608"/>
            <w:vAlign w:val="center"/>
          </w:tcPr>
          <w:p>
            <w:pPr>
              <w:spacing w:after="0" w:line="240" w:lineRule="auto"/>
              <w:jc w:val="center"/>
            </w:pPr>
            <w:r/>
            <w:r>
              <w:rPr>
                <w:rFonts w:ascii="Calibri" w:hAnsi="Calibri"/>
                <w:b w:val="0"/>
                <w:i w:val="0"/>
                <w:color w:val="000000"/>
                <w:sz w:val="12"/>
              </w:rPr>
              <w:t>39.29</w:t>
            </w:r>
          </w:p>
        </w:tc>
      </w:tr>
      <w:tr>
        <w:tc>
          <w:tcPr>
            <w:tcW w:type="dxa" w:w="2214"/>
            <w:vAlign w:val="center"/>
          </w:tcPr>
          <w:p>
            <w:pPr>
              <w:spacing w:after="0" w:line="240" w:lineRule="auto"/>
              <w:jc w:val="left"/>
            </w:pPr>
            <w:r/>
            <w:r>
              <w:rPr>
                <w:rFonts w:ascii="Calibri" w:hAnsi="Calibri"/>
                <w:b w:val="0"/>
                <w:i w:val="0"/>
                <w:color w:val="000000"/>
                <w:sz w:val="12"/>
              </w:rPr>
              <w:t>lithium_hydroxide</w:t>
            </w:r>
          </w:p>
        </w:tc>
        <w:tc>
          <w:tcPr>
            <w:tcW w:type="dxa" w:w="3778"/>
            <w:vAlign w:val="center"/>
          </w:tcPr>
          <w:p>
            <w:pPr>
              <w:spacing w:after="0" w:line="240" w:lineRule="auto"/>
              <w:jc w:val="center"/>
            </w:pPr>
            <w:r/>
            <w:r>
              <w:rPr>
                <w:rFonts w:ascii="Calibri" w:hAnsi="Calibri"/>
                <w:b w:val="0"/>
                <w:i w:val="0"/>
                <w:color w:val="000000"/>
                <w:sz w:val="12"/>
              </w:rPr>
              <w:t>VMD-LSTM</w:t>
            </w:r>
          </w:p>
        </w:tc>
        <w:tc>
          <w:tcPr>
            <w:tcW w:type="dxa" w:w="1172"/>
            <w:vAlign w:val="center"/>
          </w:tcPr>
          <w:p>
            <w:pPr>
              <w:spacing w:after="0" w:line="240" w:lineRule="auto"/>
              <w:jc w:val="center"/>
            </w:pPr>
            <w:r/>
            <w:r>
              <w:rPr>
                <w:rFonts w:ascii="Calibri" w:hAnsi="Calibri"/>
                <w:b w:val="0"/>
                <w:i w:val="0"/>
                <w:color w:val="000000"/>
                <w:sz w:val="12"/>
              </w:rPr>
              <w:t>0.6450</w:t>
            </w:r>
          </w:p>
        </w:tc>
        <w:tc>
          <w:tcPr>
            <w:tcW w:type="dxa" w:w="1172"/>
            <w:vAlign w:val="center"/>
          </w:tcPr>
          <w:p>
            <w:pPr>
              <w:spacing w:after="0" w:line="240" w:lineRule="auto"/>
              <w:jc w:val="center"/>
            </w:pPr>
            <w:r/>
            <w:r>
              <w:rPr>
                <w:rFonts w:ascii="Calibri" w:hAnsi="Calibri"/>
                <w:b w:val="0"/>
                <w:i w:val="0"/>
                <w:color w:val="000000"/>
                <w:sz w:val="12"/>
              </w:rPr>
              <w:t>0.4285</w:t>
            </w:r>
          </w:p>
        </w:tc>
        <w:tc>
          <w:tcPr>
            <w:tcW w:type="dxa" w:w="912"/>
            <w:vAlign w:val="center"/>
          </w:tcPr>
          <w:p>
            <w:pPr>
              <w:spacing w:after="0" w:line="240" w:lineRule="auto"/>
              <w:jc w:val="center"/>
            </w:pPr>
            <w:r/>
            <w:r>
              <w:rPr>
                <w:rFonts w:ascii="Calibri" w:hAnsi="Calibri"/>
                <w:b w:val="0"/>
                <w:i w:val="0"/>
                <w:color w:val="000000"/>
                <w:sz w:val="12"/>
              </w:rPr>
              <w:t>2.3546</w:t>
            </w:r>
          </w:p>
        </w:tc>
        <w:tc>
          <w:tcPr>
            <w:tcW w:type="dxa" w:w="912"/>
            <w:vAlign w:val="center"/>
          </w:tcPr>
          <w:p>
            <w:pPr>
              <w:spacing w:after="0" w:line="240" w:lineRule="auto"/>
              <w:jc w:val="center"/>
            </w:pPr>
            <w:r/>
            <w:r>
              <w:rPr>
                <w:rFonts w:ascii="Calibri" w:hAnsi="Calibri"/>
                <w:b w:val="0"/>
                <w:i w:val="0"/>
                <w:color w:val="000000"/>
                <w:sz w:val="12"/>
              </w:rPr>
              <w:t>3.22</w:t>
            </w:r>
          </w:p>
        </w:tc>
        <w:tc>
          <w:tcPr>
            <w:tcW w:type="dxa" w:w="912"/>
            <w:vAlign w:val="center"/>
          </w:tcPr>
          <w:p>
            <w:pPr>
              <w:spacing w:after="0" w:line="240" w:lineRule="auto"/>
              <w:jc w:val="center"/>
            </w:pPr>
            <w:r/>
            <w:r>
              <w:rPr>
                <w:rFonts w:ascii="Calibri" w:hAnsi="Calibri"/>
                <w:b w:val="0"/>
                <w:i w:val="0"/>
                <w:color w:val="000000"/>
                <w:sz w:val="12"/>
              </w:rPr>
              <w:t>3.19</w:t>
            </w:r>
          </w:p>
        </w:tc>
        <w:tc>
          <w:tcPr>
            <w:tcW w:type="dxa" w:w="2608"/>
            <w:vAlign w:val="center"/>
          </w:tcPr>
          <w:p>
            <w:pPr>
              <w:spacing w:after="0" w:line="240" w:lineRule="auto"/>
              <w:jc w:val="center"/>
            </w:pPr>
            <w:r/>
            <w:r>
              <w:rPr>
                <w:rFonts w:ascii="Calibri" w:hAnsi="Calibri"/>
                <w:b w:val="0"/>
                <w:i w:val="0"/>
                <w:color w:val="000000"/>
                <w:sz w:val="12"/>
              </w:rPr>
              <w:t>44.29</w:t>
            </w:r>
          </w:p>
        </w:tc>
      </w:tr>
    </w:tbl>
    <w:p>
      <w:pPr>
        <w:spacing w:after="60"/>
      </w:pPr>
    </w:p>
    <w:p>
      <w:pPr>
        <w:pStyle w:val="Heading3"/>
      </w:pPr>
      <w:r>
        <w:t>Interpretation of Table 8</w:t>
      </w:r>
    </w:p>
    <w:p>
      <w:pPr>
        <w:spacing w:after="160" w:line="320" w:lineRule="auto"/>
        <w:jc w:val="both"/>
      </w:pPr>
      <w:r>
        <w:rPr>
          <w:rFonts w:ascii="Calibri" w:hAnsi="Calibri"/>
          <w:b/>
          <w:i w:val="0"/>
          <w:color w:val="000000"/>
          <w:sz w:val="22"/>
        </w:rPr>
        <w:t>Carbonate decomposition:</w:t>
      </w:r>
      <w:r>
        <w:rPr>
          <w:rFonts w:ascii="Calibri" w:hAnsi="Calibri"/>
          <w:b w:val="0"/>
          <w:i w:val="0"/>
          <w:color w:val="000000"/>
          <w:sz w:val="22"/>
        </w:rPr>
        <w:t xml:space="preserve"> CEEMDAN-LSTM achieves the lowest carbonate RMSE at 3,385.67, while CEEMDAN-ARIMA achieves the lowest MAE at 1,436.92 and the highest directional accuracy at 77.04%. The proposed hybrid records RMSE 3,672.30 and directional accuracy 76.30%, so it is competitive but not the metric leader.</w:t>
      </w:r>
    </w:p>
    <w:p>
      <w:pPr>
        <w:spacing w:after="160" w:line="320" w:lineRule="auto"/>
        <w:jc w:val="both"/>
      </w:pPr>
      <w:r>
        <w:rPr>
          <w:rFonts w:ascii="Calibri" w:hAnsi="Calibri"/>
          <w:b/>
          <w:i w:val="0"/>
          <w:color w:val="000000"/>
          <w:sz w:val="22"/>
        </w:rPr>
        <w:t>Hydroxide decomposition:</w:t>
      </w:r>
      <w:r>
        <w:rPr>
          <w:rFonts w:ascii="Calibri" w:hAnsi="Calibri"/>
          <w:b w:val="0"/>
          <w:i w:val="0"/>
          <w:color w:val="000000"/>
          <w:sz w:val="22"/>
        </w:rPr>
        <w:t xml:space="preserve"> CEEMDAN-ARIMA leads hydroxide on RMSE (0.4467) and MAE (0.1994). VMD-ARIMA has the highest directional accuracy (44.29%). The proposed RMSE of 0.5360 improves on every single-model RMSE but is roughly 20% above CEEMDAN-ARIMA.</w:t>
      </w:r>
    </w:p>
    <w:p>
      <w:pPr>
        <w:spacing w:after="160" w:line="320" w:lineRule="auto"/>
        <w:jc w:val="both"/>
      </w:pPr>
      <w:r>
        <w:rPr>
          <w:rFonts w:ascii="Calibri" w:hAnsi="Calibri"/>
          <w:b/>
          <w:i w:val="0"/>
          <w:color w:val="000000"/>
          <w:sz w:val="22"/>
        </w:rPr>
        <w:t>Main conclusion:</w:t>
      </w:r>
      <w:r>
        <w:rPr>
          <w:rFonts w:ascii="Calibri" w:hAnsi="Calibri"/>
          <w:b w:val="0"/>
          <w:i w:val="0"/>
          <w:color w:val="000000"/>
          <w:sz w:val="22"/>
        </w:rPr>
        <w:t xml:space="preserve"> Decomposition is useful, but the evidence does not support universal superiority of the proposed VMD-LASSO-ARIMA/LSTM architecture. The best decomposition family and component forecaster depend on the target and metric, which is more informative than selecting a single winner from one error column.</w:t>
      </w:r>
    </w:p>
    <w:p>
      <w:pPr>
        <w:keepNext/>
        <w:spacing w:before="100" w:after="80"/>
      </w:pPr>
      <w:r>
        <w:rPr>
          <w:rFonts w:ascii="Calibri" w:hAnsi="Calibri"/>
          <w:b/>
          <w:i w:val="0"/>
          <w:color w:val="1F4D78"/>
          <w:sz w:val="18"/>
        </w:rPr>
        <w:t xml:space="preserve">Table 9. </w:t>
      </w:r>
      <w:r>
        <w:rPr>
          <w:rFonts w:ascii="Calibri" w:hAnsi="Calibri"/>
          <w:b w:val="0"/>
          <w:i/>
          <w:color w:val="000000"/>
          <w:sz w:val="18"/>
        </w:rPr>
        <w:t>Diebold-Mariano tests comparing the proposed model with forecasting benchmarks.</w:t>
      </w:r>
    </w:p>
    <w:tbl>
      <w:tblPr>
        <w:tblStyle w:val="TableGrid"/>
        <w:tblW w:type="dxa" w:w="13680"/>
        <w:jc w:val="left"/>
        <w:tblLayout w:type="fixed"/>
        <w:tblLook w:firstColumn="1" w:firstRow="1" w:lastColumn="0" w:lastRow="0" w:noHBand="0" w:noVBand="1" w:val="04A0"/>
      </w:tblPr>
      <w:tblGrid>
        <w:gridCol w:w="3577"/>
        <w:gridCol w:w="2736"/>
        <w:gridCol w:w="2525"/>
        <w:gridCol w:w="1473"/>
        <w:gridCol w:w="3369"/>
      </w:tblGrid>
      <w:tr>
        <w:trPr>
          <w:tblHeader w:val="true"/>
        </w:trPr>
        <w:tc>
          <w:tcPr>
            <w:tcW w:type="dxa" w:w="3577"/>
            <w:shd w:fill="F4F6F9"/>
            <w:vAlign w:val="center"/>
          </w:tcPr>
          <w:p>
            <w:pPr>
              <w:jc w:val="center"/>
            </w:pPr>
            <w:r/>
            <w:r>
              <w:rPr>
                <w:rFonts w:ascii="Calibri" w:hAnsi="Calibri"/>
                <w:b/>
                <w:i w:val="0"/>
                <w:color w:val="0B2545"/>
                <w:sz w:val="11"/>
              </w:rPr>
              <w:t>Target</w:t>
            </w:r>
          </w:p>
        </w:tc>
        <w:tc>
          <w:tcPr>
            <w:tcW w:type="dxa" w:w="2736"/>
            <w:shd w:fill="F4F6F9"/>
            <w:vAlign w:val="center"/>
          </w:tcPr>
          <w:p>
            <w:pPr>
              <w:jc w:val="center"/>
            </w:pPr>
            <w:r/>
            <w:r>
              <w:rPr>
                <w:rFonts w:ascii="Calibri" w:hAnsi="Calibri"/>
                <w:b/>
                <w:i w:val="0"/>
                <w:color w:val="0B2545"/>
                <w:sz w:val="11"/>
              </w:rPr>
              <w:t>Benchmark</w:t>
            </w:r>
          </w:p>
        </w:tc>
        <w:tc>
          <w:tcPr>
            <w:tcW w:type="dxa" w:w="2525"/>
            <w:shd w:fill="F4F6F9"/>
            <w:vAlign w:val="center"/>
          </w:tcPr>
          <w:p>
            <w:pPr>
              <w:jc w:val="center"/>
            </w:pPr>
            <w:r/>
            <w:r>
              <w:rPr>
                <w:rFonts w:ascii="Calibri" w:hAnsi="Calibri"/>
                <w:b/>
                <w:i w:val="0"/>
                <w:color w:val="0B2545"/>
                <w:sz w:val="11"/>
              </w:rPr>
              <w:t>DM statistic</w:t>
            </w:r>
          </w:p>
        </w:tc>
        <w:tc>
          <w:tcPr>
            <w:tcW w:type="dxa" w:w="1473"/>
            <w:shd w:fill="F4F6F9"/>
            <w:vAlign w:val="center"/>
          </w:tcPr>
          <w:p>
            <w:pPr>
              <w:jc w:val="center"/>
            </w:pPr>
            <w:r/>
            <w:r>
              <w:rPr>
                <w:rFonts w:ascii="Calibri" w:hAnsi="Calibri"/>
                <w:b/>
                <w:i w:val="0"/>
                <w:color w:val="0B2545"/>
                <w:sz w:val="11"/>
              </w:rPr>
              <w:t>p-value</w:t>
            </w:r>
          </w:p>
        </w:tc>
        <w:tc>
          <w:tcPr>
            <w:tcW w:type="dxa" w:w="3369"/>
            <w:shd w:fill="F4F6F9"/>
            <w:vAlign w:val="center"/>
          </w:tcPr>
          <w:p>
            <w:pPr>
              <w:jc w:val="center"/>
            </w:pPr>
            <w:r/>
            <w:r>
              <w:rPr>
                <w:rFonts w:ascii="Calibri" w:hAnsi="Calibri"/>
                <w:b/>
                <w:i w:val="0"/>
                <w:color w:val="0B2545"/>
                <w:sz w:val="11"/>
              </w:rPr>
              <w:t>Direction</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-10.9885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-8.3139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-7.3929</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-7.1313</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-6.0575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-5.8798</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-2.4724</w:t>
            </w:r>
          </w:p>
        </w:tc>
        <w:tc>
          <w:tcPr>
            <w:tcW w:type="dxa" w:w="1473"/>
            <w:vAlign w:val="center"/>
          </w:tcPr>
          <w:p>
            <w:pPr>
              <w:spacing w:after="0" w:line="240" w:lineRule="auto"/>
              <w:jc w:val="center"/>
            </w:pPr>
            <w:r/>
            <w:r>
              <w:rPr>
                <w:rFonts w:ascii="Calibri" w:hAnsi="Calibri"/>
                <w:b w:val="0"/>
                <w:i w:val="0"/>
                <w:color w:val="000000"/>
                <w:sz w:val="11"/>
              </w:rPr>
              <w:t>0.0147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-1.5777</w:t>
            </w:r>
          </w:p>
        </w:tc>
        <w:tc>
          <w:tcPr>
            <w:tcW w:type="dxa" w:w="1473"/>
            <w:vAlign w:val="center"/>
          </w:tcPr>
          <w:p>
            <w:pPr>
              <w:spacing w:after="0" w:line="240" w:lineRule="auto"/>
              <w:jc w:val="center"/>
            </w:pPr>
            <w:r/>
            <w:r>
              <w:rPr>
                <w:rFonts w:ascii="Calibri" w:hAnsi="Calibri"/>
                <w:b w:val="0"/>
                <w:i w:val="0"/>
                <w:color w:val="000000"/>
                <w:sz w:val="11"/>
              </w:rPr>
              <w:t>0.1170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0.4198</w:t>
            </w:r>
          </w:p>
        </w:tc>
        <w:tc>
          <w:tcPr>
            <w:tcW w:type="dxa" w:w="1473"/>
            <w:vAlign w:val="center"/>
          </w:tcPr>
          <w:p>
            <w:pPr>
              <w:spacing w:after="0" w:line="240" w:lineRule="auto"/>
              <w:jc w:val="center"/>
            </w:pPr>
            <w:r/>
            <w:r>
              <w:rPr>
                <w:rFonts w:ascii="Calibri" w:hAnsi="Calibri"/>
                <w:b w:val="0"/>
                <w:i w:val="0"/>
                <w:color w:val="000000"/>
                <w:sz w:val="11"/>
              </w:rPr>
              <w:t>0.6753</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0.1201</w:t>
            </w:r>
          </w:p>
        </w:tc>
        <w:tc>
          <w:tcPr>
            <w:tcW w:type="dxa" w:w="1473"/>
            <w:vAlign w:val="center"/>
          </w:tcPr>
          <w:p>
            <w:pPr>
              <w:spacing w:after="0" w:line="240" w:lineRule="auto"/>
              <w:jc w:val="center"/>
            </w:pPr>
            <w:r/>
            <w:r>
              <w:rPr>
                <w:rFonts w:ascii="Calibri" w:hAnsi="Calibri"/>
                <w:b w:val="0"/>
                <w:i w:val="0"/>
                <w:color w:val="000000"/>
                <w:sz w:val="11"/>
              </w:rPr>
              <w:t>0.9046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lithium_carbonate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0.1090</w:t>
            </w:r>
          </w:p>
        </w:tc>
        <w:tc>
          <w:tcPr>
            <w:tcW w:type="dxa" w:w="1473"/>
            <w:vAlign w:val="center"/>
          </w:tcPr>
          <w:p>
            <w:pPr>
              <w:spacing w:after="0" w:line="240" w:lineRule="auto"/>
              <w:jc w:val="center"/>
            </w:pPr>
            <w:r/>
            <w:r>
              <w:rPr>
                <w:rFonts w:ascii="Calibri" w:hAnsi="Calibri"/>
                <w:b w:val="0"/>
                <w:i w:val="0"/>
                <w:color w:val="000000"/>
                <w:sz w:val="11"/>
              </w:rPr>
              <w:t>0.9134</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ES</w:t>
            </w:r>
          </w:p>
        </w:tc>
        <w:tc>
          <w:tcPr>
            <w:tcW w:type="dxa" w:w="2525"/>
            <w:vAlign w:val="center"/>
          </w:tcPr>
          <w:p>
            <w:pPr>
              <w:spacing w:after="0" w:line="240" w:lineRule="auto"/>
              <w:jc w:val="center"/>
            </w:pPr>
            <w:r/>
            <w:r>
              <w:rPr>
                <w:rFonts w:ascii="Calibri" w:hAnsi="Calibri"/>
                <w:b w:val="0"/>
                <w:i w:val="0"/>
                <w:color w:val="000000"/>
                <w:sz w:val="11"/>
              </w:rPr>
              <w:t>-5.7732</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RF</w:t>
            </w:r>
          </w:p>
        </w:tc>
        <w:tc>
          <w:tcPr>
            <w:tcW w:type="dxa" w:w="2525"/>
            <w:vAlign w:val="center"/>
          </w:tcPr>
          <w:p>
            <w:pPr>
              <w:spacing w:after="0" w:line="240" w:lineRule="auto"/>
              <w:jc w:val="center"/>
            </w:pPr>
            <w:r/>
            <w:r>
              <w:rPr>
                <w:rFonts w:ascii="Calibri" w:hAnsi="Calibri"/>
                <w:b w:val="0"/>
                <w:i w:val="0"/>
                <w:color w:val="000000"/>
                <w:sz w:val="11"/>
              </w:rPr>
              <w:t>-4.3195</w:t>
            </w:r>
          </w:p>
        </w:tc>
        <w:tc>
          <w:tcPr>
            <w:tcW w:type="dxa" w:w="1473"/>
            <w:vAlign w:val="center"/>
          </w:tcPr>
          <w:p>
            <w:pPr>
              <w:spacing w:after="0" w:line="240" w:lineRule="auto"/>
              <w:jc w:val="center"/>
            </w:pPr>
            <w:r/>
            <w:r>
              <w:rPr>
                <w:rFonts w:ascii="Calibri" w:hAnsi="Calibri"/>
                <w:b w:val="0"/>
                <w:i w:val="0"/>
                <w:color w:val="000000"/>
                <w:sz w:val="11"/>
              </w:rPr>
              <w:t>0.0000</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VMD-ARIMA</w:t>
            </w:r>
          </w:p>
        </w:tc>
        <w:tc>
          <w:tcPr>
            <w:tcW w:type="dxa" w:w="2525"/>
            <w:vAlign w:val="center"/>
          </w:tcPr>
          <w:p>
            <w:pPr>
              <w:spacing w:after="0" w:line="240" w:lineRule="auto"/>
              <w:jc w:val="center"/>
            </w:pPr>
            <w:r/>
            <w:r>
              <w:rPr>
                <w:rFonts w:ascii="Calibri" w:hAnsi="Calibri"/>
                <w:b w:val="0"/>
                <w:i w:val="0"/>
                <w:color w:val="000000"/>
                <w:sz w:val="11"/>
              </w:rPr>
              <w:t>3.8883</w:t>
            </w:r>
          </w:p>
        </w:tc>
        <w:tc>
          <w:tcPr>
            <w:tcW w:type="dxa" w:w="1473"/>
            <w:vAlign w:val="center"/>
          </w:tcPr>
          <w:p>
            <w:pPr>
              <w:spacing w:after="0" w:line="240" w:lineRule="auto"/>
              <w:jc w:val="center"/>
            </w:pPr>
            <w:r/>
            <w:r>
              <w:rPr>
                <w:rFonts w:ascii="Calibri" w:hAnsi="Calibri"/>
                <w:b w:val="0"/>
                <w:i w:val="0"/>
                <w:color w:val="000000"/>
                <w:sz w:val="11"/>
              </w:rPr>
              <w:t>0.0002</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CEEMDAN-ARIMA</w:t>
            </w:r>
          </w:p>
        </w:tc>
        <w:tc>
          <w:tcPr>
            <w:tcW w:type="dxa" w:w="2525"/>
            <w:vAlign w:val="center"/>
          </w:tcPr>
          <w:p>
            <w:pPr>
              <w:spacing w:after="0" w:line="240" w:lineRule="auto"/>
              <w:jc w:val="center"/>
            </w:pPr>
            <w:r/>
            <w:r>
              <w:rPr>
                <w:rFonts w:ascii="Calibri" w:hAnsi="Calibri"/>
                <w:b w:val="0"/>
                <w:i w:val="0"/>
                <w:color w:val="000000"/>
                <w:sz w:val="11"/>
              </w:rPr>
              <w:t>3.5153</w:t>
            </w:r>
          </w:p>
        </w:tc>
        <w:tc>
          <w:tcPr>
            <w:tcW w:type="dxa" w:w="1473"/>
            <w:vAlign w:val="center"/>
          </w:tcPr>
          <w:p>
            <w:pPr>
              <w:spacing w:after="0" w:line="240" w:lineRule="auto"/>
              <w:jc w:val="center"/>
            </w:pPr>
            <w:r/>
            <w:r>
              <w:rPr>
                <w:rFonts w:ascii="Calibri" w:hAnsi="Calibri"/>
                <w:b w:val="0"/>
                <w:i w:val="0"/>
                <w:color w:val="000000"/>
                <w:sz w:val="11"/>
              </w:rPr>
              <w:t>0.0006</w:t>
            </w:r>
          </w:p>
        </w:tc>
        <w:tc>
          <w:tcPr>
            <w:tcW w:type="dxa" w:w="3369"/>
            <w:vAlign w:val="center"/>
          </w:tcPr>
          <w:p>
            <w:pPr>
              <w:spacing w:after="0" w:line="240" w:lineRule="auto"/>
              <w:jc w:val="center"/>
            </w:pPr>
            <w:r/>
            <w:r>
              <w:rPr>
                <w:rFonts w:ascii="Calibri" w:hAnsi="Calibri"/>
                <w:b w:val="0"/>
                <w:i w:val="0"/>
                <w:color w:val="000000"/>
                <w:sz w:val="11"/>
              </w:rPr>
              <w:t>Benchmark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CEEMDAN-LSTM</w:t>
            </w:r>
          </w:p>
        </w:tc>
        <w:tc>
          <w:tcPr>
            <w:tcW w:type="dxa" w:w="2525"/>
            <w:vAlign w:val="center"/>
          </w:tcPr>
          <w:p>
            <w:pPr>
              <w:spacing w:after="0" w:line="240" w:lineRule="auto"/>
              <w:jc w:val="center"/>
            </w:pPr>
            <w:r/>
            <w:r>
              <w:rPr>
                <w:rFonts w:ascii="Calibri" w:hAnsi="Calibri"/>
                <w:b w:val="0"/>
                <w:i w:val="0"/>
                <w:color w:val="000000"/>
                <w:sz w:val="11"/>
              </w:rPr>
              <w:t>-1.9666</w:t>
            </w:r>
          </w:p>
        </w:tc>
        <w:tc>
          <w:tcPr>
            <w:tcW w:type="dxa" w:w="1473"/>
            <w:vAlign w:val="center"/>
          </w:tcPr>
          <w:p>
            <w:pPr>
              <w:spacing w:after="0" w:line="240" w:lineRule="auto"/>
              <w:jc w:val="center"/>
            </w:pPr>
            <w:r/>
            <w:r>
              <w:rPr>
                <w:rFonts w:ascii="Calibri" w:hAnsi="Calibri"/>
                <w:b w:val="0"/>
                <w:i w:val="0"/>
                <w:color w:val="000000"/>
                <w:sz w:val="11"/>
              </w:rPr>
              <w:t>0.0512</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VMD-LSTM</w:t>
            </w:r>
          </w:p>
        </w:tc>
        <w:tc>
          <w:tcPr>
            <w:tcW w:type="dxa" w:w="2525"/>
            <w:vAlign w:val="center"/>
          </w:tcPr>
          <w:p>
            <w:pPr>
              <w:spacing w:after="0" w:line="240" w:lineRule="auto"/>
              <w:jc w:val="center"/>
            </w:pPr>
            <w:r/>
            <w:r>
              <w:rPr>
                <w:rFonts w:ascii="Calibri" w:hAnsi="Calibri"/>
                <w:b w:val="0"/>
                <w:i w:val="0"/>
                <w:color w:val="000000"/>
                <w:sz w:val="11"/>
              </w:rPr>
              <w:t>-1.8898</w:t>
            </w:r>
          </w:p>
        </w:tc>
        <w:tc>
          <w:tcPr>
            <w:tcW w:type="dxa" w:w="1473"/>
            <w:vAlign w:val="center"/>
          </w:tcPr>
          <w:p>
            <w:pPr>
              <w:spacing w:after="0" w:line="240" w:lineRule="auto"/>
              <w:jc w:val="center"/>
            </w:pPr>
            <w:r/>
            <w:r>
              <w:rPr>
                <w:rFonts w:ascii="Calibri" w:hAnsi="Calibri"/>
                <w:b w:val="0"/>
                <w:i w:val="0"/>
                <w:color w:val="000000"/>
                <w:sz w:val="11"/>
              </w:rPr>
              <w:t>0.0608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SVR</w:t>
            </w:r>
          </w:p>
        </w:tc>
        <w:tc>
          <w:tcPr>
            <w:tcW w:type="dxa" w:w="2525"/>
            <w:vAlign w:val="center"/>
          </w:tcPr>
          <w:p>
            <w:pPr>
              <w:spacing w:after="0" w:line="240" w:lineRule="auto"/>
              <w:jc w:val="center"/>
            </w:pPr>
            <w:r/>
            <w:r>
              <w:rPr>
                <w:rFonts w:ascii="Calibri" w:hAnsi="Calibri"/>
                <w:b w:val="0"/>
                <w:i w:val="0"/>
                <w:color w:val="000000"/>
                <w:sz w:val="11"/>
              </w:rPr>
              <w:t>-1.4518</w:t>
            </w:r>
          </w:p>
        </w:tc>
        <w:tc>
          <w:tcPr>
            <w:tcW w:type="dxa" w:w="1473"/>
            <w:vAlign w:val="center"/>
          </w:tcPr>
          <w:p>
            <w:pPr>
              <w:spacing w:after="0" w:line="240" w:lineRule="auto"/>
              <w:jc w:val="center"/>
            </w:pPr>
            <w:r/>
            <w:r>
              <w:rPr>
                <w:rFonts w:ascii="Calibri" w:hAnsi="Calibri"/>
                <w:b w:val="0"/>
                <w:i w:val="0"/>
                <w:color w:val="000000"/>
                <w:sz w:val="11"/>
              </w:rPr>
              <w:t>0.1488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LSTM</w:t>
            </w:r>
          </w:p>
        </w:tc>
        <w:tc>
          <w:tcPr>
            <w:tcW w:type="dxa" w:w="2525"/>
            <w:vAlign w:val="center"/>
          </w:tcPr>
          <w:p>
            <w:pPr>
              <w:spacing w:after="0" w:line="240" w:lineRule="auto"/>
              <w:jc w:val="center"/>
            </w:pPr>
            <w:r/>
            <w:r>
              <w:rPr>
                <w:rFonts w:ascii="Calibri" w:hAnsi="Calibri"/>
                <w:b w:val="0"/>
                <w:i w:val="0"/>
                <w:color w:val="000000"/>
                <w:sz w:val="11"/>
              </w:rPr>
              <w:t>-1.4003</w:t>
            </w:r>
          </w:p>
        </w:tc>
        <w:tc>
          <w:tcPr>
            <w:tcW w:type="dxa" w:w="1473"/>
            <w:vAlign w:val="center"/>
          </w:tcPr>
          <w:p>
            <w:pPr>
              <w:spacing w:after="0" w:line="240" w:lineRule="auto"/>
              <w:jc w:val="center"/>
            </w:pPr>
            <w:r/>
            <w:r>
              <w:rPr>
                <w:rFonts w:ascii="Calibri" w:hAnsi="Calibri"/>
                <w:b w:val="0"/>
                <w:i w:val="0"/>
                <w:color w:val="000000"/>
                <w:sz w:val="11"/>
              </w:rPr>
              <w:t>0.1636</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MLP</w:t>
            </w:r>
          </w:p>
        </w:tc>
        <w:tc>
          <w:tcPr>
            <w:tcW w:type="dxa" w:w="2525"/>
            <w:vAlign w:val="center"/>
          </w:tcPr>
          <w:p>
            <w:pPr>
              <w:spacing w:after="0" w:line="240" w:lineRule="auto"/>
              <w:jc w:val="center"/>
            </w:pPr>
            <w:r/>
            <w:r>
              <w:rPr>
                <w:rFonts w:ascii="Calibri" w:hAnsi="Calibri"/>
                <w:b w:val="0"/>
                <w:i w:val="0"/>
                <w:color w:val="000000"/>
                <w:sz w:val="11"/>
              </w:rPr>
              <w:t>-0.9658</w:t>
            </w:r>
          </w:p>
        </w:tc>
        <w:tc>
          <w:tcPr>
            <w:tcW w:type="dxa" w:w="1473"/>
            <w:vAlign w:val="center"/>
          </w:tcPr>
          <w:p>
            <w:pPr>
              <w:spacing w:after="0" w:line="240" w:lineRule="auto"/>
              <w:jc w:val="center"/>
            </w:pPr>
            <w:r/>
            <w:r>
              <w:rPr>
                <w:rFonts w:ascii="Calibri" w:hAnsi="Calibri"/>
                <w:b w:val="0"/>
                <w:i w:val="0"/>
                <w:color w:val="000000"/>
                <w:sz w:val="11"/>
              </w:rPr>
              <w:t>0.3358</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ARIMA</w:t>
            </w:r>
          </w:p>
        </w:tc>
        <w:tc>
          <w:tcPr>
            <w:tcW w:type="dxa" w:w="2525"/>
            <w:vAlign w:val="center"/>
          </w:tcPr>
          <w:p>
            <w:pPr>
              <w:spacing w:after="0" w:line="240" w:lineRule="auto"/>
              <w:jc w:val="center"/>
            </w:pPr>
            <w:r/>
            <w:r>
              <w:rPr>
                <w:rFonts w:ascii="Calibri" w:hAnsi="Calibri"/>
                <w:b w:val="0"/>
                <w:i w:val="0"/>
                <w:color w:val="000000"/>
                <w:sz w:val="11"/>
              </w:rPr>
              <w:t>-0.8962</w:t>
            </w:r>
          </w:p>
        </w:tc>
        <w:tc>
          <w:tcPr>
            <w:tcW w:type="dxa" w:w="1473"/>
            <w:vAlign w:val="center"/>
          </w:tcPr>
          <w:p>
            <w:pPr>
              <w:spacing w:after="0" w:line="240" w:lineRule="auto"/>
              <w:jc w:val="center"/>
            </w:pPr>
            <w:r/>
            <w:r>
              <w:rPr>
                <w:rFonts w:ascii="Calibri" w:hAnsi="Calibri"/>
                <w:b w:val="0"/>
                <w:i w:val="0"/>
                <w:color w:val="000000"/>
                <w:sz w:val="11"/>
              </w:rPr>
              <w:t>0.3717</w:t>
            </w:r>
          </w:p>
        </w:tc>
        <w:tc>
          <w:tcPr>
            <w:tcW w:type="dxa" w:w="3369"/>
            <w:vAlign w:val="center"/>
          </w:tcPr>
          <w:p>
            <w:pPr>
              <w:spacing w:after="0" w:line="240" w:lineRule="auto"/>
              <w:jc w:val="center"/>
            </w:pPr>
            <w:r/>
            <w:r>
              <w:rPr>
                <w:rFonts w:ascii="Calibri" w:hAnsi="Calibri"/>
                <w:b w:val="0"/>
                <w:i w:val="0"/>
                <w:color w:val="000000"/>
                <w:sz w:val="11"/>
              </w:rPr>
              <w:t>Proposed better</w:t>
            </w:r>
          </w:p>
        </w:tc>
      </w:tr>
      <w:tr>
        <w:tc>
          <w:tcPr>
            <w:tcW w:type="dxa" w:w="3577"/>
            <w:vAlign w:val="center"/>
          </w:tcPr>
          <w:p>
            <w:pPr>
              <w:spacing w:after="0" w:line="240" w:lineRule="auto"/>
              <w:jc w:val="left"/>
            </w:pPr>
            <w:r/>
            <w:r>
              <w:rPr>
                <w:rFonts w:ascii="Calibri" w:hAnsi="Calibri"/>
                <w:b w:val="0"/>
                <w:i w:val="0"/>
                <w:color w:val="000000"/>
                <w:sz w:val="11"/>
              </w:rPr>
              <w:t>lithium_hydroxide</w:t>
            </w:r>
          </w:p>
        </w:tc>
        <w:tc>
          <w:tcPr>
            <w:tcW w:type="dxa" w:w="2736"/>
            <w:vAlign w:val="center"/>
          </w:tcPr>
          <w:p>
            <w:pPr>
              <w:spacing w:after="0" w:line="240" w:lineRule="auto"/>
              <w:jc w:val="center"/>
            </w:pPr>
            <w:r/>
            <w:r>
              <w:rPr>
                <w:rFonts w:ascii="Calibri" w:hAnsi="Calibri"/>
                <w:b w:val="0"/>
                <w:i w:val="0"/>
                <w:color w:val="000000"/>
                <w:sz w:val="11"/>
              </w:rPr>
              <w:t>ELM</w:t>
            </w:r>
          </w:p>
        </w:tc>
        <w:tc>
          <w:tcPr>
            <w:tcW w:type="dxa" w:w="2525"/>
            <w:vAlign w:val="center"/>
          </w:tcPr>
          <w:p>
            <w:pPr>
              <w:spacing w:after="0" w:line="240" w:lineRule="auto"/>
              <w:jc w:val="center"/>
            </w:pPr>
            <w:r/>
            <w:r>
              <w:rPr>
                <w:rFonts w:ascii="Calibri" w:hAnsi="Calibri"/>
                <w:b w:val="0"/>
                <w:i w:val="0"/>
                <w:color w:val="000000"/>
                <w:sz w:val="11"/>
              </w:rPr>
              <w:t>-0.5723</w:t>
            </w:r>
          </w:p>
        </w:tc>
        <w:tc>
          <w:tcPr>
            <w:tcW w:type="dxa" w:w="1473"/>
            <w:vAlign w:val="center"/>
          </w:tcPr>
          <w:p>
            <w:pPr>
              <w:spacing w:after="0" w:line="240" w:lineRule="auto"/>
              <w:jc w:val="center"/>
            </w:pPr>
            <w:r/>
            <w:r>
              <w:rPr>
                <w:rFonts w:ascii="Calibri" w:hAnsi="Calibri"/>
                <w:b w:val="0"/>
                <w:i w:val="0"/>
                <w:color w:val="000000"/>
                <w:sz w:val="11"/>
              </w:rPr>
              <w:t>0.5681</w:t>
            </w:r>
          </w:p>
        </w:tc>
        <w:tc>
          <w:tcPr>
            <w:tcW w:type="dxa" w:w="3369"/>
            <w:vAlign w:val="center"/>
          </w:tcPr>
          <w:p>
            <w:pPr>
              <w:spacing w:after="0" w:line="240" w:lineRule="auto"/>
              <w:jc w:val="center"/>
            </w:pPr>
            <w:r/>
            <w:r>
              <w:rPr>
                <w:rFonts w:ascii="Calibri" w:hAnsi="Calibri"/>
                <w:b w:val="0"/>
                <w:i w:val="0"/>
                <w:color w:val="000000"/>
                <w:sz w:val="11"/>
              </w:rPr>
              <w:t>Proposed better</w:t>
            </w:r>
          </w:p>
        </w:tc>
      </w:tr>
    </w:tbl>
    <w:p>
      <w:pPr>
        <w:spacing w:after="60"/>
      </w:pPr>
    </w:p>
    <w:p>
      <w:pPr>
        <w:pStyle w:val="Heading3"/>
      </w:pPr>
      <w:r>
        <w:t>Interpretation of Table 9</w:t>
      </w:r>
    </w:p>
    <w:p>
      <w:pPr>
        <w:spacing w:after="160" w:line="320" w:lineRule="auto"/>
        <w:jc w:val="both"/>
      </w:pPr>
      <w:r>
        <w:rPr>
          <w:rFonts w:ascii="Calibri" w:hAnsi="Calibri"/>
          <w:b/>
          <w:i w:val="0"/>
          <w:color w:val="000000"/>
          <w:sz w:val="22"/>
        </w:rPr>
        <w:t>How to read the sign:</w:t>
      </w:r>
      <w:r>
        <w:rPr>
          <w:rFonts w:ascii="Calibri" w:hAnsi="Calibri"/>
          <w:b w:val="0"/>
          <w:i w:val="0"/>
          <w:color w:val="000000"/>
          <w:sz w:val="22"/>
        </w:rPr>
        <w:t xml:space="preserve"> The loss differential is proposed-model squared error minus benchmark squared error. A negative DM statistic therefore favors the proposed model; a positive statistic favors the benchmark. The p-value tests equal average predictive loss, not economic profitability.</w:t>
      </w:r>
    </w:p>
    <w:p>
      <w:pPr>
        <w:spacing w:after="160" w:line="320" w:lineRule="auto"/>
        <w:jc w:val="both"/>
      </w:pPr>
      <w:r>
        <w:rPr>
          <w:rFonts w:ascii="Calibri" w:hAnsi="Calibri"/>
          <w:b/>
          <w:i w:val="0"/>
          <w:color w:val="000000"/>
          <w:sz w:val="22"/>
        </w:rPr>
        <w:t>Carbonate evidence:</w:t>
      </w:r>
      <w:r>
        <w:rPr>
          <w:rFonts w:ascii="Calibri" w:hAnsi="Calibri"/>
          <w:b w:val="0"/>
          <w:i w:val="0"/>
          <w:color w:val="000000"/>
          <w:sz w:val="22"/>
        </w:rPr>
        <w:t xml:space="preserve"> The proposed model is significantly better at the 5% level than seven of eleven comparators: ES, ELM, VMD-ARIMA, MLP, SVR, LSTM, and VMD-LSTM. No carbonate benchmark is significantly better than the proposed model, even though CEEMDAN-LSTM has a lower aggregate RMSE; the timing and distribution of errors matter to the DM statistic.</w:t>
      </w:r>
    </w:p>
    <w:p>
      <w:pPr>
        <w:spacing w:after="160" w:line="320" w:lineRule="auto"/>
        <w:jc w:val="both"/>
      </w:pPr>
      <w:r>
        <w:rPr>
          <w:rFonts w:ascii="Calibri" w:hAnsi="Calibri"/>
          <w:b/>
          <w:i w:val="0"/>
          <w:color w:val="000000"/>
          <w:sz w:val="22"/>
        </w:rPr>
        <w:t>Hydroxide evidence:</w:t>
      </w:r>
      <w:r>
        <w:rPr>
          <w:rFonts w:ascii="Calibri" w:hAnsi="Calibri"/>
          <w:b w:val="0"/>
          <w:i w:val="0"/>
          <w:color w:val="000000"/>
          <w:sz w:val="22"/>
        </w:rPr>
        <w:t xml:space="preserve"> The pattern is less favorable for hydroxide. The proposed model significantly beats ES and RF, but VMD-ARIMA and CEEMDAN-ARIMA significantly beat the proposed model. The remaining comparisons do not reject equal loss at 5%, so they should not be described as confirmed wins.</w:t>
      </w:r>
    </w:p>
    <w:p>
      <w:pPr>
        <w:spacing w:after="160" w:line="320" w:lineRule="auto"/>
        <w:jc w:val="both"/>
      </w:pPr>
      <w:r>
        <w:rPr>
          <w:rFonts w:ascii="Calibri" w:hAnsi="Calibri"/>
          <w:b/>
          <w:i w:val="0"/>
          <w:color w:val="000000"/>
          <w:sz w:val="22"/>
        </w:rPr>
        <w:t>Multiplicity caution:</w:t>
      </w:r>
      <w:r>
        <w:rPr>
          <w:rFonts w:ascii="Calibri" w:hAnsi="Calibri"/>
          <w:b w:val="0"/>
          <w:i w:val="0"/>
          <w:color w:val="000000"/>
          <w:sz w:val="22"/>
        </w:rPr>
        <w:t xml:space="preserve"> Twenty-two proposed-versus-benchmark tests are displayed to make the full comparison set transparent, but no family-wise multiplicity correction is applied. Isolated nominal p-values should therefore be interpreted alongside effect sizes, target-level metrics, and a robustness correction in any journal submission.</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For lithium hydroxide, the proposed model's RMSE of 0.5360 is 16.7% below the best single-model RMSE. CEEMDAN-ARIMA nevertheless achieves the lowest overall RMSE. For lithium carbonate, the proposed RMSE of 3672.30 is 1.7% above the best single model, and CEEMDAN-LSTM obtains the lowest overall RMSE. The proposed architecture strongly outperforms several weak nonlinear and smoothing benchmarks but does not dominate every decomposition alternative.</w:t>
      </w:r>
    </w:p>
    <w:p>
      <w:pPr>
        <w:spacing w:after="160" w:line="320" w:lineRule="auto"/>
        <w:jc w:val="both"/>
      </w:pPr>
      <w:r>
        <w:rPr>
          <w:rFonts w:ascii="Calibri" w:hAnsi="Calibri"/>
          <w:b w:val="0"/>
          <w:i w:val="0"/>
          <w:color w:val="000000"/>
          <w:sz w:val="22"/>
        </w:rPr>
        <w:t>This ranking is the forecasting conclusion of the paper. CEEMDAN-ARIMA is superior to the proposed model on hydroxide RMSE, MAE, and MAPE, while VMD-ARIMA has higher hydroxide directional accuracy. For carbonate, CEEMDAN-LSTM has the lowest RMSE and CEEMDAN-ARIMA has the lowest MAE, MAPE, and highest directional accuracy. The proposed model must therefore be described as competitive and selectively useful—not consistently best. Figure 10 visualizes this complete comparison set and does not redefine the winner through normalization.</w:t>
      </w:r>
    </w:p>
    <w:p>
      <w:pPr>
        <w:spacing w:after="160" w:line="320" w:lineRule="auto"/>
        <w:jc w:val="both"/>
      </w:pPr>
      <w:r>
        <w:rPr>
          <w:rFonts w:ascii="Calibri" w:hAnsi="Calibri"/>
          <w:b w:val="0"/>
          <w:i w:val="0"/>
          <w:color w:val="000000"/>
          <w:sz w:val="22"/>
        </w:rPr>
        <w:t>The DM table should be read jointly with effect sizes. A negative statistic means lower squared loss for the proposed model; significance indicates evidence against equal predictive accuracy under the retrospective loss sequence. Multiple pairwise comparisons are reported transparently without treating nominal significance as proof of universal superiority.</w:t>
      </w:r>
    </w:p>
    <w:p>
      <w:pPr>
        <w:pStyle w:val="Heading1"/>
      </w:pPr>
      <w:r>
        <w:t>7. Interval forecasting and trading</w:t>
      </w:r>
    </w:p>
    <w:p>
      <w:pPr>
        <w:pStyle w:val="Heading2"/>
      </w:pPr>
      <w:r>
        <w:t>7.1 Interval calibration</w:t>
      </w:r>
    </w:p>
    <w:p>
      <w:pPr>
        <w:keepNext/>
        <w:spacing w:before="100" w:after="80"/>
      </w:pPr>
      <w:r>
        <w:rPr>
          <w:rFonts w:ascii="Calibri" w:hAnsi="Calibri"/>
          <w:b/>
          <w:i w:val="0"/>
          <w:color w:val="1F4D78"/>
          <w:sz w:val="18"/>
        </w:rPr>
        <w:t xml:space="preserve">Figure 11. </w:t>
      </w:r>
      <w:r>
        <w:rPr>
          <w:rFonts w:ascii="Calibri" w:hAnsi="Calibri"/>
          <w:b w:val="0"/>
          <w:i/>
          <w:color w:val="000000"/>
          <w:sz w:val="18"/>
        </w:rPr>
        <w:t>Retrospective 90% interval forecasts from the proposed model.</w:t>
      </w:r>
    </w:p>
    <w:p>
      <w:pPr>
        <w:spacing w:after="180"/>
        <w:jc w:val="center"/>
      </w:pPr>
      <w:r>
        <w:drawing>
          <wp:inline xmlns:a="http://schemas.openxmlformats.org/drawingml/2006/main" xmlns:pic="http://schemas.openxmlformats.org/drawingml/2006/picture">
            <wp:extent cx="5760720" cy="3774978"/>
            <wp:docPr id="11" name="Picture 11"/>
            <wp:cNvGraphicFramePr>
              <a:graphicFrameLocks noChangeAspect="1"/>
            </wp:cNvGraphicFramePr>
            <a:graphic>
              <a:graphicData uri="http://schemas.openxmlformats.org/drawingml/2006/picture">
                <pic:pic>
                  <pic:nvPicPr>
                    <pic:cNvPr id="0" name="fig11_intervals.png"/>
                    <pic:cNvPicPr/>
                  </pic:nvPicPr>
                  <pic:blipFill>
                    <a:blip r:embed="rId21"/>
                    <a:stretch>
                      <a:fillRect/>
                    </a:stretch>
                  </pic:blipFill>
                  <pic:spPr>
                    <a:xfrm>
                      <a:off x="0" y="0"/>
                      <a:ext cx="5760720" cy="3774978"/>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10. </w:t>
      </w:r>
      <w:r>
        <w:rPr>
          <w:rFonts w:ascii="Calibri" w:hAnsi="Calibri"/>
          <w:b w:val="0"/>
          <w:i/>
          <w:color w:val="000000"/>
          <w:sz w:val="18"/>
        </w:rPr>
        <w:t>Interval forecasting errors on the evaluation sets.</w:t>
      </w:r>
    </w:p>
    <w:tbl>
      <w:tblPr>
        <w:tblStyle w:val="TableGrid"/>
        <w:tblW w:type="dxa" w:w="13680"/>
        <w:jc w:val="left"/>
        <w:tblLayout w:type="fixed"/>
        <w:tblLook w:firstColumn="1" w:firstRow="1" w:lastColumn="0" w:lastRow="0" w:noHBand="0" w:noVBand="1" w:val="04A0"/>
      </w:tblPr>
      <w:tblGrid>
        <w:gridCol w:w="2704"/>
        <w:gridCol w:w="3181"/>
        <w:gridCol w:w="1908"/>
        <w:gridCol w:w="1590"/>
        <w:gridCol w:w="2704"/>
        <w:gridCol w:w="1593"/>
      </w:tblGrid>
      <w:tr>
        <w:trPr>
          <w:tblHeader w:val="true"/>
        </w:trPr>
        <w:tc>
          <w:tcPr>
            <w:tcW w:type="dxa" w:w="2704"/>
            <w:shd w:fill="F4F6F9"/>
            <w:vAlign w:val="center"/>
          </w:tcPr>
          <w:p>
            <w:pPr>
              <w:jc w:val="center"/>
            </w:pPr>
            <w:r/>
            <w:r>
              <w:rPr>
                <w:rFonts w:ascii="Calibri" w:hAnsi="Calibri"/>
                <w:b/>
                <w:i w:val="0"/>
                <w:color w:val="0B2545"/>
                <w:sz w:val="12"/>
              </w:rPr>
              <w:t>Target</w:t>
            </w:r>
          </w:p>
        </w:tc>
        <w:tc>
          <w:tcPr>
            <w:tcW w:type="dxa" w:w="3181"/>
            <w:shd w:fill="F4F6F9"/>
            <w:vAlign w:val="center"/>
          </w:tcPr>
          <w:p>
            <w:pPr>
              <w:jc w:val="center"/>
            </w:pPr>
            <w:r/>
            <w:r>
              <w:rPr>
                <w:rFonts w:ascii="Calibri" w:hAnsi="Calibri"/>
                <w:b/>
                <w:i w:val="0"/>
                <w:color w:val="0B2545"/>
                <w:sz w:val="12"/>
              </w:rPr>
              <w:t>Nominal Coverage (%)</w:t>
            </w:r>
          </w:p>
        </w:tc>
        <w:tc>
          <w:tcPr>
            <w:tcW w:type="dxa" w:w="1908"/>
            <w:shd w:fill="F4F6F9"/>
            <w:vAlign w:val="center"/>
          </w:tcPr>
          <w:p>
            <w:pPr>
              <w:jc w:val="center"/>
            </w:pPr>
            <w:r/>
            <w:r>
              <w:rPr>
                <w:rFonts w:ascii="Calibri" w:hAnsi="Calibri"/>
                <w:b/>
                <w:i w:val="0"/>
                <w:color w:val="0B2545"/>
                <w:sz w:val="12"/>
              </w:rPr>
              <w:t>Coverage (%)</w:t>
            </w:r>
          </w:p>
        </w:tc>
        <w:tc>
          <w:tcPr>
            <w:tcW w:type="dxa" w:w="1590"/>
            <w:shd w:fill="F4F6F9"/>
            <w:vAlign w:val="center"/>
          </w:tcPr>
          <w:p>
            <w:pPr>
              <w:jc w:val="center"/>
            </w:pPr>
            <w:r/>
            <w:r>
              <w:rPr>
                <w:rFonts w:ascii="Calibri" w:hAnsi="Calibri"/>
                <w:b/>
                <w:i w:val="0"/>
                <w:color w:val="0B2545"/>
                <w:sz w:val="12"/>
              </w:rPr>
              <w:t>Avg Width</w:t>
            </w:r>
          </w:p>
        </w:tc>
        <w:tc>
          <w:tcPr>
            <w:tcW w:type="dxa" w:w="2704"/>
            <w:shd w:fill="F4F6F9"/>
            <w:vAlign w:val="center"/>
          </w:tcPr>
          <w:p>
            <w:pPr>
              <w:jc w:val="center"/>
            </w:pPr>
            <w:r/>
            <w:r>
              <w:rPr>
                <w:rFonts w:ascii="Calibri" w:hAnsi="Calibri"/>
                <w:b/>
                <w:i w:val="0"/>
                <w:color w:val="0B2545"/>
                <w:sz w:val="12"/>
              </w:rPr>
              <w:t>Calibration Error</w:t>
            </w:r>
          </w:p>
        </w:tc>
        <w:tc>
          <w:tcPr>
            <w:tcW w:type="dxa" w:w="1593"/>
            <w:shd w:fill="F4F6F9"/>
            <w:vAlign w:val="center"/>
          </w:tcPr>
          <w:p>
            <w:pPr>
              <w:jc w:val="center"/>
            </w:pPr>
            <w:r/>
            <w:r>
              <w:rPr>
                <w:rFonts w:ascii="Calibri" w:hAnsi="Calibri"/>
                <w:b/>
                <w:i w:val="0"/>
                <w:color w:val="0B2545"/>
                <w:sz w:val="12"/>
              </w:rPr>
              <w:t>Winkler</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52.94</w:t>
            </w:r>
          </w:p>
        </w:tc>
        <w:tc>
          <w:tcPr>
            <w:tcW w:type="dxa" w:w="1590"/>
            <w:vAlign w:val="center"/>
          </w:tcPr>
          <w:p>
            <w:pPr>
              <w:spacing w:after="0" w:line="240" w:lineRule="auto"/>
              <w:jc w:val="center"/>
            </w:pPr>
            <w:r/>
            <w:r>
              <w:rPr>
                <w:rFonts w:ascii="Calibri" w:hAnsi="Calibri"/>
                <w:b w:val="0"/>
                <w:i w:val="0"/>
                <w:color w:val="000000"/>
                <w:sz w:val="12"/>
              </w:rPr>
              <w:t>2703.6971</w:t>
            </w:r>
          </w:p>
        </w:tc>
        <w:tc>
          <w:tcPr>
            <w:tcW w:type="dxa" w:w="2704"/>
            <w:vAlign w:val="center"/>
          </w:tcPr>
          <w:p>
            <w:pPr>
              <w:spacing w:after="0" w:line="240" w:lineRule="auto"/>
              <w:jc w:val="center"/>
            </w:pPr>
            <w:r/>
            <w:r>
              <w:rPr>
                <w:rFonts w:ascii="Calibri" w:hAnsi="Calibri"/>
                <w:b w:val="0"/>
                <w:i w:val="0"/>
                <w:color w:val="000000"/>
                <w:sz w:val="12"/>
              </w:rPr>
              <w:t>27.0588</w:t>
            </w:r>
          </w:p>
        </w:tc>
        <w:tc>
          <w:tcPr>
            <w:tcW w:type="dxa" w:w="1593"/>
            <w:vAlign w:val="center"/>
          </w:tcPr>
          <w:p>
            <w:pPr>
              <w:spacing w:after="0" w:line="240" w:lineRule="auto"/>
              <w:jc w:val="center"/>
            </w:pPr>
            <w:r/>
            <w:r>
              <w:rPr>
                <w:rFonts w:ascii="Calibri" w:hAnsi="Calibri"/>
                <w:b w:val="0"/>
                <w:i w:val="0"/>
                <w:color w:val="000000"/>
                <w:sz w:val="12"/>
              </w:rPr>
              <w:t>14374.2201</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59.80</w:t>
            </w:r>
          </w:p>
        </w:tc>
        <w:tc>
          <w:tcPr>
            <w:tcW w:type="dxa" w:w="1590"/>
            <w:vAlign w:val="center"/>
          </w:tcPr>
          <w:p>
            <w:pPr>
              <w:spacing w:after="0" w:line="240" w:lineRule="auto"/>
              <w:jc w:val="center"/>
            </w:pPr>
            <w:r/>
            <w:r>
              <w:rPr>
                <w:rFonts w:ascii="Calibri" w:hAnsi="Calibri"/>
                <w:b w:val="0"/>
                <w:i w:val="0"/>
                <w:color w:val="000000"/>
                <w:sz w:val="12"/>
              </w:rPr>
              <w:t>3424.6967</w:t>
            </w:r>
          </w:p>
        </w:tc>
        <w:tc>
          <w:tcPr>
            <w:tcW w:type="dxa" w:w="2704"/>
            <w:vAlign w:val="center"/>
          </w:tcPr>
          <w:p>
            <w:pPr>
              <w:spacing w:after="0" w:line="240" w:lineRule="auto"/>
              <w:jc w:val="center"/>
            </w:pPr>
            <w:r/>
            <w:r>
              <w:rPr>
                <w:rFonts w:ascii="Calibri" w:hAnsi="Calibri"/>
                <w:b w:val="0"/>
                <w:i w:val="0"/>
                <w:color w:val="000000"/>
                <w:sz w:val="12"/>
              </w:rPr>
              <w:t>30.1961</w:t>
            </w:r>
          </w:p>
        </w:tc>
        <w:tc>
          <w:tcPr>
            <w:tcW w:type="dxa" w:w="1593"/>
            <w:vAlign w:val="center"/>
          </w:tcPr>
          <w:p>
            <w:pPr>
              <w:spacing w:after="0" w:line="240" w:lineRule="auto"/>
              <w:jc w:val="center"/>
            </w:pPr>
            <w:r/>
            <w:r>
              <w:rPr>
                <w:rFonts w:ascii="Calibri" w:hAnsi="Calibri"/>
                <w:b w:val="0"/>
                <w:i w:val="0"/>
                <w:color w:val="000000"/>
                <w:sz w:val="12"/>
              </w:rPr>
              <w:t>23738.9808</w:t>
            </w:r>
          </w:p>
        </w:tc>
      </w:tr>
      <w:tr>
        <w:tc>
          <w:tcPr>
            <w:tcW w:type="dxa" w:w="2704"/>
            <w:vAlign w:val="center"/>
          </w:tcPr>
          <w:p>
            <w:pPr>
              <w:spacing w:after="0" w:line="240" w:lineRule="auto"/>
              <w:jc w:val="left"/>
            </w:pPr>
            <w:r/>
            <w:r>
              <w:rPr>
                <w:rFonts w:ascii="Calibri" w:hAnsi="Calibri"/>
                <w:b w:val="0"/>
                <w:i w:val="0"/>
                <w:color w:val="000000"/>
                <w:sz w:val="12"/>
              </w:rPr>
              <w:t>lithium_carbonate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55769.7036</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55769.7036</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80.00</w:t>
            </w:r>
          </w:p>
        </w:tc>
        <w:tc>
          <w:tcPr>
            <w:tcW w:type="dxa" w:w="1908"/>
            <w:vAlign w:val="center"/>
          </w:tcPr>
          <w:p>
            <w:pPr>
              <w:spacing w:after="0" w:line="240" w:lineRule="auto"/>
              <w:jc w:val="center"/>
            </w:pPr>
            <w:r/>
            <w:r>
              <w:rPr>
                <w:rFonts w:ascii="Calibri" w:hAnsi="Calibri"/>
                <w:b w:val="0"/>
                <w:i w:val="0"/>
                <w:color w:val="000000"/>
                <w:sz w:val="12"/>
              </w:rPr>
              <w:t>38.10</w:t>
            </w:r>
          </w:p>
        </w:tc>
        <w:tc>
          <w:tcPr>
            <w:tcW w:type="dxa" w:w="1590"/>
            <w:vAlign w:val="center"/>
          </w:tcPr>
          <w:p>
            <w:pPr>
              <w:spacing w:after="0" w:line="240" w:lineRule="auto"/>
              <w:jc w:val="center"/>
            </w:pPr>
            <w:r/>
            <w:r>
              <w:rPr>
                <w:rFonts w:ascii="Calibri" w:hAnsi="Calibri"/>
                <w:b w:val="0"/>
                <w:i w:val="0"/>
                <w:color w:val="000000"/>
                <w:sz w:val="12"/>
              </w:rPr>
              <w:t>0.2402</w:t>
            </w:r>
          </w:p>
        </w:tc>
        <w:tc>
          <w:tcPr>
            <w:tcW w:type="dxa" w:w="2704"/>
            <w:vAlign w:val="center"/>
          </w:tcPr>
          <w:p>
            <w:pPr>
              <w:spacing w:after="0" w:line="240" w:lineRule="auto"/>
              <w:jc w:val="center"/>
            </w:pPr>
            <w:r/>
            <w:r>
              <w:rPr>
                <w:rFonts w:ascii="Calibri" w:hAnsi="Calibri"/>
                <w:b w:val="0"/>
                <w:i w:val="0"/>
                <w:color w:val="000000"/>
                <w:sz w:val="12"/>
              </w:rPr>
              <w:t>41.9048</w:t>
            </w:r>
          </w:p>
        </w:tc>
        <w:tc>
          <w:tcPr>
            <w:tcW w:type="dxa" w:w="1593"/>
            <w:vAlign w:val="center"/>
          </w:tcPr>
          <w:p>
            <w:pPr>
              <w:spacing w:after="0" w:line="240" w:lineRule="auto"/>
              <w:jc w:val="center"/>
            </w:pPr>
            <w:r/>
            <w:r>
              <w:rPr>
                <w:rFonts w:ascii="Calibri" w:hAnsi="Calibri"/>
                <w:b w:val="0"/>
                <w:i w:val="0"/>
                <w:color w:val="000000"/>
                <w:sz w:val="12"/>
              </w:rPr>
              <w:t>2.6397</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90.00</w:t>
            </w:r>
          </w:p>
        </w:tc>
        <w:tc>
          <w:tcPr>
            <w:tcW w:type="dxa" w:w="1908"/>
            <w:vAlign w:val="center"/>
          </w:tcPr>
          <w:p>
            <w:pPr>
              <w:spacing w:after="0" w:line="240" w:lineRule="auto"/>
              <w:jc w:val="center"/>
            </w:pPr>
            <w:r/>
            <w:r>
              <w:rPr>
                <w:rFonts w:ascii="Calibri" w:hAnsi="Calibri"/>
                <w:b w:val="0"/>
                <w:i w:val="0"/>
                <w:color w:val="000000"/>
                <w:sz w:val="12"/>
              </w:rPr>
              <w:t>48.57</w:t>
            </w:r>
          </w:p>
        </w:tc>
        <w:tc>
          <w:tcPr>
            <w:tcW w:type="dxa" w:w="1590"/>
            <w:vAlign w:val="center"/>
          </w:tcPr>
          <w:p>
            <w:pPr>
              <w:spacing w:after="0" w:line="240" w:lineRule="auto"/>
              <w:jc w:val="center"/>
            </w:pPr>
            <w:r/>
            <w:r>
              <w:rPr>
                <w:rFonts w:ascii="Calibri" w:hAnsi="Calibri"/>
                <w:b w:val="0"/>
                <w:i w:val="0"/>
                <w:color w:val="000000"/>
                <w:sz w:val="12"/>
              </w:rPr>
              <w:t>0.4251</w:t>
            </w:r>
          </w:p>
        </w:tc>
        <w:tc>
          <w:tcPr>
            <w:tcW w:type="dxa" w:w="2704"/>
            <w:vAlign w:val="center"/>
          </w:tcPr>
          <w:p>
            <w:pPr>
              <w:spacing w:after="0" w:line="240" w:lineRule="auto"/>
              <w:jc w:val="center"/>
            </w:pPr>
            <w:r/>
            <w:r>
              <w:rPr>
                <w:rFonts w:ascii="Calibri" w:hAnsi="Calibri"/>
                <w:b w:val="0"/>
                <w:i w:val="0"/>
                <w:color w:val="000000"/>
                <w:sz w:val="12"/>
              </w:rPr>
              <w:t>41.4286</w:t>
            </w:r>
          </w:p>
        </w:tc>
        <w:tc>
          <w:tcPr>
            <w:tcW w:type="dxa" w:w="1593"/>
            <w:vAlign w:val="center"/>
          </w:tcPr>
          <w:p>
            <w:pPr>
              <w:spacing w:after="0" w:line="240" w:lineRule="auto"/>
              <w:jc w:val="center"/>
            </w:pPr>
            <w:r/>
            <w:r>
              <w:rPr>
                <w:rFonts w:ascii="Calibri" w:hAnsi="Calibri"/>
                <w:b w:val="0"/>
                <w:i w:val="0"/>
                <w:color w:val="000000"/>
                <w:sz w:val="12"/>
              </w:rPr>
              <w:t>4.1833</w:t>
            </w:r>
          </w:p>
        </w:tc>
      </w:tr>
      <w:tr>
        <w:tc>
          <w:tcPr>
            <w:tcW w:type="dxa" w:w="2704"/>
            <w:vAlign w:val="center"/>
          </w:tcPr>
          <w:p>
            <w:pPr>
              <w:spacing w:after="0" w:line="240" w:lineRule="auto"/>
              <w:jc w:val="left"/>
            </w:pPr>
            <w:r/>
            <w:r>
              <w:rPr>
                <w:rFonts w:ascii="Calibri" w:hAnsi="Calibri"/>
                <w:b w:val="0"/>
                <w:i w:val="0"/>
                <w:color w:val="000000"/>
                <w:sz w:val="12"/>
              </w:rPr>
              <w:t>lithium_hydroxide</w:t>
            </w:r>
          </w:p>
        </w:tc>
        <w:tc>
          <w:tcPr>
            <w:tcW w:type="dxa" w:w="3181"/>
            <w:vAlign w:val="center"/>
          </w:tcPr>
          <w:p>
            <w:pPr>
              <w:spacing w:after="0" w:line="240" w:lineRule="auto"/>
              <w:jc w:val="center"/>
            </w:pPr>
            <w:r/>
            <w:r>
              <w:rPr>
                <w:rFonts w:ascii="Calibri" w:hAnsi="Calibri"/>
                <w:b w:val="0"/>
                <w:i w:val="0"/>
                <w:color w:val="000000"/>
                <w:sz w:val="12"/>
              </w:rPr>
              <w:t>95.00</w:t>
            </w:r>
          </w:p>
        </w:tc>
        <w:tc>
          <w:tcPr>
            <w:tcW w:type="dxa" w:w="1908"/>
            <w:vAlign w:val="center"/>
          </w:tcPr>
          <w:p>
            <w:pPr>
              <w:spacing w:after="0" w:line="240" w:lineRule="auto"/>
              <w:jc w:val="center"/>
            </w:pPr>
            <w:r/>
            <w:r>
              <w:rPr>
                <w:rFonts w:ascii="Calibri" w:hAnsi="Calibri"/>
                <w:b w:val="0"/>
                <w:i w:val="0"/>
                <w:color w:val="000000"/>
                <w:sz w:val="12"/>
              </w:rPr>
              <w:t>100.00</w:t>
            </w:r>
          </w:p>
        </w:tc>
        <w:tc>
          <w:tcPr>
            <w:tcW w:type="dxa" w:w="1590"/>
            <w:vAlign w:val="center"/>
          </w:tcPr>
          <w:p>
            <w:pPr>
              <w:spacing w:after="0" w:line="240" w:lineRule="auto"/>
              <w:jc w:val="center"/>
            </w:pPr>
            <w:r/>
            <w:r>
              <w:rPr>
                <w:rFonts w:ascii="Calibri" w:hAnsi="Calibri"/>
                <w:b w:val="0"/>
                <w:i w:val="0"/>
                <w:color w:val="000000"/>
                <w:sz w:val="12"/>
              </w:rPr>
              <w:t>8.5249</w:t>
            </w:r>
          </w:p>
        </w:tc>
        <w:tc>
          <w:tcPr>
            <w:tcW w:type="dxa" w:w="2704"/>
            <w:vAlign w:val="center"/>
          </w:tcPr>
          <w:p>
            <w:pPr>
              <w:spacing w:after="0" w:line="240" w:lineRule="auto"/>
              <w:jc w:val="center"/>
            </w:pPr>
            <w:r/>
            <w:r>
              <w:rPr>
                <w:rFonts w:ascii="Calibri" w:hAnsi="Calibri"/>
                <w:b w:val="0"/>
                <w:i w:val="0"/>
                <w:color w:val="000000"/>
                <w:sz w:val="12"/>
              </w:rPr>
              <w:t>5.0000</w:t>
            </w:r>
          </w:p>
        </w:tc>
        <w:tc>
          <w:tcPr>
            <w:tcW w:type="dxa" w:w="1593"/>
            <w:vAlign w:val="center"/>
          </w:tcPr>
          <w:p>
            <w:pPr>
              <w:spacing w:after="0" w:line="240" w:lineRule="auto"/>
              <w:jc w:val="center"/>
            </w:pPr>
            <w:r/>
            <w:r>
              <w:rPr>
                <w:rFonts w:ascii="Calibri" w:hAnsi="Calibri"/>
                <w:b w:val="0"/>
                <w:i w:val="0"/>
                <w:color w:val="000000"/>
                <w:sz w:val="12"/>
              </w:rPr>
              <w:t>8.5249</w:t>
            </w:r>
          </w:p>
        </w:tc>
      </w:tr>
    </w:tbl>
    <w:p>
      <w:pPr>
        <w:spacing w:after="60"/>
      </w:pPr>
    </w:p>
    <w:p>
      <w:pPr>
        <w:pStyle w:val="Heading3"/>
      </w:pPr>
      <w:r>
        <w:t>Interpretation of Table 10</w:t>
      </w:r>
    </w:p>
    <w:p>
      <w:pPr>
        <w:spacing w:after="160" w:line="320" w:lineRule="auto"/>
        <w:jc w:val="both"/>
      </w:pPr>
      <w:r>
        <w:rPr>
          <w:rFonts w:ascii="Calibri" w:hAnsi="Calibri"/>
          <w:b/>
          <w:i w:val="0"/>
          <w:color w:val="000000"/>
          <w:sz w:val="22"/>
        </w:rPr>
        <w:t>Coverage failure:</w:t>
      </w:r>
      <w:r>
        <w:rPr>
          <w:rFonts w:ascii="Calibri" w:hAnsi="Calibri"/>
          <w:b w:val="0"/>
          <w:i w:val="0"/>
          <w:color w:val="000000"/>
          <w:sz w:val="22"/>
        </w:rPr>
        <w:t xml:space="preserve"> The 80% and 90% intervals under-cover both targets. Carbonate realizes only 52.94% and 59.80% coverage, while hydroxide realizes 38.10% and 48.57%. Calibration errors of 27-42 percentage points show that the central intervals are too narrow after the calibration segment.</w:t>
      </w:r>
    </w:p>
    <w:p>
      <w:pPr>
        <w:spacing w:after="160" w:line="320" w:lineRule="auto"/>
        <w:jc w:val="both"/>
      </w:pPr>
      <w:r>
        <w:rPr>
          <w:rFonts w:ascii="Calibri" w:hAnsi="Calibri"/>
          <w:b/>
          <w:i w:val="0"/>
          <w:color w:val="000000"/>
          <w:sz w:val="22"/>
        </w:rPr>
        <w:t>Why 95% is misleading:</w:t>
      </w:r>
      <w:r>
        <w:rPr>
          <w:rFonts w:ascii="Calibri" w:hAnsi="Calibri"/>
          <w:b w:val="0"/>
          <w:i w:val="0"/>
          <w:color w:val="000000"/>
          <w:sz w:val="22"/>
        </w:rPr>
        <w:t xml:space="preserve"> Both 95% intervals reach 100% empirical coverage only by expanding dramatically: average width rises to 55,769.70 for carbonate and 8.5249 for hydroxide. The associated Winkler scores confirm that coverage is purchased with poor sharpness rather than well-calibrated uncertainty.</w:t>
      </w:r>
    </w:p>
    <w:p>
      <w:pPr>
        <w:spacing w:after="160" w:line="320" w:lineRule="auto"/>
        <w:jc w:val="both"/>
      </w:pPr>
      <w:r>
        <w:rPr>
          <w:rFonts w:ascii="Calibri" w:hAnsi="Calibri"/>
          <w:b/>
          <w:i w:val="0"/>
          <w:color w:val="000000"/>
          <w:sz w:val="22"/>
        </w:rPr>
        <w:t>Implication:</w:t>
      </w:r>
      <w:r>
        <w:rPr>
          <w:rFonts w:ascii="Calibri" w:hAnsi="Calibri"/>
          <w:b w:val="0"/>
          <w:i w:val="0"/>
          <w:color w:val="000000"/>
          <w:sz w:val="22"/>
        </w:rPr>
        <w:t xml:space="preserve"> Table 10 does not validate the intervals for deployment. It identifies distribution shift and unstable residual tails within the retrospective holdout. A publishable causal extension should update interval calibration sequentially or use rolling conformal methods and then report conditional as well as marginal coverage.</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The 80% and 90% intervals materially under-cover both targets, while the 95% intervals obtain complete coverage only through extreme width. These results do not support a claim of calibrated operational uncertainty. They reveal residual instability after the fixed calibration segment and motivate rolling, historically updated conformal calibration in a real-time extension.</w:t>
      </w:r>
    </w:p>
    <w:p>
      <w:pPr>
        <w:pStyle w:val="Heading2"/>
      </w:pPr>
      <w:r>
        <w:t>7.2 Economic decision rule</w:t>
      </w:r>
    </w:p>
    <w:p>
      <w:pPr>
        <w:keepNext/>
        <w:spacing w:before="100" w:after="80"/>
      </w:pPr>
      <w:r>
        <w:rPr>
          <w:rFonts w:ascii="Calibri" w:hAnsi="Calibri"/>
          <w:b/>
          <w:i w:val="0"/>
          <w:color w:val="1F4D78"/>
          <w:sz w:val="18"/>
        </w:rPr>
        <w:t xml:space="preserve">Figure 12. </w:t>
      </w:r>
      <w:r>
        <w:rPr>
          <w:rFonts w:ascii="Calibri" w:hAnsi="Calibri"/>
          <w:b w:val="0"/>
          <w:i/>
          <w:color w:val="000000"/>
          <w:sz w:val="18"/>
        </w:rPr>
        <w:t>Graphical illustration of the two trading schemes and their uncertainty-filtered variants.</w:t>
      </w:r>
    </w:p>
    <w:p>
      <w:pPr>
        <w:spacing w:after="180"/>
        <w:jc w:val="center"/>
      </w:pPr>
      <w:r>
        <w:drawing>
          <wp:inline xmlns:a="http://schemas.openxmlformats.org/drawingml/2006/main" xmlns:pic="http://schemas.openxmlformats.org/drawingml/2006/picture">
            <wp:extent cx="5760720" cy="2228374"/>
            <wp:docPr id="12" name="Picture 12"/>
            <wp:cNvGraphicFramePr>
              <a:graphicFrameLocks noChangeAspect="1"/>
            </wp:cNvGraphicFramePr>
            <a:graphic>
              <a:graphicData uri="http://schemas.openxmlformats.org/drawingml/2006/picture">
                <pic:pic>
                  <pic:nvPicPr>
                    <pic:cNvPr id="0" name="fig12_trading.png"/>
                    <pic:cNvPicPr/>
                  </pic:nvPicPr>
                  <pic:blipFill>
                    <a:blip r:embed="rId22"/>
                    <a:stretch>
                      <a:fillRect/>
                    </a:stretch>
                  </pic:blipFill>
                  <pic:spPr>
                    <a:xfrm>
                      <a:off x="0" y="0"/>
                      <a:ext cx="5760720" cy="2228374"/>
                    </a:xfrm>
                    <a:prstGeom prst="rect"/>
                  </pic:spPr>
                </pic:pic>
              </a:graphicData>
            </a:graphic>
          </wp:inline>
        </w:drawing>
      </w:r>
    </w:p>
    <w:p>
      <w:pPr>
        <w:spacing w:after="160" w:line="320" w:lineRule="auto"/>
        <w:jc w:val="both"/>
      </w:pPr>
      <w:r>
        <w:rPr>
          <w:rFonts w:ascii="Calibri" w:hAnsi="Calibri"/>
          <w:b w:val="0"/>
          <w:i w:val="0"/>
          <w:color w:val="000000"/>
          <w:sz w:val="22"/>
        </w:rPr>
        <w:t>The uncertainty filter is an abstention rule, not a condition that the forecast lie inside its own interval. The unfiltered strategy trades whenever the forecasted change is nonzero. The filtered strategy trades only if |F[t] - P[t-1]| &gt; q90; otherwise it holds zero exposure. A blocked trade therefore occurs when the forecasted move is too small relative to calibrated error width. The realized price P[t] is used only to score the position after the decision and is not an input to the signal formula.</w:t>
      </w:r>
    </w:p>
    <w:p>
      <w:pPr>
        <w:pStyle w:val="Heading2"/>
      </w:pPr>
      <w:r>
        <w:t>7.3 Trading evidence and limits</w:t>
      </w:r>
    </w:p>
    <w:p>
      <w:pPr>
        <w:keepNext/>
        <w:spacing w:before="100" w:after="80"/>
      </w:pPr>
      <w:r>
        <w:rPr>
          <w:rFonts w:ascii="Calibri" w:hAnsi="Calibri"/>
          <w:b/>
          <w:i w:val="0"/>
          <w:color w:val="1F4D78"/>
          <w:sz w:val="18"/>
        </w:rPr>
        <w:t xml:space="preserve">Figure 13. </w:t>
      </w:r>
      <w:r>
        <w:rPr>
          <w:rFonts w:ascii="Calibri" w:hAnsi="Calibri"/>
          <w:b w:val="0"/>
          <w:i/>
          <w:color w:val="000000"/>
          <w:sz w:val="18"/>
        </w:rPr>
        <w:t>Mean trading Sharpe ratios across the two lithium targets under Scheme 2.</w:t>
      </w:r>
    </w:p>
    <w:p>
      <w:pPr>
        <w:spacing w:after="180"/>
        <w:jc w:val="center"/>
      </w:pPr>
      <w:r>
        <w:drawing>
          <wp:inline xmlns:a="http://schemas.openxmlformats.org/drawingml/2006/main" xmlns:pic="http://schemas.openxmlformats.org/drawingml/2006/picture">
            <wp:extent cx="5760720" cy="2962054"/>
            <wp:docPr id="13" name="Picture 13"/>
            <wp:cNvGraphicFramePr>
              <a:graphicFrameLocks noChangeAspect="1"/>
            </wp:cNvGraphicFramePr>
            <a:graphic>
              <a:graphicData uri="http://schemas.openxmlformats.org/drawingml/2006/picture">
                <pic:pic>
                  <pic:nvPicPr>
                    <pic:cNvPr id="0" name="fig13_trading.png"/>
                    <pic:cNvPicPr/>
                  </pic:nvPicPr>
                  <pic:blipFill>
                    <a:blip r:embed="rId23"/>
                    <a:stretch>
                      <a:fillRect/>
                    </a:stretch>
                  </pic:blipFill>
                  <pic:spPr>
                    <a:xfrm>
                      <a:off x="0" y="0"/>
                      <a:ext cx="5760720" cy="2962054"/>
                    </a:xfrm>
                    <a:prstGeom prst="rect"/>
                  </pic:spPr>
                </pic:pic>
              </a:graphicData>
            </a:graphic>
          </wp:inline>
        </w:drawing>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Table 11. </w:t>
      </w:r>
      <w:r>
        <w:rPr>
          <w:rFonts w:ascii="Calibri" w:hAnsi="Calibri"/>
          <w:b w:val="0"/>
          <w:i/>
          <w:color w:val="000000"/>
          <w:sz w:val="18"/>
        </w:rPr>
        <w:t>Performance of two trading schemes and their optimized versions based on decomposition-model forecasts.</w:t>
      </w:r>
    </w:p>
    <w:tbl>
      <w:tblPr>
        <w:tblStyle w:val="TableGrid"/>
        <w:tblW w:type="dxa" w:w="13680"/>
        <w:jc w:val="left"/>
        <w:tblLayout w:type="fixed"/>
        <w:tblLook w:firstColumn="1" w:firstRow="1" w:lastColumn="0" w:lastRow="0" w:noHBand="0" w:noVBand="1" w:val="04A0"/>
      </w:tblPr>
      <w:tblGrid>
        <w:gridCol w:w="3173"/>
        <w:gridCol w:w="984"/>
        <w:gridCol w:w="2298"/>
        <w:gridCol w:w="2188"/>
        <w:gridCol w:w="1313"/>
        <w:gridCol w:w="2407"/>
        <w:gridCol w:w="1317"/>
      </w:tblGrid>
      <w:tr>
        <w:trPr>
          <w:tblHeader w:val="true"/>
        </w:trPr>
        <w:tc>
          <w:tcPr>
            <w:tcW w:type="dxa" w:w="3173"/>
            <w:shd w:fill="F4F6F9"/>
            <w:vAlign w:val="center"/>
          </w:tcPr>
          <w:p>
            <w:pPr>
              <w:jc w:val="center"/>
            </w:pPr>
            <w:r/>
            <w:r>
              <w:rPr>
                <w:rFonts w:ascii="Calibri" w:hAnsi="Calibri"/>
                <w:b/>
                <w:i w:val="0"/>
                <w:color w:val="0B2545"/>
                <w:sz w:val="11"/>
              </w:rPr>
              <w:t>Model</w:t>
            </w:r>
          </w:p>
        </w:tc>
        <w:tc>
          <w:tcPr>
            <w:tcW w:type="dxa" w:w="984"/>
            <w:shd w:fill="F4F6F9"/>
            <w:vAlign w:val="center"/>
          </w:tcPr>
          <w:p>
            <w:pPr>
              <w:jc w:val="center"/>
            </w:pPr>
            <w:r/>
            <w:r>
              <w:rPr>
                <w:rFonts w:ascii="Calibri" w:hAnsi="Calibri"/>
                <w:b/>
                <w:i w:val="0"/>
                <w:color w:val="0B2545"/>
                <w:sz w:val="11"/>
              </w:rPr>
              <w:t>Scheme</w:t>
            </w:r>
          </w:p>
        </w:tc>
        <w:tc>
          <w:tcPr>
            <w:tcW w:type="dxa" w:w="2298"/>
            <w:shd w:fill="F4F6F9"/>
            <w:vAlign w:val="center"/>
          </w:tcPr>
          <w:p>
            <w:pPr>
              <w:jc w:val="center"/>
            </w:pPr>
            <w:r/>
            <w:r>
              <w:rPr>
                <w:rFonts w:ascii="Calibri" w:hAnsi="Calibri"/>
                <w:b/>
                <w:i w:val="0"/>
                <w:color w:val="0B2545"/>
                <w:sz w:val="11"/>
              </w:rPr>
              <w:t>Cumulative Return (%)</w:t>
            </w:r>
          </w:p>
        </w:tc>
        <w:tc>
          <w:tcPr>
            <w:tcW w:type="dxa" w:w="2188"/>
            <w:shd w:fill="F4F6F9"/>
            <w:vAlign w:val="center"/>
          </w:tcPr>
          <w:p>
            <w:pPr>
              <w:jc w:val="center"/>
            </w:pPr>
            <w:r/>
            <w:r>
              <w:rPr>
                <w:rFonts w:ascii="Calibri" w:hAnsi="Calibri"/>
                <w:b/>
                <w:i w:val="0"/>
                <w:color w:val="0B2545"/>
                <w:sz w:val="11"/>
              </w:rPr>
              <w:t>Maximum Drawdown (%)</w:t>
            </w:r>
          </w:p>
        </w:tc>
        <w:tc>
          <w:tcPr>
            <w:tcW w:type="dxa" w:w="1313"/>
            <w:shd w:fill="F4F6F9"/>
            <w:vAlign w:val="center"/>
          </w:tcPr>
          <w:p>
            <w:pPr>
              <w:jc w:val="center"/>
            </w:pPr>
            <w:r/>
            <w:r>
              <w:rPr>
                <w:rFonts w:ascii="Calibri" w:hAnsi="Calibri"/>
                <w:b/>
                <w:i w:val="0"/>
                <w:color w:val="0B2545"/>
                <w:sz w:val="11"/>
              </w:rPr>
              <w:t>Sharpe Ratio</w:t>
            </w:r>
          </w:p>
        </w:tc>
        <w:tc>
          <w:tcPr>
            <w:tcW w:type="dxa" w:w="2407"/>
            <w:shd w:fill="F4F6F9"/>
            <w:vAlign w:val="center"/>
          </w:tcPr>
          <w:p>
            <w:pPr>
              <w:jc w:val="center"/>
            </w:pPr>
            <w:r/>
            <w:r>
              <w:rPr>
                <w:rFonts w:ascii="Calibri" w:hAnsi="Calibri"/>
                <w:b/>
                <w:i w:val="0"/>
                <w:color w:val="0B2545"/>
                <w:sz w:val="11"/>
              </w:rPr>
              <w:t>Number of Transactions</w:t>
            </w:r>
          </w:p>
        </w:tc>
        <w:tc>
          <w:tcPr>
            <w:tcW w:type="dxa" w:w="1317"/>
            <w:shd w:fill="F4F6F9"/>
            <w:vAlign w:val="center"/>
          </w:tcPr>
          <w:p>
            <w:pPr>
              <w:jc w:val="center"/>
            </w:pPr>
            <w:r/>
            <w:r>
              <w:rPr>
                <w:rFonts w:ascii="Calibri" w:hAnsi="Calibri"/>
                <w:b/>
                <w:i w:val="0"/>
                <w:color w:val="0B2545"/>
                <w:sz w:val="11"/>
              </w:rPr>
              <w:t>Hit Rate (%)</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332.30</w:t>
            </w:r>
          </w:p>
        </w:tc>
        <w:tc>
          <w:tcPr>
            <w:tcW w:type="dxa" w:w="2188"/>
            <w:vAlign w:val="center"/>
          </w:tcPr>
          <w:p>
            <w:pPr>
              <w:spacing w:after="0" w:line="240" w:lineRule="auto"/>
              <w:jc w:val="center"/>
            </w:pPr>
            <w:r/>
            <w:r>
              <w:rPr>
                <w:rFonts w:ascii="Calibri" w:hAnsi="Calibri"/>
                <w:b w:val="0"/>
                <w:i w:val="0"/>
                <w:color w:val="000000"/>
                <w:sz w:val="11"/>
              </w:rPr>
              <w:t>-4.34</w:t>
            </w:r>
          </w:p>
        </w:tc>
        <w:tc>
          <w:tcPr>
            <w:tcW w:type="dxa" w:w="1313"/>
            <w:vAlign w:val="center"/>
          </w:tcPr>
          <w:p>
            <w:pPr>
              <w:spacing w:after="0" w:line="240" w:lineRule="auto"/>
              <w:jc w:val="center"/>
            </w:pPr>
            <w:r/>
            <w:r>
              <w:rPr>
                <w:rFonts w:ascii="Calibri" w:hAnsi="Calibri"/>
                <w:b w:val="0"/>
                <w:i w:val="0"/>
                <w:color w:val="000000"/>
                <w:sz w:val="11"/>
              </w:rPr>
              <w:t>8.0045</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284.56</w:t>
            </w:r>
          </w:p>
        </w:tc>
        <w:tc>
          <w:tcPr>
            <w:tcW w:type="dxa" w:w="2188"/>
            <w:vAlign w:val="center"/>
          </w:tcPr>
          <w:p>
            <w:pPr>
              <w:spacing w:after="0" w:line="240" w:lineRule="auto"/>
              <w:jc w:val="center"/>
            </w:pPr>
            <w:r/>
            <w:r>
              <w:rPr>
                <w:rFonts w:ascii="Calibri" w:hAnsi="Calibri"/>
                <w:b w:val="0"/>
                <w:i w:val="0"/>
                <w:color w:val="000000"/>
                <w:sz w:val="11"/>
              </w:rPr>
              <w:t>-1.98</w:t>
            </w:r>
          </w:p>
        </w:tc>
        <w:tc>
          <w:tcPr>
            <w:tcW w:type="dxa" w:w="1313"/>
            <w:vAlign w:val="center"/>
          </w:tcPr>
          <w:p>
            <w:pPr>
              <w:spacing w:after="0" w:line="240" w:lineRule="auto"/>
              <w:jc w:val="center"/>
            </w:pPr>
            <w:r/>
            <w:r>
              <w:rPr>
                <w:rFonts w:ascii="Calibri" w:hAnsi="Calibri"/>
                <w:b w:val="0"/>
                <w:i w:val="0"/>
                <w:color w:val="000000"/>
                <w:sz w:val="11"/>
              </w:rPr>
              <w:t>7.5317</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304.19</w:t>
            </w:r>
          </w:p>
        </w:tc>
        <w:tc>
          <w:tcPr>
            <w:tcW w:type="dxa" w:w="2188"/>
            <w:vAlign w:val="center"/>
          </w:tcPr>
          <w:p>
            <w:pPr>
              <w:spacing w:after="0" w:line="240" w:lineRule="auto"/>
              <w:jc w:val="center"/>
            </w:pPr>
            <w:r/>
            <w:r>
              <w:rPr>
                <w:rFonts w:ascii="Calibri" w:hAnsi="Calibri"/>
                <w:b w:val="0"/>
                <w:i w:val="0"/>
                <w:color w:val="000000"/>
                <w:sz w:val="11"/>
              </w:rPr>
              <w:t>-4.44</w:t>
            </w:r>
          </w:p>
        </w:tc>
        <w:tc>
          <w:tcPr>
            <w:tcW w:type="dxa" w:w="1313"/>
            <w:vAlign w:val="center"/>
          </w:tcPr>
          <w:p>
            <w:pPr>
              <w:spacing w:after="0" w:line="240" w:lineRule="auto"/>
              <w:jc w:val="center"/>
            </w:pPr>
            <w:r/>
            <w:r>
              <w:rPr>
                <w:rFonts w:ascii="Calibri" w:hAnsi="Calibri"/>
                <w:b w:val="0"/>
                <w:i w:val="0"/>
                <w:color w:val="000000"/>
                <w:sz w:val="11"/>
              </w:rPr>
              <w:t>7.6570</w:t>
            </w:r>
          </w:p>
        </w:tc>
        <w:tc>
          <w:tcPr>
            <w:tcW w:type="dxa" w:w="2407"/>
            <w:vAlign w:val="center"/>
          </w:tcPr>
          <w:p>
            <w:pPr>
              <w:spacing w:after="0" w:line="240" w:lineRule="auto"/>
              <w:jc w:val="center"/>
            </w:pPr>
            <w:r/>
            <w:r>
              <w:rPr>
                <w:rFonts w:ascii="Calibri" w:hAnsi="Calibri"/>
                <w:b w:val="0"/>
                <w:i w:val="0"/>
                <w:color w:val="000000"/>
                <w:sz w:val="11"/>
              </w:rPr>
              <w:t>37.5000</w:t>
            </w:r>
          </w:p>
        </w:tc>
        <w:tc>
          <w:tcPr>
            <w:tcW w:type="dxa" w:w="1317"/>
            <w:vAlign w:val="center"/>
          </w:tcPr>
          <w:p>
            <w:pPr>
              <w:spacing w:after="0" w:line="240" w:lineRule="auto"/>
              <w:jc w:val="center"/>
            </w:pPr>
            <w:r/>
            <w:r>
              <w:rPr>
                <w:rFonts w:ascii="Calibri" w:hAnsi="Calibri"/>
                <w:b w:val="0"/>
                <w:i w:val="0"/>
                <w:color w:val="000000"/>
                <w:sz w:val="11"/>
              </w:rPr>
              <w:t>65.48</w:t>
            </w:r>
          </w:p>
        </w:tc>
      </w:tr>
      <w:tr>
        <w:tc>
          <w:tcPr>
            <w:tcW w:type="dxa" w:w="3173"/>
            <w:vAlign w:val="center"/>
          </w:tcPr>
          <w:p>
            <w:pPr>
              <w:spacing w:after="0" w:line="240" w:lineRule="auto"/>
              <w:jc w:val="left"/>
            </w:pPr>
            <w:r/>
            <w:r>
              <w:rPr>
                <w:rFonts w:ascii="Calibri" w:hAnsi="Calibri"/>
                <w:b w:val="0"/>
                <w:i w:val="0"/>
                <w:color w:val="000000"/>
                <w:sz w:val="11"/>
              </w:rPr>
              <w:t>CEEMDAN-ARIMA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269.81</w:t>
            </w:r>
          </w:p>
        </w:tc>
        <w:tc>
          <w:tcPr>
            <w:tcW w:type="dxa" w:w="2188"/>
            <w:vAlign w:val="center"/>
          </w:tcPr>
          <w:p>
            <w:pPr>
              <w:spacing w:after="0" w:line="240" w:lineRule="auto"/>
              <w:jc w:val="center"/>
            </w:pPr>
            <w:r/>
            <w:r>
              <w:rPr>
                <w:rFonts w:ascii="Calibri" w:hAnsi="Calibri"/>
                <w:b w:val="0"/>
                <w:i w:val="0"/>
                <w:color w:val="000000"/>
                <w:sz w:val="11"/>
              </w:rPr>
              <w:t>-2.18</w:t>
            </w:r>
          </w:p>
        </w:tc>
        <w:tc>
          <w:tcPr>
            <w:tcW w:type="dxa" w:w="1313"/>
            <w:vAlign w:val="center"/>
          </w:tcPr>
          <w:p>
            <w:pPr>
              <w:spacing w:after="0" w:line="240" w:lineRule="auto"/>
              <w:jc w:val="center"/>
            </w:pPr>
            <w:r/>
            <w:r>
              <w:rPr>
                <w:rFonts w:ascii="Calibri" w:hAnsi="Calibri"/>
                <w:b w:val="0"/>
                <w:i w:val="0"/>
                <w:color w:val="000000"/>
                <w:sz w:val="11"/>
              </w:rPr>
              <w:t>7.3112</w:t>
            </w:r>
          </w:p>
        </w:tc>
        <w:tc>
          <w:tcPr>
            <w:tcW w:type="dxa" w:w="2407"/>
            <w:vAlign w:val="center"/>
          </w:tcPr>
          <w:p>
            <w:pPr>
              <w:spacing w:after="0" w:line="240" w:lineRule="auto"/>
              <w:jc w:val="center"/>
            </w:pPr>
            <w:r/>
            <w:r>
              <w:rPr>
                <w:rFonts w:ascii="Calibri" w:hAnsi="Calibri"/>
                <w:b w:val="0"/>
                <w:i w:val="0"/>
                <w:color w:val="000000"/>
                <w:sz w:val="11"/>
              </w:rPr>
              <w:t>32.0000</w:t>
            </w:r>
          </w:p>
        </w:tc>
        <w:tc>
          <w:tcPr>
            <w:tcW w:type="dxa" w:w="1317"/>
            <w:vAlign w:val="center"/>
          </w:tcPr>
          <w:p>
            <w:pPr>
              <w:spacing w:after="0" w:line="240" w:lineRule="auto"/>
              <w:jc w:val="center"/>
            </w:pPr>
            <w:r/>
            <w:r>
              <w:rPr>
                <w:rFonts w:ascii="Calibri" w:hAnsi="Calibri"/>
                <w:b w:val="0"/>
                <w:i w:val="0"/>
                <w:color w:val="000000"/>
                <w:sz w:val="11"/>
              </w:rPr>
              <w:t>40.35</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222.50</w:t>
            </w:r>
          </w:p>
        </w:tc>
        <w:tc>
          <w:tcPr>
            <w:tcW w:type="dxa" w:w="2188"/>
            <w:vAlign w:val="center"/>
          </w:tcPr>
          <w:p>
            <w:pPr>
              <w:spacing w:after="0" w:line="240" w:lineRule="auto"/>
              <w:jc w:val="center"/>
            </w:pPr>
            <w:r/>
            <w:r>
              <w:rPr>
                <w:rFonts w:ascii="Calibri" w:hAnsi="Calibri"/>
                <w:b w:val="0"/>
                <w:i w:val="0"/>
                <w:color w:val="000000"/>
                <w:sz w:val="11"/>
              </w:rPr>
              <w:t>-6.63</w:t>
            </w:r>
          </w:p>
        </w:tc>
        <w:tc>
          <w:tcPr>
            <w:tcW w:type="dxa" w:w="1313"/>
            <w:vAlign w:val="center"/>
          </w:tcPr>
          <w:p>
            <w:pPr>
              <w:spacing w:after="0" w:line="240" w:lineRule="auto"/>
              <w:jc w:val="center"/>
            </w:pPr>
            <w:r/>
            <w:r>
              <w:rPr>
                <w:rFonts w:ascii="Calibri" w:hAnsi="Calibri"/>
                <w:b w:val="0"/>
                <w:i w:val="0"/>
                <w:color w:val="000000"/>
                <w:sz w:val="11"/>
              </w:rPr>
              <w:t>6.2857</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90.07</w:t>
            </w:r>
          </w:p>
        </w:tc>
        <w:tc>
          <w:tcPr>
            <w:tcW w:type="dxa" w:w="2188"/>
            <w:vAlign w:val="center"/>
          </w:tcPr>
          <w:p>
            <w:pPr>
              <w:spacing w:after="0" w:line="240" w:lineRule="auto"/>
              <w:jc w:val="center"/>
            </w:pPr>
            <w:r/>
            <w:r>
              <w:rPr>
                <w:rFonts w:ascii="Calibri" w:hAnsi="Calibri"/>
                <w:b w:val="0"/>
                <w:i w:val="0"/>
                <w:color w:val="000000"/>
                <w:sz w:val="11"/>
              </w:rPr>
              <w:t>-3.98</w:t>
            </w:r>
          </w:p>
        </w:tc>
        <w:tc>
          <w:tcPr>
            <w:tcW w:type="dxa" w:w="1313"/>
            <w:vAlign w:val="center"/>
          </w:tcPr>
          <w:p>
            <w:pPr>
              <w:spacing w:after="0" w:line="240" w:lineRule="auto"/>
              <w:jc w:val="center"/>
            </w:pPr>
            <w:r/>
            <w:r>
              <w:rPr>
                <w:rFonts w:ascii="Calibri" w:hAnsi="Calibri"/>
                <w:b w:val="0"/>
                <w:i w:val="0"/>
                <w:color w:val="000000"/>
                <w:sz w:val="11"/>
              </w:rPr>
              <w:t>4.0305</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211.16</w:t>
            </w:r>
          </w:p>
        </w:tc>
        <w:tc>
          <w:tcPr>
            <w:tcW w:type="dxa" w:w="2188"/>
            <w:vAlign w:val="center"/>
          </w:tcPr>
          <w:p>
            <w:pPr>
              <w:spacing w:after="0" w:line="240" w:lineRule="auto"/>
              <w:jc w:val="center"/>
            </w:pPr>
            <w:r/>
            <w:r>
              <w:rPr>
                <w:rFonts w:ascii="Calibri" w:hAnsi="Calibri"/>
                <w:b w:val="0"/>
                <w:i w:val="0"/>
                <w:color w:val="000000"/>
                <w:sz w:val="11"/>
              </w:rPr>
              <w:t>-6.73</w:t>
            </w:r>
          </w:p>
        </w:tc>
        <w:tc>
          <w:tcPr>
            <w:tcW w:type="dxa" w:w="1313"/>
            <w:vAlign w:val="center"/>
          </w:tcPr>
          <w:p>
            <w:pPr>
              <w:spacing w:after="0" w:line="240" w:lineRule="auto"/>
              <w:jc w:val="center"/>
            </w:pPr>
            <w:r/>
            <w:r>
              <w:rPr>
                <w:rFonts w:ascii="Calibri" w:hAnsi="Calibri"/>
                <w:b w:val="0"/>
                <w:i w:val="0"/>
                <w:color w:val="000000"/>
                <w:sz w:val="11"/>
              </w:rPr>
              <w:t>6.0866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49.09</w:t>
            </w:r>
          </w:p>
        </w:tc>
      </w:tr>
      <w:tr>
        <w:tc>
          <w:tcPr>
            <w:tcW w:type="dxa" w:w="3173"/>
            <w:vAlign w:val="center"/>
          </w:tcPr>
          <w:p>
            <w:pPr>
              <w:spacing w:after="0" w:line="240" w:lineRule="auto"/>
              <w:jc w:val="left"/>
            </w:pPr>
            <w:r/>
            <w:r>
              <w:rPr>
                <w:rFonts w:ascii="Calibri" w:hAnsi="Calibri"/>
                <w:b w:val="0"/>
                <w:i w:val="0"/>
                <w:color w:val="000000"/>
                <w:sz w:val="11"/>
              </w:rPr>
              <w:t>CEEMDAN-LSTM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86.32</w:t>
            </w:r>
          </w:p>
        </w:tc>
        <w:tc>
          <w:tcPr>
            <w:tcW w:type="dxa" w:w="2188"/>
            <w:vAlign w:val="center"/>
          </w:tcPr>
          <w:p>
            <w:pPr>
              <w:spacing w:after="0" w:line="240" w:lineRule="auto"/>
              <w:jc w:val="center"/>
            </w:pPr>
            <w:r/>
            <w:r>
              <w:rPr>
                <w:rFonts w:ascii="Calibri" w:hAnsi="Calibri"/>
                <w:b w:val="0"/>
                <w:i w:val="0"/>
                <w:color w:val="000000"/>
                <w:sz w:val="11"/>
              </w:rPr>
              <w:t>-4.17</w:t>
            </w:r>
          </w:p>
        </w:tc>
        <w:tc>
          <w:tcPr>
            <w:tcW w:type="dxa" w:w="1313"/>
            <w:vAlign w:val="center"/>
          </w:tcPr>
          <w:p>
            <w:pPr>
              <w:spacing w:after="0" w:line="240" w:lineRule="auto"/>
              <w:jc w:val="center"/>
            </w:pPr>
            <w:r/>
            <w:r>
              <w:rPr>
                <w:rFonts w:ascii="Calibri" w:hAnsi="Calibri"/>
                <w:b w:val="0"/>
                <w:i w:val="0"/>
                <w:color w:val="000000"/>
                <w:sz w:val="11"/>
              </w:rPr>
              <w:t>3.9278</w:t>
            </w:r>
          </w:p>
        </w:tc>
        <w:tc>
          <w:tcPr>
            <w:tcW w:type="dxa" w:w="2407"/>
            <w:vAlign w:val="center"/>
          </w:tcPr>
          <w:p>
            <w:pPr>
              <w:spacing w:after="0" w:line="240" w:lineRule="auto"/>
              <w:jc w:val="center"/>
            </w:pPr>
            <w:r/>
            <w:r>
              <w:rPr>
                <w:rFonts w:ascii="Calibri" w:hAnsi="Calibri"/>
                <w:b w:val="0"/>
                <w:i w:val="0"/>
                <w:color w:val="000000"/>
                <w:sz w:val="11"/>
              </w:rPr>
              <w:t>20.0000</w:t>
            </w:r>
          </w:p>
        </w:tc>
        <w:tc>
          <w:tcPr>
            <w:tcW w:type="dxa" w:w="1317"/>
            <w:vAlign w:val="center"/>
          </w:tcPr>
          <w:p>
            <w:pPr>
              <w:spacing w:after="0" w:line="240" w:lineRule="auto"/>
              <w:jc w:val="center"/>
            </w:pPr>
            <w:r/>
            <w:r>
              <w:rPr>
                <w:rFonts w:ascii="Calibri" w:hAnsi="Calibri"/>
                <w:b w:val="0"/>
                <w:i w:val="0"/>
                <w:color w:val="000000"/>
                <w:sz w:val="11"/>
              </w:rPr>
              <w:t>12.14</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292.81</w:t>
            </w:r>
          </w:p>
        </w:tc>
        <w:tc>
          <w:tcPr>
            <w:tcW w:type="dxa" w:w="2188"/>
            <w:vAlign w:val="center"/>
          </w:tcPr>
          <w:p>
            <w:pPr>
              <w:spacing w:after="0" w:line="240" w:lineRule="auto"/>
              <w:jc w:val="center"/>
            </w:pPr>
            <w:r/>
            <w:r>
              <w:rPr>
                <w:rFonts w:ascii="Calibri" w:hAnsi="Calibri"/>
                <w:b w:val="0"/>
                <w:i w:val="0"/>
                <w:color w:val="000000"/>
                <w:sz w:val="11"/>
              </w:rPr>
              <w:t>-5.03</w:t>
            </w:r>
          </w:p>
        </w:tc>
        <w:tc>
          <w:tcPr>
            <w:tcW w:type="dxa" w:w="1313"/>
            <w:vAlign w:val="center"/>
          </w:tcPr>
          <w:p>
            <w:pPr>
              <w:spacing w:after="0" w:line="240" w:lineRule="auto"/>
              <w:jc w:val="center"/>
            </w:pPr>
            <w:r/>
            <w:r>
              <w:rPr>
                <w:rFonts w:ascii="Calibri" w:hAnsi="Calibri"/>
                <w:b w:val="0"/>
                <w:i w:val="0"/>
                <w:color w:val="000000"/>
                <w:sz w:val="11"/>
              </w:rPr>
              <w:t>7.3150</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203.26</w:t>
            </w:r>
          </w:p>
        </w:tc>
        <w:tc>
          <w:tcPr>
            <w:tcW w:type="dxa" w:w="2188"/>
            <w:vAlign w:val="center"/>
          </w:tcPr>
          <w:p>
            <w:pPr>
              <w:spacing w:after="0" w:line="240" w:lineRule="auto"/>
              <w:jc w:val="center"/>
            </w:pPr>
            <w:r/>
            <w:r>
              <w:rPr>
                <w:rFonts w:ascii="Calibri" w:hAnsi="Calibri"/>
                <w:b w:val="0"/>
                <w:i w:val="0"/>
                <w:color w:val="000000"/>
                <w:sz w:val="11"/>
              </w:rPr>
              <w:t>-4.73</w:t>
            </w:r>
          </w:p>
        </w:tc>
        <w:tc>
          <w:tcPr>
            <w:tcW w:type="dxa" w:w="1313"/>
            <w:vAlign w:val="center"/>
          </w:tcPr>
          <w:p>
            <w:pPr>
              <w:spacing w:after="0" w:line="240" w:lineRule="auto"/>
              <w:jc w:val="center"/>
            </w:pPr>
            <w:r/>
            <w:r>
              <w:rPr>
                <w:rFonts w:ascii="Calibri" w:hAnsi="Calibri"/>
                <w:b w:val="0"/>
                <w:i w:val="0"/>
                <w:color w:val="000000"/>
                <w:sz w:val="11"/>
              </w:rPr>
              <w:t>6.1325</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279.87</w:t>
            </w:r>
          </w:p>
        </w:tc>
        <w:tc>
          <w:tcPr>
            <w:tcW w:type="dxa" w:w="2188"/>
            <w:vAlign w:val="center"/>
          </w:tcPr>
          <w:p>
            <w:pPr>
              <w:spacing w:after="0" w:line="240" w:lineRule="auto"/>
              <w:jc w:val="center"/>
            </w:pPr>
            <w:r/>
            <w:r>
              <w:rPr>
                <w:rFonts w:ascii="Calibri" w:hAnsi="Calibri"/>
                <w:b w:val="0"/>
                <w:i w:val="0"/>
                <w:color w:val="000000"/>
                <w:sz w:val="11"/>
              </w:rPr>
              <w:t>-5.22</w:t>
            </w:r>
          </w:p>
        </w:tc>
        <w:tc>
          <w:tcPr>
            <w:tcW w:type="dxa" w:w="1313"/>
            <w:vAlign w:val="center"/>
          </w:tcPr>
          <w:p>
            <w:pPr>
              <w:spacing w:after="0" w:line="240" w:lineRule="auto"/>
              <w:jc w:val="center"/>
            </w:pPr>
            <w:r/>
            <w:r>
              <w:rPr>
                <w:rFonts w:ascii="Calibri" w:hAnsi="Calibri"/>
                <w:b w:val="0"/>
                <w:i w:val="0"/>
                <w:color w:val="000000"/>
                <w:sz w:val="11"/>
              </w:rPr>
              <w:t>7.1346</w:t>
            </w:r>
          </w:p>
        </w:tc>
        <w:tc>
          <w:tcPr>
            <w:tcW w:type="dxa" w:w="2407"/>
            <w:vAlign w:val="center"/>
          </w:tcPr>
          <w:p>
            <w:pPr>
              <w:spacing w:after="0" w:line="240" w:lineRule="auto"/>
              <w:jc w:val="center"/>
            </w:pPr>
            <w:r/>
            <w:r>
              <w:rPr>
                <w:rFonts w:ascii="Calibri" w:hAnsi="Calibri"/>
                <w:b w:val="0"/>
                <w:i w:val="0"/>
                <w:color w:val="000000"/>
                <w:sz w:val="11"/>
              </w:rPr>
              <w:t>18.5000</w:t>
            </w:r>
          </w:p>
        </w:tc>
        <w:tc>
          <w:tcPr>
            <w:tcW w:type="dxa" w:w="1317"/>
            <w:vAlign w:val="center"/>
          </w:tcPr>
          <w:p>
            <w:pPr>
              <w:spacing w:after="0" w:line="240" w:lineRule="auto"/>
              <w:jc w:val="center"/>
            </w:pPr>
            <w:r/>
            <w:r>
              <w:rPr>
                <w:rFonts w:ascii="Calibri" w:hAnsi="Calibri"/>
                <w:b w:val="0"/>
                <w:i w:val="0"/>
                <w:color w:val="000000"/>
                <w:sz w:val="11"/>
              </w:rPr>
              <w:t>59.16</w:t>
            </w:r>
          </w:p>
        </w:tc>
      </w:tr>
      <w:tr>
        <w:tc>
          <w:tcPr>
            <w:tcW w:type="dxa" w:w="3173"/>
            <w:vAlign w:val="center"/>
          </w:tcPr>
          <w:p>
            <w:pPr>
              <w:spacing w:after="0" w:line="240" w:lineRule="auto"/>
              <w:jc w:val="left"/>
            </w:pPr>
            <w:r/>
            <w:r>
              <w:rPr>
                <w:rFonts w:ascii="Calibri" w:hAnsi="Calibri"/>
                <w:b w:val="0"/>
                <w:i w:val="0"/>
                <w:color w:val="000000"/>
                <w:sz w:val="11"/>
              </w:rPr>
              <w:t>Proposed VMD-LASSO-ARIMA/LSTM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194.24</w:t>
            </w:r>
          </w:p>
        </w:tc>
        <w:tc>
          <w:tcPr>
            <w:tcW w:type="dxa" w:w="2188"/>
            <w:vAlign w:val="center"/>
          </w:tcPr>
          <w:p>
            <w:pPr>
              <w:spacing w:after="0" w:line="240" w:lineRule="auto"/>
              <w:jc w:val="center"/>
            </w:pPr>
            <w:r/>
            <w:r>
              <w:rPr>
                <w:rFonts w:ascii="Calibri" w:hAnsi="Calibri"/>
                <w:b w:val="0"/>
                <w:i w:val="0"/>
                <w:color w:val="000000"/>
                <w:sz w:val="11"/>
              </w:rPr>
              <w:t>-5.06</w:t>
            </w:r>
          </w:p>
        </w:tc>
        <w:tc>
          <w:tcPr>
            <w:tcW w:type="dxa" w:w="1313"/>
            <w:vAlign w:val="center"/>
          </w:tcPr>
          <w:p>
            <w:pPr>
              <w:spacing w:after="0" w:line="240" w:lineRule="auto"/>
              <w:jc w:val="center"/>
            </w:pPr>
            <w:r/>
            <w:r>
              <w:rPr>
                <w:rFonts w:ascii="Calibri" w:hAnsi="Calibri"/>
                <w:b w:val="0"/>
                <w:i w:val="0"/>
                <w:color w:val="000000"/>
                <w:sz w:val="11"/>
              </w:rPr>
              <w:t>5.9622</w:t>
            </w:r>
          </w:p>
        </w:tc>
        <w:tc>
          <w:tcPr>
            <w:tcW w:type="dxa" w:w="2407"/>
            <w:vAlign w:val="center"/>
          </w:tcPr>
          <w:p>
            <w:pPr>
              <w:spacing w:after="0" w:line="240" w:lineRule="auto"/>
              <w:jc w:val="center"/>
            </w:pPr>
            <w:r/>
            <w:r>
              <w:rPr>
                <w:rFonts w:ascii="Calibri" w:hAnsi="Calibri"/>
                <w:b w:val="0"/>
                <w:i w:val="0"/>
                <w:color w:val="000000"/>
                <w:sz w:val="11"/>
              </w:rPr>
              <w:t>26.0000</w:t>
            </w:r>
          </w:p>
        </w:tc>
        <w:tc>
          <w:tcPr>
            <w:tcW w:type="dxa" w:w="1317"/>
            <w:vAlign w:val="center"/>
          </w:tcPr>
          <w:p>
            <w:pPr>
              <w:spacing w:after="0" w:line="240" w:lineRule="auto"/>
              <w:jc w:val="center"/>
            </w:pPr>
            <w:r/>
            <w:r>
              <w:rPr>
                <w:rFonts w:ascii="Calibri" w:hAnsi="Calibri"/>
                <w:b w:val="0"/>
                <w:i w:val="0"/>
                <w:color w:val="000000"/>
                <w:sz w:val="11"/>
              </w:rPr>
              <w:t>36.41</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218.58</w:t>
            </w:r>
          </w:p>
        </w:tc>
        <w:tc>
          <w:tcPr>
            <w:tcW w:type="dxa" w:w="2188"/>
            <w:vAlign w:val="center"/>
          </w:tcPr>
          <w:p>
            <w:pPr>
              <w:spacing w:after="0" w:line="240" w:lineRule="auto"/>
              <w:jc w:val="center"/>
            </w:pPr>
            <w:r/>
            <w:r>
              <w:rPr>
                <w:rFonts w:ascii="Calibri" w:hAnsi="Calibri"/>
                <w:b w:val="0"/>
                <w:i w:val="0"/>
                <w:color w:val="000000"/>
                <w:sz w:val="11"/>
              </w:rPr>
              <w:t>-8.71</w:t>
            </w:r>
          </w:p>
        </w:tc>
        <w:tc>
          <w:tcPr>
            <w:tcW w:type="dxa" w:w="1313"/>
            <w:vAlign w:val="center"/>
          </w:tcPr>
          <w:p>
            <w:pPr>
              <w:spacing w:after="0" w:line="240" w:lineRule="auto"/>
              <w:jc w:val="center"/>
            </w:pPr>
            <w:r/>
            <w:r>
              <w:rPr>
                <w:rFonts w:ascii="Calibri" w:hAnsi="Calibri"/>
                <w:b w:val="0"/>
                <w:i w:val="0"/>
                <w:color w:val="000000"/>
                <w:sz w:val="11"/>
              </w:rPr>
              <w:t>5.4567</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127.14</w:t>
            </w:r>
          </w:p>
        </w:tc>
        <w:tc>
          <w:tcPr>
            <w:tcW w:type="dxa" w:w="2188"/>
            <w:vAlign w:val="center"/>
          </w:tcPr>
          <w:p>
            <w:pPr>
              <w:spacing w:after="0" w:line="240" w:lineRule="auto"/>
              <w:jc w:val="center"/>
            </w:pPr>
            <w:r/>
            <w:r>
              <w:rPr>
                <w:rFonts w:ascii="Calibri" w:hAnsi="Calibri"/>
                <w:b w:val="0"/>
                <w:i w:val="0"/>
                <w:color w:val="000000"/>
                <w:sz w:val="11"/>
              </w:rPr>
              <w:t>-3.17</w:t>
            </w:r>
          </w:p>
        </w:tc>
        <w:tc>
          <w:tcPr>
            <w:tcW w:type="dxa" w:w="1313"/>
            <w:vAlign w:val="center"/>
          </w:tcPr>
          <w:p>
            <w:pPr>
              <w:spacing w:after="0" w:line="240" w:lineRule="auto"/>
              <w:jc w:val="center"/>
            </w:pPr>
            <w:r/>
            <w:r>
              <w:rPr>
                <w:rFonts w:ascii="Calibri" w:hAnsi="Calibri"/>
                <w:b w:val="0"/>
                <w:i w:val="0"/>
                <w:color w:val="000000"/>
                <w:sz w:val="11"/>
              </w:rPr>
              <w:t>4.8670</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206.06</w:t>
            </w:r>
          </w:p>
        </w:tc>
        <w:tc>
          <w:tcPr>
            <w:tcW w:type="dxa" w:w="2188"/>
            <w:vAlign w:val="center"/>
          </w:tcPr>
          <w:p>
            <w:pPr>
              <w:spacing w:after="0" w:line="240" w:lineRule="auto"/>
              <w:jc w:val="center"/>
            </w:pPr>
            <w:r/>
            <w:r>
              <w:rPr>
                <w:rFonts w:ascii="Calibri" w:hAnsi="Calibri"/>
                <w:b w:val="0"/>
                <w:i w:val="0"/>
                <w:color w:val="000000"/>
                <w:sz w:val="11"/>
              </w:rPr>
              <w:t>-8.90</w:t>
            </w:r>
          </w:p>
        </w:tc>
        <w:tc>
          <w:tcPr>
            <w:tcW w:type="dxa" w:w="1313"/>
            <w:vAlign w:val="center"/>
          </w:tcPr>
          <w:p>
            <w:pPr>
              <w:spacing w:after="0" w:line="240" w:lineRule="auto"/>
              <w:jc w:val="center"/>
            </w:pPr>
            <w:r/>
            <w:r>
              <w:rPr>
                <w:rFonts w:ascii="Calibri" w:hAnsi="Calibri"/>
                <w:b w:val="0"/>
                <w:i w:val="0"/>
                <w:color w:val="000000"/>
                <w:sz w:val="11"/>
              </w:rPr>
              <w:t>5.2996</w:t>
            </w:r>
          </w:p>
        </w:tc>
        <w:tc>
          <w:tcPr>
            <w:tcW w:type="dxa" w:w="2407"/>
            <w:vAlign w:val="center"/>
          </w:tcPr>
          <w:p>
            <w:pPr>
              <w:spacing w:after="0" w:line="240" w:lineRule="auto"/>
              <w:jc w:val="center"/>
            </w:pPr>
            <w:r/>
            <w:r>
              <w:rPr>
                <w:rFonts w:ascii="Calibri" w:hAnsi="Calibri"/>
                <w:b w:val="0"/>
                <w:i w:val="0"/>
                <w:color w:val="000000"/>
                <w:sz w:val="11"/>
              </w:rPr>
              <w:t>19.5000</w:t>
            </w:r>
          </w:p>
        </w:tc>
        <w:tc>
          <w:tcPr>
            <w:tcW w:type="dxa" w:w="1317"/>
            <w:vAlign w:val="center"/>
          </w:tcPr>
          <w:p>
            <w:pPr>
              <w:spacing w:after="0" w:line="240" w:lineRule="auto"/>
              <w:jc w:val="center"/>
            </w:pPr>
            <w:r/>
            <w:r>
              <w:rPr>
                <w:rFonts w:ascii="Calibri" w:hAnsi="Calibri"/>
                <w:b w:val="0"/>
                <w:i w:val="0"/>
                <w:color w:val="000000"/>
                <w:sz w:val="11"/>
              </w:rPr>
              <w:t>55.70</w:t>
            </w:r>
          </w:p>
        </w:tc>
      </w:tr>
      <w:tr>
        <w:tc>
          <w:tcPr>
            <w:tcW w:type="dxa" w:w="3173"/>
            <w:vAlign w:val="center"/>
          </w:tcPr>
          <w:p>
            <w:pPr>
              <w:spacing w:after="0" w:line="240" w:lineRule="auto"/>
              <w:jc w:val="left"/>
            </w:pPr>
            <w:r/>
            <w:r>
              <w:rPr>
                <w:rFonts w:ascii="Calibri" w:hAnsi="Calibri"/>
                <w:b w:val="0"/>
                <w:i w:val="0"/>
                <w:color w:val="000000"/>
                <w:sz w:val="11"/>
              </w:rPr>
              <w:t>VMD-ARIMA</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121.97</w:t>
            </w:r>
          </w:p>
        </w:tc>
        <w:tc>
          <w:tcPr>
            <w:tcW w:type="dxa" w:w="2188"/>
            <w:vAlign w:val="center"/>
          </w:tcPr>
          <w:p>
            <w:pPr>
              <w:spacing w:after="0" w:line="240" w:lineRule="auto"/>
              <w:jc w:val="center"/>
            </w:pPr>
            <w:r/>
            <w:r>
              <w:rPr>
                <w:rFonts w:ascii="Calibri" w:hAnsi="Calibri"/>
                <w:b w:val="0"/>
                <w:i w:val="0"/>
                <w:color w:val="000000"/>
                <w:sz w:val="11"/>
              </w:rPr>
              <w:t>-3.42</w:t>
            </w:r>
          </w:p>
        </w:tc>
        <w:tc>
          <w:tcPr>
            <w:tcW w:type="dxa" w:w="1313"/>
            <w:vAlign w:val="center"/>
          </w:tcPr>
          <w:p>
            <w:pPr>
              <w:spacing w:after="0" w:line="240" w:lineRule="auto"/>
              <w:jc w:val="center"/>
            </w:pPr>
            <w:r/>
            <w:r>
              <w:rPr>
                <w:rFonts w:ascii="Calibri" w:hAnsi="Calibri"/>
                <w:b w:val="0"/>
                <w:i w:val="0"/>
                <w:color w:val="000000"/>
                <w:sz w:val="11"/>
              </w:rPr>
              <w:t>4.7688</w:t>
            </w:r>
          </w:p>
        </w:tc>
        <w:tc>
          <w:tcPr>
            <w:tcW w:type="dxa" w:w="2407"/>
            <w:vAlign w:val="center"/>
          </w:tcPr>
          <w:p>
            <w:pPr>
              <w:spacing w:after="0" w:line="240" w:lineRule="auto"/>
              <w:jc w:val="center"/>
            </w:pPr>
            <w:r/>
            <w:r>
              <w:rPr>
                <w:rFonts w:ascii="Calibri" w:hAnsi="Calibri"/>
                <w:b w:val="0"/>
                <w:i w:val="0"/>
                <w:color w:val="000000"/>
                <w:sz w:val="11"/>
              </w:rPr>
              <w:t>17.0000</w:t>
            </w:r>
          </w:p>
        </w:tc>
        <w:tc>
          <w:tcPr>
            <w:tcW w:type="dxa" w:w="1317"/>
            <w:vAlign w:val="center"/>
          </w:tcPr>
          <w:p>
            <w:pPr>
              <w:spacing w:after="0" w:line="240" w:lineRule="auto"/>
              <w:jc w:val="center"/>
            </w:pPr>
            <w:r/>
            <w:r>
              <w:rPr>
                <w:rFonts w:ascii="Calibri" w:hAnsi="Calibri"/>
                <w:b w:val="0"/>
                <w:i w:val="0"/>
                <w:color w:val="000000"/>
                <w:sz w:val="11"/>
              </w:rPr>
              <w:t>27.54</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38.13</w:t>
            </w:r>
          </w:p>
        </w:tc>
        <w:tc>
          <w:tcPr>
            <w:tcW w:type="dxa" w:w="2188"/>
            <w:vAlign w:val="center"/>
          </w:tcPr>
          <w:p>
            <w:pPr>
              <w:spacing w:after="0" w:line="240" w:lineRule="auto"/>
              <w:jc w:val="center"/>
            </w:pPr>
            <w:r/>
            <w:r>
              <w:rPr>
                <w:rFonts w:ascii="Calibri" w:hAnsi="Calibri"/>
                <w:b w:val="0"/>
                <w:i w:val="0"/>
                <w:color w:val="000000"/>
                <w:sz w:val="11"/>
              </w:rPr>
              <w:t>-31.43</w:t>
            </w:r>
          </w:p>
        </w:tc>
        <w:tc>
          <w:tcPr>
            <w:tcW w:type="dxa" w:w="1313"/>
            <w:vAlign w:val="center"/>
          </w:tcPr>
          <w:p>
            <w:pPr>
              <w:spacing w:after="0" w:line="240" w:lineRule="auto"/>
              <w:jc w:val="center"/>
            </w:pPr>
            <w:r/>
            <w:r>
              <w:rPr>
                <w:rFonts w:ascii="Calibri" w:hAnsi="Calibri"/>
                <w:b w:val="0"/>
                <w:i w:val="0"/>
                <w:color w:val="000000"/>
                <w:sz w:val="11"/>
              </w:rPr>
              <w:t>0.2697</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1'</w:t>
            </w:r>
          </w:p>
        </w:tc>
        <w:tc>
          <w:tcPr>
            <w:tcW w:type="dxa" w:w="2298"/>
            <w:vAlign w:val="center"/>
          </w:tcPr>
          <w:p>
            <w:pPr>
              <w:spacing w:after="0" w:line="240" w:lineRule="auto"/>
              <w:jc w:val="center"/>
            </w:pPr>
            <w:r/>
            <w:r>
              <w:rPr>
                <w:rFonts w:ascii="Calibri" w:hAnsi="Calibri"/>
                <w:b w:val="0"/>
                <w:i w:val="0"/>
                <w:color w:val="000000"/>
                <w:sz w:val="11"/>
              </w:rPr>
              <w:t>56.59</w:t>
            </w:r>
          </w:p>
        </w:tc>
        <w:tc>
          <w:tcPr>
            <w:tcW w:type="dxa" w:w="2188"/>
            <w:vAlign w:val="center"/>
          </w:tcPr>
          <w:p>
            <w:pPr>
              <w:spacing w:after="0" w:line="240" w:lineRule="auto"/>
              <w:jc w:val="center"/>
            </w:pPr>
            <w:r/>
            <w:r>
              <w:rPr>
                <w:rFonts w:ascii="Calibri" w:hAnsi="Calibri"/>
                <w:b w:val="0"/>
                <w:i w:val="0"/>
                <w:color w:val="000000"/>
                <w:sz w:val="11"/>
              </w:rPr>
              <w:t>-10.00</w:t>
            </w:r>
          </w:p>
        </w:tc>
        <w:tc>
          <w:tcPr>
            <w:tcW w:type="dxa" w:w="1313"/>
            <w:vAlign w:val="center"/>
          </w:tcPr>
          <w:p>
            <w:pPr>
              <w:spacing w:after="0" w:line="240" w:lineRule="auto"/>
              <w:jc w:val="center"/>
            </w:pPr>
            <w:r/>
            <w:r>
              <w:rPr>
                <w:rFonts w:ascii="Calibri" w:hAnsi="Calibri"/>
                <w:b w:val="0"/>
                <w:i w:val="0"/>
                <w:color w:val="000000"/>
                <w:sz w:val="11"/>
              </w:rPr>
              <w:t>1.7830</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34.26</w:t>
            </w:r>
          </w:p>
        </w:tc>
        <w:tc>
          <w:tcPr>
            <w:tcW w:type="dxa" w:w="2188"/>
            <w:vAlign w:val="center"/>
          </w:tcPr>
          <w:p>
            <w:pPr>
              <w:spacing w:after="0" w:line="240" w:lineRule="auto"/>
              <w:jc w:val="center"/>
            </w:pPr>
            <w:r/>
            <w:r>
              <w:rPr>
                <w:rFonts w:ascii="Calibri" w:hAnsi="Calibri"/>
                <w:b w:val="0"/>
                <w:i w:val="0"/>
                <w:color w:val="000000"/>
                <w:sz w:val="11"/>
              </w:rPr>
              <w:t>-31.70</w:t>
            </w:r>
          </w:p>
        </w:tc>
        <w:tc>
          <w:tcPr>
            <w:tcW w:type="dxa" w:w="1313"/>
            <w:vAlign w:val="center"/>
          </w:tcPr>
          <w:p>
            <w:pPr>
              <w:spacing w:after="0" w:line="240" w:lineRule="auto"/>
              <w:jc w:val="center"/>
            </w:pPr>
            <w:r/>
            <w:r>
              <w:rPr>
                <w:rFonts w:ascii="Calibri" w:hAnsi="Calibri"/>
                <w:b w:val="0"/>
                <w:i w:val="0"/>
                <w:color w:val="000000"/>
                <w:sz w:val="11"/>
              </w:rPr>
              <w:t>0.1590</w:t>
            </w:r>
          </w:p>
        </w:tc>
        <w:tc>
          <w:tcPr>
            <w:tcW w:type="dxa" w:w="2407"/>
            <w:vAlign w:val="center"/>
          </w:tcPr>
          <w:p>
            <w:pPr>
              <w:spacing w:after="0" w:line="240" w:lineRule="auto"/>
              <w:jc w:val="center"/>
            </w:pPr>
            <w:r/>
            <w:r>
              <w:rPr>
                <w:rFonts w:ascii="Calibri" w:hAnsi="Calibri"/>
                <w:b w:val="0"/>
                <w:i w:val="0"/>
                <w:color w:val="000000"/>
                <w:sz w:val="11"/>
              </w:rPr>
              <w:t>14.0000</w:t>
            </w:r>
          </w:p>
        </w:tc>
        <w:tc>
          <w:tcPr>
            <w:tcW w:type="dxa" w:w="1317"/>
            <w:vAlign w:val="center"/>
          </w:tcPr>
          <w:p>
            <w:pPr>
              <w:spacing w:after="0" w:line="240" w:lineRule="auto"/>
              <w:jc w:val="center"/>
            </w:pPr>
            <w:r/>
            <w:r>
              <w:rPr>
                <w:rFonts w:ascii="Calibri" w:hAnsi="Calibri"/>
                <w:b w:val="0"/>
                <w:i w:val="0"/>
                <w:color w:val="000000"/>
                <w:sz w:val="11"/>
              </w:rPr>
              <w:t>37.23</w:t>
            </w:r>
          </w:p>
        </w:tc>
      </w:tr>
      <w:tr>
        <w:tc>
          <w:tcPr>
            <w:tcW w:type="dxa" w:w="3173"/>
            <w:vAlign w:val="center"/>
          </w:tcPr>
          <w:p>
            <w:pPr>
              <w:spacing w:after="0" w:line="240" w:lineRule="auto"/>
              <w:jc w:val="left"/>
            </w:pPr>
            <w:r/>
            <w:r>
              <w:rPr>
                <w:rFonts w:ascii="Calibri" w:hAnsi="Calibri"/>
                <w:b w:val="0"/>
                <w:i w:val="0"/>
                <w:color w:val="000000"/>
                <w:sz w:val="11"/>
              </w:rPr>
              <w:t>VMD-LSTM</w:t>
            </w:r>
          </w:p>
        </w:tc>
        <w:tc>
          <w:tcPr>
            <w:tcW w:type="dxa" w:w="984"/>
            <w:vAlign w:val="center"/>
          </w:tcPr>
          <w:p>
            <w:pPr>
              <w:spacing w:after="0" w:line="240" w:lineRule="auto"/>
              <w:jc w:val="center"/>
            </w:pPr>
            <w:r/>
            <w:r>
              <w:rPr>
                <w:rFonts w:ascii="Calibri" w:hAnsi="Calibri"/>
                <w:b w:val="0"/>
                <w:i w:val="0"/>
                <w:color w:val="000000"/>
                <w:sz w:val="11"/>
              </w:rPr>
              <w:t>Scheme 2'</w:t>
            </w:r>
          </w:p>
        </w:tc>
        <w:tc>
          <w:tcPr>
            <w:tcW w:type="dxa" w:w="2298"/>
            <w:vAlign w:val="center"/>
          </w:tcPr>
          <w:p>
            <w:pPr>
              <w:spacing w:after="0" w:line="240" w:lineRule="auto"/>
              <w:jc w:val="center"/>
            </w:pPr>
            <w:r/>
            <w:r>
              <w:rPr>
                <w:rFonts w:ascii="Calibri" w:hAnsi="Calibri"/>
                <w:b w:val="0"/>
                <w:i w:val="0"/>
                <w:color w:val="000000"/>
                <w:sz w:val="11"/>
              </w:rPr>
              <w:t>54.32</w:t>
            </w:r>
          </w:p>
        </w:tc>
        <w:tc>
          <w:tcPr>
            <w:tcW w:type="dxa" w:w="2188"/>
            <w:vAlign w:val="center"/>
          </w:tcPr>
          <w:p>
            <w:pPr>
              <w:spacing w:after="0" w:line="240" w:lineRule="auto"/>
              <w:jc w:val="center"/>
            </w:pPr>
            <w:r/>
            <w:r>
              <w:rPr>
                <w:rFonts w:ascii="Calibri" w:hAnsi="Calibri"/>
                <w:b w:val="0"/>
                <w:i w:val="0"/>
                <w:color w:val="000000"/>
                <w:sz w:val="11"/>
              </w:rPr>
              <w:t>-10.25</w:t>
            </w:r>
          </w:p>
        </w:tc>
        <w:tc>
          <w:tcPr>
            <w:tcW w:type="dxa" w:w="1313"/>
            <w:vAlign w:val="center"/>
          </w:tcPr>
          <w:p>
            <w:pPr>
              <w:spacing w:after="0" w:line="240" w:lineRule="auto"/>
              <w:jc w:val="center"/>
            </w:pPr>
            <w:r/>
            <w:r>
              <w:rPr>
                <w:rFonts w:ascii="Calibri" w:hAnsi="Calibri"/>
                <w:b w:val="0"/>
                <w:i w:val="0"/>
                <w:color w:val="000000"/>
                <w:sz w:val="11"/>
              </w:rPr>
              <w:t>1.7066</w:t>
            </w:r>
          </w:p>
        </w:tc>
        <w:tc>
          <w:tcPr>
            <w:tcW w:type="dxa" w:w="2407"/>
            <w:vAlign w:val="center"/>
          </w:tcPr>
          <w:p>
            <w:pPr>
              <w:spacing w:after="0" w:line="240" w:lineRule="auto"/>
              <w:jc w:val="center"/>
            </w:pPr>
            <w:r/>
            <w:r>
              <w:rPr>
                <w:rFonts w:ascii="Calibri" w:hAnsi="Calibri"/>
                <w:b w:val="0"/>
                <w:i w:val="0"/>
                <w:color w:val="000000"/>
                <w:sz w:val="11"/>
              </w:rPr>
              <w:t>13.5000</w:t>
            </w:r>
          </w:p>
        </w:tc>
        <w:tc>
          <w:tcPr>
            <w:tcW w:type="dxa" w:w="1317"/>
            <w:vAlign w:val="center"/>
          </w:tcPr>
          <w:p>
            <w:pPr>
              <w:spacing w:after="0" w:line="240" w:lineRule="auto"/>
              <w:jc w:val="center"/>
            </w:pPr>
            <w:r/>
            <w:r>
              <w:rPr>
                <w:rFonts w:ascii="Calibri" w:hAnsi="Calibri"/>
                <w:b w:val="0"/>
                <w:i w:val="0"/>
                <w:color w:val="000000"/>
                <w:sz w:val="11"/>
              </w:rPr>
              <w:t>13.59</w:t>
            </w:r>
          </w:p>
        </w:tc>
      </w:tr>
    </w:tbl>
    <w:p>
      <w:pPr>
        <w:spacing w:after="60"/>
      </w:pPr>
    </w:p>
    <w:p>
      <w:pPr>
        <w:pStyle w:val="Heading3"/>
      </w:pPr>
      <w:r>
        <w:t>Interpretation of Table 11</w:t>
      </w:r>
    </w:p>
    <w:p>
      <w:pPr>
        <w:spacing w:after="160" w:line="320" w:lineRule="auto"/>
        <w:jc w:val="both"/>
      </w:pPr>
      <w:r>
        <w:rPr>
          <w:rFonts w:ascii="Calibri" w:hAnsi="Calibri"/>
          <w:b/>
          <w:i w:val="0"/>
          <w:color w:val="000000"/>
          <w:sz w:val="22"/>
        </w:rPr>
        <w:t>Decomposition trading leader:</w:t>
      </w:r>
      <w:r>
        <w:rPr>
          <w:rFonts w:ascii="Calibri" w:hAnsi="Calibri"/>
          <w:b w:val="0"/>
          <w:i w:val="0"/>
          <w:color w:val="000000"/>
          <w:sz w:val="22"/>
        </w:rPr>
        <w:t xml:space="preserve"> CEEMDAN-ARIMA has the strongest average results in every scheme: Scheme 1 returns 332.30% with Sharpe 8.0045, and cost-adjusted Scheme 2 returns 304.19% with Sharpe 7.6570. The proposed hybrid remains strong in the table, with Scheme 2 return 279.87%, Sharpe 7.1346, and maximum drawdown -5.22%.</w:t>
      </w:r>
    </w:p>
    <w:p>
      <w:pPr>
        <w:spacing w:after="160" w:line="320" w:lineRule="auto"/>
        <w:jc w:val="both"/>
      </w:pPr>
      <w:r>
        <w:rPr>
          <w:rFonts w:ascii="Calibri" w:hAnsi="Calibri"/>
          <w:b/>
          <w:i w:val="0"/>
          <w:color w:val="000000"/>
          <w:sz w:val="22"/>
        </w:rPr>
        <w:t>Costs and filtering:</w:t>
      </w:r>
      <w:r>
        <w:rPr>
          <w:rFonts w:ascii="Calibri" w:hAnsi="Calibri"/>
          <w:b w:val="0"/>
          <w:i w:val="0"/>
          <w:color w:val="000000"/>
          <w:sz w:val="22"/>
        </w:rPr>
        <w:t xml:space="preserve"> Moving from Scheme 1 to Scheme 2 lowers the proposed average cumulative return from 292.81% to 279.87%, quantifying the effect of the 10-basis-point turnover charge. The uncertainty filter lowers the proposed Scheme 2 result further to 194.24% and Sharpe 5.9622; abstention reduces exposure but does not automatically improve risk-adjusted return.</w:t>
      </w:r>
    </w:p>
    <w:p>
      <w:pPr>
        <w:spacing w:after="160" w:line="320" w:lineRule="auto"/>
        <w:jc w:val="both"/>
      </w:pPr>
      <w:r>
        <w:rPr>
          <w:rFonts w:ascii="Calibri" w:hAnsi="Calibri"/>
          <w:b/>
          <w:i w:val="0"/>
          <w:color w:val="000000"/>
          <w:sz w:val="22"/>
        </w:rPr>
        <w:t>Interpretive boundary:</w:t>
      </w:r>
      <w:r>
        <w:rPr>
          <w:rFonts w:ascii="Calibri" w:hAnsi="Calibri"/>
          <w:b w:val="0"/>
          <w:i w:val="0"/>
          <w:color w:val="000000"/>
          <w:sz w:val="22"/>
        </w:rPr>
        <w:t xml:space="preserve"> These high annualized-looking outcomes are averages across two heterogeneous retrospective simulations, not live portfolios. Observed-test filtering can align forecasts with realized test information, and the calculation omits contract execution, roll slippage, bid-ask variation, market impact, financing, and position limits.</w:t>
      </w:r>
    </w:p>
    <w:p>
      <w:pPr>
        <w:keepNext/>
        <w:spacing w:before="100" w:after="80"/>
      </w:pPr>
      <w:r>
        <w:rPr>
          <w:rFonts w:ascii="Calibri" w:hAnsi="Calibri"/>
          <w:b/>
          <w:i w:val="0"/>
          <w:color w:val="1F4D78"/>
          <w:sz w:val="18"/>
        </w:rPr>
        <w:t xml:space="preserve">Table 12. </w:t>
      </w:r>
      <w:r>
        <w:rPr>
          <w:rFonts w:ascii="Calibri" w:hAnsi="Calibri"/>
          <w:b w:val="0"/>
          <w:i/>
          <w:color w:val="000000"/>
          <w:sz w:val="18"/>
        </w:rPr>
        <w:t>Performance of two trading schemes and their optimized versions based on single-model forecasts.</w:t>
      </w:r>
    </w:p>
    <w:tbl>
      <w:tblPr>
        <w:tblStyle w:val="TableGrid"/>
        <w:tblW w:type="dxa" w:w="13680"/>
        <w:jc w:val="left"/>
        <w:tblLayout w:type="fixed"/>
        <w:tblLook w:firstColumn="1" w:firstRow="1" w:lastColumn="0" w:lastRow="0" w:noHBand="0" w:noVBand="1" w:val="04A0"/>
      </w:tblPr>
      <w:tblGrid>
        <w:gridCol w:w="929"/>
        <w:gridCol w:w="1195"/>
        <w:gridCol w:w="2789"/>
        <w:gridCol w:w="2656"/>
        <w:gridCol w:w="1593"/>
        <w:gridCol w:w="2921"/>
        <w:gridCol w:w="1597"/>
      </w:tblGrid>
      <w:tr>
        <w:trPr>
          <w:tblHeader w:val="true"/>
        </w:trPr>
        <w:tc>
          <w:tcPr>
            <w:tcW w:type="dxa" w:w="929"/>
            <w:shd w:fill="F4F6F9"/>
            <w:vAlign w:val="center"/>
          </w:tcPr>
          <w:p>
            <w:pPr>
              <w:jc w:val="center"/>
            </w:pPr>
            <w:r/>
            <w:r>
              <w:rPr>
                <w:rFonts w:ascii="Calibri" w:hAnsi="Calibri"/>
                <w:b/>
                <w:i w:val="0"/>
                <w:color w:val="0B2545"/>
                <w:sz w:val="11"/>
              </w:rPr>
              <w:t>Model</w:t>
            </w:r>
          </w:p>
        </w:tc>
        <w:tc>
          <w:tcPr>
            <w:tcW w:type="dxa" w:w="1195"/>
            <w:shd w:fill="F4F6F9"/>
            <w:vAlign w:val="center"/>
          </w:tcPr>
          <w:p>
            <w:pPr>
              <w:jc w:val="center"/>
            </w:pPr>
            <w:r/>
            <w:r>
              <w:rPr>
                <w:rFonts w:ascii="Calibri" w:hAnsi="Calibri"/>
                <w:b/>
                <w:i w:val="0"/>
                <w:color w:val="0B2545"/>
                <w:sz w:val="11"/>
              </w:rPr>
              <w:t>Scheme</w:t>
            </w:r>
          </w:p>
        </w:tc>
        <w:tc>
          <w:tcPr>
            <w:tcW w:type="dxa" w:w="2789"/>
            <w:shd w:fill="F4F6F9"/>
            <w:vAlign w:val="center"/>
          </w:tcPr>
          <w:p>
            <w:pPr>
              <w:jc w:val="center"/>
            </w:pPr>
            <w:r/>
            <w:r>
              <w:rPr>
                <w:rFonts w:ascii="Calibri" w:hAnsi="Calibri"/>
                <w:b/>
                <w:i w:val="0"/>
                <w:color w:val="0B2545"/>
                <w:sz w:val="11"/>
              </w:rPr>
              <w:t>Cumulative Return (%)</w:t>
            </w:r>
          </w:p>
        </w:tc>
        <w:tc>
          <w:tcPr>
            <w:tcW w:type="dxa" w:w="2656"/>
            <w:shd w:fill="F4F6F9"/>
            <w:vAlign w:val="center"/>
          </w:tcPr>
          <w:p>
            <w:pPr>
              <w:jc w:val="center"/>
            </w:pPr>
            <w:r/>
            <w:r>
              <w:rPr>
                <w:rFonts w:ascii="Calibri" w:hAnsi="Calibri"/>
                <w:b/>
                <w:i w:val="0"/>
                <w:color w:val="0B2545"/>
                <w:sz w:val="11"/>
              </w:rPr>
              <w:t>Maximum Drawdown (%)</w:t>
            </w:r>
          </w:p>
        </w:tc>
        <w:tc>
          <w:tcPr>
            <w:tcW w:type="dxa" w:w="1593"/>
            <w:shd w:fill="F4F6F9"/>
            <w:vAlign w:val="center"/>
          </w:tcPr>
          <w:p>
            <w:pPr>
              <w:jc w:val="center"/>
            </w:pPr>
            <w:r/>
            <w:r>
              <w:rPr>
                <w:rFonts w:ascii="Calibri" w:hAnsi="Calibri"/>
                <w:b/>
                <w:i w:val="0"/>
                <w:color w:val="0B2545"/>
                <w:sz w:val="11"/>
              </w:rPr>
              <w:t>Sharpe Ratio</w:t>
            </w:r>
          </w:p>
        </w:tc>
        <w:tc>
          <w:tcPr>
            <w:tcW w:type="dxa" w:w="2921"/>
            <w:shd w:fill="F4F6F9"/>
            <w:vAlign w:val="center"/>
          </w:tcPr>
          <w:p>
            <w:pPr>
              <w:jc w:val="center"/>
            </w:pPr>
            <w:r/>
            <w:r>
              <w:rPr>
                <w:rFonts w:ascii="Calibri" w:hAnsi="Calibri"/>
                <w:b/>
                <w:i w:val="0"/>
                <w:color w:val="0B2545"/>
                <w:sz w:val="11"/>
              </w:rPr>
              <w:t>Number of Transactions</w:t>
            </w:r>
          </w:p>
        </w:tc>
        <w:tc>
          <w:tcPr>
            <w:tcW w:type="dxa" w:w="1597"/>
            <w:shd w:fill="F4F6F9"/>
            <w:vAlign w:val="center"/>
          </w:tcPr>
          <w:p>
            <w:pPr>
              <w:jc w:val="center"/>
            </w:pPr>
            <w:r/>
            <w:r>
              <w:rPr>
                <w:rFonts w:ascii="Calibri" w:hAnsi="Calibri"/>
                <w:b/>
                <w:i w:val="0"/>
                <w:color w:val="0B2545"/>
                <w:sz w:val="11"/>
              </w:rPr>
              <w:t>Hit Rate (%)</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173.96</w:t>
            </w:r>
          </w:p>
        </w:tc>
        <w:tc>
          <w:tcPr>
            <w:tcW w:type="dxa" w:w="2656"/>
            <w:vAlign w:val="center"/>
          </w:tcPr>
          <w:p>
            <w:pPr>
              <w:spacing w:after="0" w:line="240" w:lineRule="auto"/>
              <w:jc w:val="center"/>
            </w:pPr>
            <w:r/>
            <w:r>
              <w:rPr>
                <w:rFonts w:ascii="Calibri" w:hAnsi="Calibri"/>
                <w:b w:val="0"/>
                <w:i w:val="0"/>
                <w:color w:val="000000"/>
                <w:sz w:val="11"/>
              </w:rPr>
              <w:t>-8.84</w:t>
            </w:r>
          </w:p>
        </w:tc>
        <w:tc>
          <w:tcPr>
            <w:tcW w:type="dxa" w:w="1593"/>
            <w:vAlign w:val="center"/>
          </w:tcPr>
          <w:p>
            <w:pPr>
              <w:spacing w:after="0" w:line="240" w:lineRule="auto"/>
              <w:jc w:val="center"/>
            </w:pPr>
            <w:r/>
            <w:r>
              <w:rPr>
                <w:rFonts w:ascii="Calibri" w:hAnsi="Calibri"/>
                <w:b w:val="0"/>
                <w:i w:val="0"/>
                <w:color w:val="000000"/>
                <w:sz w:val="11"/>
              </w:rPr>
              <w:t>5.0752</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68.09</w:t>
            </w:r>
          </w:p>
        </w:tc>
        <w:tc>
          <w:tcPr>
            <w:tcW w:type="dxa" w:w="2656"/>
            <w:vAlign w:val="center"/>
          </w:tcPr>
          <w:p>
            <w:pPr>
              <w:spacing w:after="0" w:line="240" w:lineRule="auto"/>
              <w:jc w:val="center"/>
            </w:pPr>
            <w:r/>
            <w:r>
              <w:rPr>
                <w:rFonts w:ascii="Calibri" w:hAnsi="Calibri"/>
                <w:b w:val="0"/>
                <w:i w:val="0"/>
                <w:color w:val="000000"/>
                <w:sz w:val="11"/>
              </w:rPr>
              <w:t>-5.45</w:t>
            </w:r>
          </w:p>
        </w:tc>
        <w:tc>
          <w:tcPr>
            <w:tcW w:type="dxa" w:w="1593"/>
            <w:vAlign w:val="center"/>
          </w:tcPr>
          <w:p>
            <w:pPr>
              <w:spacing w:after="0" w:line="240" w:lineRule="auto"/>
              <w:jc w:val="center"/>
            </w:pPr>
            <w:r/>
            <w:r>
              <w:rPr>
                <w:rFonts w:ascii="Calibri" w:hAnsi="Calibri"/>
                <w:b w:val="0"/>
                <w:i w:val="0"/>
                <w:color w:val="000000"/>
                <w:sz w:val="11"/>
              </w:rPr>
              <w:t>3.8712</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162.16</w:t>
            </w:r>
          </w:p>
        </w:tc>
        <w:tc>
          <w:tcPr>
            <w:tcW w:type="dxa" w:w="2656"/>
            <w:vAlign w:val="center"/>
          </w:tcPr>
          <w:p>
            <w:pPr>
              <w:spacing w:after="0" w:line="240" w:lineRule="auto"/>
              <w:jc w:val="center"/>
            </w:pPr>
            <w:r/>
            <w:r>
              <w:rPr>
                <w:rFonts w:ascii="Calibri" w:hAnsi="Calibri"/>
                <w:b w:val="0"/>
                <w:i w:val="0"/>
                <w:color w:val="000000"/>
                <w:sz w:val="11"/>
              </w:rPr>
              <w:t>-9.12</w:t>
            </w:r>
          </w:p>
        </w:tc>
        <w:tc>
          <w:tcPr>
            <w:tcW w:type="dxa" w:w="1593"/>
            <w:vAlign w:val="center"/>
          </w:tcPr>
          <w:p>
            <w:pPr>
              <w:spacing w:after="0" w:line="240" w:lineRule="auto"/>
              <w:jc w:val="center"/>
            </w:pPr>
            <w:r/>
            <w:r>
              <w:rPr>
                <w:rFonts w:ascii="Calibri" w:hAnsi="Calibri"/>
                <w:b w:val="0"/>
                <w:i w:val="0"/>
                <w:color w:val="000000"/>
                <w:sz w:val="11"/>
              </w:rPr>
              <w:t>4.8419</w:t>
            </w:r>
          </w:p>
        </w:tc>
        <w:tc>
          <w:tcPr>
            <w:tcW w:type="dxa" w:w="2921"/>
            <w:vAlign w:val="center"/>
          </w:tcPr>
          <w:p>
            <w:pPr>
              <w:spacing w:after="0" w:line="240" w:lineRule="auto"/>
              <w:jc w:val="center"/>
            </w:pPr>
            <w:r/>
            <w:r>
              <w:rPr>
                <w:rFonts w:ascii="Calibri" w:hAnsi="Calibri"/>
                <w:b w:val="0"/>
                <w:i w:val="0"/>
                <w:color w:val="000000"/>
                <w:sz w:val="11"/>
              </w:rPr>
              <w:t>22.5000</w:t>
            </w:r>
          </w:p>
        </w:tc>
        <w:tc>
          <w:tcPr>
            <w:tcW w:type="dxa" w:w="1597"/>
            <w:vAlign w:val="center"/>
          </w:tcPr>
          <w:p>
            <w:pPr>
              <w:spacing w:after="0" w:line="240" w:lineRule="auto"/>
              <w:jc w:val="center"/>
            </w:pPr>
            <w:r/>
            <w:r>
              <w:rPr>
                <w:rFonts w:ascii="Calibri" w:hAnsi="Calibri"/>
                <w:b w:val="0"/>
                <w:i w:val="0"/>
                <w:color w:val="000000"/>
                <w:sz w:val="11"/>
              </w:rPr>
              <w:t>55.29</w:t>
            </w:r>
          </w:p>
        </w:tc>
      </w:tr>
      <w:tr>
        <w:tc>
          <w:tcPr>
            <w:tcW w:type="dxa" w:w="929"/>
            <w:vAlign w:val="center"/>
          </w:tcPr>
          <w:p>
            <w:pPr>
              <w:spacing w:after="0" w:line="240" w:lineRule="auto"/>
              <w:jc w:val="left"/>
            </w:pPr>
            <w:r/>
            <w:r>
              <w:rPr>
                <w:rFonts w:ascii="Calibri" w:hAnsi="Calibri"/>
                <w:b w:val="0"/>
                <w:i w:val="0"/>
                <w:color w:val="000000"/>
                <w:sz w:val="11"/>
              </w:rPr>
              <w:t>ARIMA</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64.00</w:t>
            </w:r>
          </w:p>
        </w:tc>
        <w:tc>
          <w:tcPr>
            <w:tcW w:type="dxa" w:w="2656"/>
            <w:vAlign w:val="center"/>
          </w:tcPr>
          <w:p>
            <w:pPr>
              <w:spacing w:after="0" w:line="240" w:lineRule="auto"/>
              <w:jc w:val="center"/>
            </w:pPr>
            <w:r/>
            <w:r>
              <w:rPr>
                <w:rFonts w:ascii="Calibri" w:hAnsi="Calibri"/>
                <w:b w:val="0"/>
                <w:i w:val="0"/>
                <w:color w:val="000000"/>
                <w:sz w:val="11"/>
              </w:rPr>
              <w:t>-5.69</w:t>
            </w:r>
          </w:p>
        </w:tc>
        <w:tc>
          <w:tcPr>
            <w:tcW w:type="dxa" w:w="1593"/>
            <w:vAlign w:val="center"/>
          </w:tcPr>
          <w:p>
            <w:pPr>
              <w:spacing w:after="0" w:line="240" w:lineRule="auto"/>
              <w:jc w:val="center"/>
            </w:pPr>
            <w:r/>
            <w:r>
              <w:rPr>
                <w:rFonts w:ascii="Calibri" w:hAnsi="Calibri"/>
                <w:b w:val="0"/>
                <w:i w:val="0"/>
                <w:color w:val="000000"/>
                <w:sz w:val="11"/>
              </w:rPr>
              <w:t>3.6666</w:t>
            </w:r>
          </w:p>
        </w:tc>
        <w:tc>
          <w:tcPr>
            <w:tcW w:type="dxa" w:w="2921"/>
            <w:vAlign w:val="center"/>
          </w:tcPr>
          <w:p>
            <w:pPr>
              <w:spacing w:after="0" w:line="240" w:lineRule="auto"/>
              <w:jc w:val="center"/>
            </w:pPr>
            <w:r/>
            <w:r>
              <w:rPr>
                <w:rFonts w:ascii="Calibri" w:hAnsi="Calibri"/>
                <w:b w:val="0"/>
                <w:i w:val="0"/>
                <w:color w:val="000000"/>
                <w:sz w:val="11"/>
              </w:rPr>
              <w:t>22.0000</w:t>
            </w:r>
          </w:p>
        </w:tc>
        <w:tc>
          <w:tcPr>
            <w:tcW w:type="dxa" w:w="1597"/>
            <w:vAlign w:val="center"/>
          </w:tcPr>
          <w:p>
            <w:pPr>
              <w:spacing w:after="0" w:line="240" w:lineRule="auto"/>
              <w:jc w:val="center"/>
            </w:pPr>
            <w:r/>
            <w:r>
              <w:rPr>
                <w:rFonts w:ascii="Calibri" w:hAnsi="Calibri"/>
                <w:b w:val="0"/>
                <w:i w:val="0"/>
                <w:color w:val="000000"/>
                <w:sz w:val="11"/>
              </w:rPr>
              <w:t>15.57</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28.70</w:t>
            </w:r>
          </w:p>
        </w:tc>
        <w:tc>
          <w:tcPr>
            <w:tcW w:type="dxa" w:w="2656"/>
            <w:vAlign w:val="center"/>
          </w:tcPr>
          <w:p>
            <w:pPr>
              <w:spacing w:after="0" w:line="240" w:lineRule="auto"/>
              <w:jc w:val="center"/>
            </w:pPr>
            <w:r/>
            <w:r>
              <w:rPr>
                <w:rFonts w:ascii="Calibri" w:hAnsi="Calibri"/>
                <w:b w:val="0"/>
                <w:i w:val="0"/>
                <w:color w:val="000000"/>
                <w:sz w:val="11"/>
              </w:rPr>
              <w:t>-38.35</w:t>
            </w:r>
          </w:p>
        </w:tc>
        <w:tc>
          <w:tcPr>
            <w:tcW w:type="dxa" w:w="1593"/>
            <w:vAlign w:val="center"/>
          </w:tcPr>
          <w:p>
            <w:pPr>
              <w:spacing w:after="0" w:line="240" w:lineRule="auto"/>
              <w:jc w:val="center"/>
            </w:pPr>
            <w:r/>
            <w:r>
              <w:rPr>
                <w:rFonts w:ascii="Calibri" w:hAnsi="Calibri"/>
                <w:b w:val="0"/>
                <w:i w:val="0"/>
                <w:color w:val="000000"/>
                <w:sz w:val="11"/>
              </w:rPr>
              <w:t>1.3685</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38.67</w:t>
            </w:r>
          </w:p>
        </w:tc>
        <w:tc>
          <w:tcPr>
            <w:tcW w:type="dxa" w:w="2656"/>
            <w:vAlign w:val="center"/>
          </w:tcPr>
          <w:p>
            <w:pPr>
              <w:spacing w:after="0" w:line="240" w:lineRule="auto"/>
              <w:jc w:val="center"/>
            </w:pPr>
            <w:r/>
            <w:r>
              <w:rPr>
                <w:rFonts w:ascii="Calibri" w:hAnsi="Calibri"/>
                <w:b w:val="0"/>
                <w:i w:val="0"/>
                <w:color w:val="000000"/>
                <w:sz w:val="11"/>
              </w:rPr>
              <w:t>-32.84</w:t>
            </w:r>
          </w:p>
        </w:tc>
        <w:tc>
          <w:tcPr>
            <w:tcW w:type="dxa" w:w="1593"/>
            <w:vAlign w:val="center"/>
          </w:tcPr>
          <w:p>
            <w:pPr>
              <w:spacing w:after="0" w:line="240" w:lineRule="auto"/>
              <w:jc w:val="center"/>
            </w:pPr>
            <w:r/>
            <w:r>
              <w:rPr>
                <w:rFonts w:ascii="Calibri" w:hAnsi="Calibri"/>
                <w:b w:val="0"/>
                <w:i w:val="0"/>
                <w:color w:val="000000"/>
                <w:sz w:val="11"/>
              </w:rPr>
              <w:t>2.0662</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27.21</w:t>
            </w:r>
          </w:p>
        </w:tc>
        <w:tc>
          <w:tcPr>
            <w:tcW w:type="dxa" w:w="2656"/>
            <w:vAlign w:val="center"/>
          </w:tcPr>
          <w:p>
            <w:pPr>
              <w:spacing w:after="0" w:line="240" w:lineRule="auto"/>
              <w:jc w:val="center"/>
            </w:pPr>
            <w:r/>
            <w:r>
              <w:rPr>
                <w:rFonts w:ascii="Calibri" w:hAnsi="Calibri"/>
                <w:b w:val="0"/>
                <w:i w:val="0"/>
                <w:color w:val="000000"/>
                <w:sz w:val="11"/>
              </w:rPr>
              <w:t>-39.12</w:t>
            </w:r>
          </w:p>
        </w:tc>
        <w:tc>
          <w:tcPr>
            <w:tcW w:type="dxa" w:w="1593"/>
            <w:vAlign w:val="center"/>
          </w:tcPr>
          <w:p>
            <w:pPr>
              <w:spacing w:after="0" w:line="240" w:lineRule="auto"/>
              <w:jc w:val="center"/>
            </w:pPr>
            <w:r/>
            <w:r>
              <w:rPr>
                <w:rFonts w:ascii="Calibri" w:hAnsi="Calibri"/>
                <w:b w:val="0"/>
                <w:i w:val="0"/>
                <w:color w:val="000000"/>
                <w:sz w:val="11"/>
              </w:rPr>
              <w:t>1.2887</w:t>
            </w:r>
          </w:p>
        </w:tc>
        <w:tc>
          <w:tcPr>
            <w:tcW w:type="dxa" w:w="2921"/>
            <w:vAlign w:val="center"/>
          </w:tcPr>
          <w:p>
            <w:pPr>
              <w:spacing w:after="0" w:line="240" w:lineRule="auto"/>
              <w:jc w:val="center"/>
            </w:pPr>
            <w:r/>
            <w:r>
              <w:rPr>
                <w:rFonts w:ascii="Calibri" w:hAnsi="Calibri"/>
                <w:b w:val="0"/>
                <w:i w:val="0"/>
                <w:color w:val="000000"/>
                <w:sz w:val="11"/>
              </w:rPr>
              <w:t>11.5000</w:t>
            </w:r>
          </w:p>
        </w:tc>
        <w:tc>
          <w:tcPr>
            <w:tcW w:type="dxa" w:w="1597"/>
            <w:vAlign w:val="center"/>
          </w:tcPr>
          <w:p>
            <w:pPr>
              <w:spacing w:after="0" w:line="240" w:lineRule="auto"/>
              <w:jc w:val="center"/>
            </w:pPr>
            <w:r/>
            <w:r>
              <w:rPr>
                <w:rFonts w:ascii="Calibri" w:hAnsi="Calibri"/>
                <w:b w:val="0"/>
                <w:i w:val="0"/>
                <w:color w:val="000000"/>
                <w:sz w:val="11"/>
              </w:rPr>
              <w:t>45.21</w:t>
            </w:r>
          </w:p>
        </w:tc>
      </w:tr>
      <w:tr>
        <w:tc>
          <w:tcPr>
            <w:tcW w:type="dxa" w:w="929"/>
            <w:vAlign w:val="center"/>
          </w:tcPr>
          <w:p>
            <w:pPr>
              <w:spacing w:after="0" w:line="240" w:lineRule="auto"/>
              <w:jc w:val="left"/>
            </w:pPr>
            <w:r/>
            <w:r>
              <w:rPr>
                <w:rFonts w:ascii="Calibri" w:hAnsi="Calibri"/>
                <w:b w:val="0"/>
                <w:i w:val="0"/>
                <w:color w:val="000000"/>
                <w:sz w:val="11"/>
              </w:rPr>
              <w:t>ELM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36.40</w:t>
            </w:r>
          </w:p>
        </w:tc>
        <w:tc>
          <w:tcPr>
            <w:tcW w:type="dxa" w:w="2656"/>
            <w:vAlign w:val="center"/>
          </w:tcPr>
          <w:p>
            <w:pPr>
              <w:spacing w:after="0" w:line="240" w:lineRule="auto"/>
              <w:jc w:val="center"/>
            </w:pPr>
            <w:r/>
            <w:r>
              <w:rPr>
                <w:rFonts w:ascii="Calibri" w:hAnsi="Calibri"/>
                <w:b w:val="0"/>
                <w:i w:val="0"/>
                <w:color w:val="000000"/>
                <w:sz w:val="11"/>
              </w:rPr>
              <w:t>-33.48</w:t>
            </w:r>
          </w:p>
        </w:tc>
        <w:tc>
          <w:tcPr>
            <w:tcW w:type="dxa" w:w="1593"/>
            <w:vAlign w:val="center"/>
          </w:tcPr>
          <w:p>
            <w:pPr>
              <w:spacing w:after="0" w:line="240" w:lineRule="auto"/>
              <w:jc w:val="center"/>
            </w:pPr>
            <w:r/>
            <w:r>
              <w:rPr>
                <w:rFonts w:ascii="Calibri" w:hAnsi="Calibri"/>
                <w:b w:val="0"/>
                <w:i w:val="0"/>
                <w:color w:val="000000"/>
                <w:sz w:val="11"/>
              </w:rPr>
              <w:t>1.9759</w:t>
            </w:r>
          </w:p>
        </w:tc>
        <w:tc>
          <w:tcPr>
            <w:tcW w:type="dxa" w:w="2921"/>
            <w:vAlign w:val="center"/>
          </w:tcPr>
          <w:p>
            <w:pPr>
              <w:spacing w:after="0" w:line="240" w:lineRule="auto"/>
              <w:jc w:val="center"/>
            </w:pPr>
            <w:r/>
            <w:r>
              <w:rPr>
                <w:rFonts w:ascii="Calibri" w:hAnsi="Calibri"/>
                <w:b w:val="0"/>
                <w:i w:val="0"/>
                <w:color w:val="000000"/>
                <w:sz w:val="11"/>
              </w:rPr>
              <w:t>18.0000</w:t>
            </w:r>
          </w:p>
        </w:tc>
        <w:tc>
          <w:tcPr>
            <w:tcW w:type="dxa" w:w="1597"/>
            <w:vAlign w:val="center"/>
          </w:tcPr>
          <w:p>
            <w:pPr>
              <w:spacing w:after="0" w:line="240" w:lineRule="auto"/>
              <w:jc w:val="center"/>
            </w:pPr>
            <w:r/>
            <w:r>
              <w:rPr>
                <w:rFonts w:ascii="Calibri" w:hAnsi="Calibri"/>
                <w:b w:val="0"/>
                <w:i w:val="0"/>
                <w:color w:val="000000"/>
                <w:sz w:val="11"/>
              </w:rPr>
              <w:t>32.20</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26.39</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0.9999</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27.41</w:t>
            </w:r>
          </w:p>
        </w:tc>
        <w:tc>
          <w:tcPr>
            <w:tcW w:type="dxa" w:w="2656"/>
            <w:vAlign w:val="center"/>
          </w:tcPr>
          <w:p>
            <w:pPr>
              <w:spacing w:after="0" w:line="240" w:lineRule="auto"/>
              <w:jc w:val="center"/>
            </w:pPr>
            <w:r/>
            <w:r>
              <w:rPr>
                <w:rFonts w:ascii="Calibri" w:hAnsi="Calibri"/>
                <w:b w:val="0"/>
                <w:i w:val="0"/>
                <w:color w:val="000000"/>
                <w:sz w:val="11"/>
              </w:rPr>
              <w:t>-44.20</w:t>
            </w:r>
          </w:p>
        </w:tc>
        <w:tc>
          <w:tcPr>
            <w:tcW w:type="dxa" w:w="1593"/>
            <w:vAlign w:val="center"/>
          </w:tcPr>
          <w:p>
            <w:pPr>
              <w:spacing w:after="0" w:line="240" w:lineRule="auto"/>
              <w:jc w:val="center"/>
            </w:pPr>
            <w:r/>
            <w:r>
              <w:rPr>
                <w:rFonts w:ascii="Calibri" w:hAnsi="Calibri"/>
                <w:b w:val="0"/>
                <w:i w:val="0"/>
                <w:color w:val="000000"/>
                <w:sz w:val="11"/>
              </w:rPr>
              <w:t>1.0830</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26.27</w:t>
            </w:r>
          </w:p>
        </w:tc>
        <w:tc>
          <w:tcPr>
            <w:tcW w:type="dxa" w:w="2656"/>
            <w:vAlign w:val="center"/>
          </w:tcPr>
          <w:p>
            <w:pPr>
              <w:spacing w:after="0" w:line="240" w:lineRule="auto"/>
              <w:jc w:val="center"/>
            </w:pPr>
            <w:r/>
            <w:r>
              <w:rPr>
                <w:rFonts w:ascii="Calibri" w:hAnsi="Calibri"/>
                <w:b w:val="0"/>
                <w:i w:val="0"/>
                <w:color w:val="000000"/>
                <w:sz w:val="11"/>
              </w:rPr>
              <w:t>-45.01</w:t>
            </w:r>
          </w:p>
        </w:tc>
        <w:tc>
          <w:tcPr>
            <w:tcW w:type="dxa" w:w="1593"/>
            <w:vAlign w:val="center"/>
          </w:tcPr>
          <w:p>
            <w:pPr>
              <w:spacing w:after="0" w:line="240" w:lineRule="auto"/>
              <w:jc w:val="center"/>
            </w:pPr>
            <w:r/>
            <w:r>
              <w:rPr>
                <w:rFonts w:ascii="Calibri" w:hAnsi="Calibri"/>
                <w:b w:val="0"/>
                <w:i w:val="0"/>
                <w:color w:val="000000"/>
                <w:sz w:val="11"/>
              </w:rPr>
              <w:t>0.9951</w:t>
            </w:r>
          </w:p>
        </w:tc>
        <w:tc>
          <w:tcPr>
            <w:tcW w:type="dxa" w:w="2921"/>
            <w:vAlign w:val="center"/>
          </w:tcPr>
          <w:p>
            <w:pPr>
              <w:spacing w:after="0" w:line="240" w:lineRule="auto"/>
              <w:jc w:val="center"/>
            </w:pPr>
            <w:r/>
            <w:r>
              <w:rPr>
                <w:rFonts w:ascii="Calibri" w:hAnsi="Calibri"/>
                <w:b w:val="0"/>
                <w:i w:val="0"/>
                <w:color w:val="000000"/>
                <w:sz w:val="11"/>
              </w:rPr>
              <w:t>1.0000</w:t>
            </w:r>
          </w:p>
        </w:tc>
        <w:tc>
          <w:tcPr>
            <w:tcW w:type="dxa" w:w="1597"/>
            <w:vAlign w:val="center"/>
          </w:tcPr>
          <w:p>
            <w:pPr>
              <w:spacing w:after="0" w:line="240" w:lineRule="auto"/>
              <w:jc w:val="center"/>
            </w:pPr>
            <w:r/>
            <w:r>
              <w:rPr>
                <w:rFonts w:ascii="Calibri" w:hAnsi="Calibri"/>
                <w:b w:val="0"/>
                <w:i w:val="0"/>
                <w:color w:val="000000"/>
                <w:sz w:val="11"/>
              </w:rPr>
              <w:t>44.26</w:t>
            </w:r>
          </w:p>
        </w:tc>
      </w:tr>
      <w:tr>
        <w:tc>
          <w:tcPr>
            <w:tcW w:type="dxa" w:w="929"/>
            <w:vAlign w:val="center"/>
          </w:tcPr>
          <w:p>
            <w:pPr>
              <w:spacing w:after="0" w:line="240" w:lineRule="auto"/>
              <w:jc w:val="left"/>
            </w:pPr>
            <w:r/>
            <w:r>
              <w:rPr>
                <w:rFonts w:ascii="Calibri" w:hAnsi="Calibri"/>
                <w:b w:val="0"/>
                <w:i w:val="0"/>
                <w:color w:val="000000"/>
                <w:sz w:val="11"/>
              </w:rPr>
              <w:t>ES</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27.24</w:t>
            </w:r>
          </w:p>
        </w:tc>
        <w:tc>
          <w:tcPr>
            <w:tcW w:type="dxa" w:w="2656"/>
            <w:vAlign w:val="center"/>
          </w:tcPr>
          <w:p>
            <w:pPr>
              <w:spacing w:after="0" w:line="240" w:lineRule="auto"/>
              <w:jc w:val="center"/>
            </w:pPr>
            <w:r/>
            <w:r>
              <w:rPr>
                <w:rFonts w:ascii="Calibri" w:hAnsi="Calibri"/>
                <w:b w:val="0"/>
                <w:i w:val="0"/>
                <w:color w:val="000000"/>
                <w:sz w:val="11"/>
              </w:rPr>
              <w:t>-44.23</w:t>
            </w:r>
          </w:p>
        </w:tc>
        <w:tc>
          <w:tcPr>
            <w:tcW w:type="dxa" w:w="1593"/>
            <w:vAlign w:val="center"/>
          </w:tcPr>
          <w:p>
            <w:pPr>
              <w:spacing w:after="0" w:line="240" w:lineRule="auto"/>
              <w:jc w:val="center"/>
            </w:pPr>
            <w:r/>
            <w:r>
              <w:rPr>
                <w:rFonts w:ascii="Calibri" w:hAnsi="Calibri"/>
                <w:b w:val="0"/>
                <w:i w:val="0"/>
                <w:color w:val="000000"/>
                <w:sz w:val="11"/>
              </w:rPr>
              <w:t>1.0747</w:t>
            </w:r>
          </w:p>
        </w:tc>
        <w:tc>
          <w:tcPr>
            <w:tcW w:type="dxa" w:w="2921"/>
            <w:vAlign w:val="center"/>
          </w:tcPr>
          <w:p>
            <w:pPr>
              <w:spacing w:after="0" w:line="240" w:lineRule="auto"/>
              <w:jc w:val="center"/>
            </w:pPr>
            <w:r/>
            <w:r>
              <w:rPr>
                <w:rFonts w:ascii="Calibri" w:hAnsi="Calibri"/>
                <w:b w:val="0"/>
                <w:i w:val="0"/>
                <w:color w:val="000000"/>
                <w:sz w:val="11"/>
              </w:rPr>
              <w:t>2.0000</w:t>
            </w:r>
          </w:p>
        </w:tc>
        <w:tc>
          <w:tcPr>
            <w:tcW w:type="dxa" w:w="1597"/>
            <w:vAlign w:val="center"/>
          </w:tcPr>
          <w:p>
            <w:pPr>
              <w:spacing w:after="0" w:line="240" w:lineRule="auto"/>
              <w:jc w:val="center"/>
            </w:pPr>
            <w:r/>
            <w:r>
              <w:rPr>
                <w:rFonts w:ascii="Calibri" w:hAnsi="Calibri"/>
                <w:b w:val="0"/>
                <w:i w:val="0"/>
                <w:color w:val="000000"/>
                <w:sz w:val="11"/>
              </w:rPr>
              <w:t>43.31</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62.12</w:t>
            </w:r>
          </w:p>
        </w:tc>
        <w:tc>
          <w:tcPr>
            <w:tcW w:type="dxa" w:w="2656"/>
            <w:vAlign w:val="center"/>
          </w:tcPr>
          <w:p>
            <w:pPr>
              <w:spacing w:after="0" w:line="240" w:lineRule="auto"/>
              <w:jc w:val="center"/>
            </w:pPr>
            <w:r/>
            <w:r>
              <w:rPr>
                <w:rFonts w:ascii="Calibri" w:hAnsi="Calibri"/>
                <w:b w:val="0"/>
                <w:i w:val="0"/>
                <w:color w:val="000000"/>
                <w:sz w:val="11"/>
              </w:rPr>
              <w:t>-21.25</w:t>
            </w:r>
          </w:p>
        </w:tc>
        <w:tc>
          <w:tcPr>
            <w:tcW w:type="dxa" w:w="1593"/>
            <w:vAlign w:val="center"/>
          </w:tcPr>
          <w:p>
            <w:pPr>
              <w:spacing w:after="0" w:line="240" w:lineRule="auto"/>
              <w:jc w:val="center"/>
            </w:pPr>
            <w:r/>
            <w:r>
              <w:rPr>
                <w:rFonts w:ascii="Calibri" w:hAnsi="Calibri"/>
                <w:b w:val="0"/>
                <w:i w:val="0"/>
                <w:color w:val="000000"/>
                <w:sz w:val="11"/>
              </w:rPr>
              <w:t>2.0651</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47.84</w:t>
            </w:r>
          </w:p>
        </w:tc>
        <w:tc>
          <w:tcPr>
            <w:tcW w:type="dxa" w:w="2656"/>
            <w:vAlign w:val="center"/>
          </w:tcPr>
          <w:p>
            <w:pPr>
              <w:spacing w:after="0" w:line="240" w:lineRule="auto"/>
              <w:jc w:val="center"/>
            </w:pPr>
            <w:r/>
            <w:r>
              <w:rPr>
                <w:rFonts w:ascii="Calibri" w:hAnsi="Calibri"/>
                <w:b w:val="0"/>
                <w:i w:val="0"/>
                <w:color w:val="000000"/>
                <w:sz w:val="11"/>
              </w:rPr>
              <w:t>-10.96</w:t>
            </w:r>
          </w:p>
        </w:tc>
        <w:tc>
          <w:tcPr>
            <w:tcW w:type="dxa" w:w="1593"/>
            <w:vAlign w:val="center"/>
          </w:tcPr>
          <w:p>
            <w:pPr>
              <w:spacing w:after="0" w:line="240" w:lineRule="auto"/>
              <w:jc w:val="center"/>
            </w:pPr>
            <w:r/>
            <w:r>
              <w:rPr>
                <w:rFonts w:ascii="Calibri" w:hAnsi="Calibri"/>
                <w:b w:val="0"/>
                <w:i w:val="0"/>
                <w:color w:val="000000"/>
                <w:sz w:val="11"/>
              </w:rPr>
              <w:t>2.5043</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58.35</w:t>
            </w:r>
          </w:p>
        </w:tc>
        <w:tc>
          <w:tcPr>
            <w:tcW w:type="dxa" w:w="2656"/>
            <w:vAlign w:val="center"/>
          </w:tcPr>
          <w:p>
            <w:pPr>
              <w:spacing w:after="0" w:line="240" w:lineRule="auto"/>
              <w:jc w:val="center"/>
            </w:pPr>
            <w:r/>
            <w:r>
              <w:rPr>
                <w:rFonts w:ascii="Calibri" w:hAnsi="Calibri"/>
                <w:b w:val="0"/>
                <w:i w:val="0"/>
                <w:color w:val="000000"/>
                <w:sz w:val="11"/>
              </w:rPr>
              <w:t>-21.98</w:t>
            </w:r>
          </w:p>
        </w:tc>
        <w:tc>
          <w:tcPr>
            <w:tcW w:type="dxa" w:w="1593"/>
            <w:vAlign w:val="center"/>
          </w:tcPr>
          <w:p>
            <w:pPr>
              <w:spacing w:after="0" w:line="240" w:lineRule="auto"/>
              <w:jc w:val="center"/>
            </w:pPr>
            <w:r/>
            <w:r>
              <w:rPr>
                <w:rFonts w:ascii="Calibri" w:hAnsi="Calibri"/>
                <w:b w:val="0"/>
                <w:i w:val="0"/>
                <w:color w:val="000000"/>
                <w:sz w:val="11"/>
              </w:rPr>
              <w:t>1.9585</w:t>
            </w:r>
          </w:p>
        </w:tc>
        <w:tc>
          <w:tcPr>
            <w:tcW w:type="dxa" w:w="2921"/>
            <w:vAlign w:val="center"/>
          </w:tcPr>
          <w:p>
            <w:pPr>
              <w:spacing w:after="0" w:line="240" w:lineRule="auto"/>
              <w:jc w:val="center"/>
            </w:pPr>
            <w:r/>
            <w:r>
              <w:rPr>
                <w:rFonts w:ascii="Calibri" w:hAnsi="Calibri"/>
                <w:b w:val="0"/>
                <w:i w:val="0"/>
                <w:color w:val="000000"/>
                <w:sz w:val="11"/>
              </w:rPr>
              <w:t>12.5000</w:t>
            </w:r>
          </w:p>
        </w:tc>
        <w:tc>
          <w:tcPr>
            <w:tcW w:type="dxa" w:w="1597"/>
            <w:vAlign w:val="center"/>
          </w:tcPr>
          <w:p>
            <w:pPr>
              <w:spacing w:after="0" w:line="240" w:lineRule="auto"/>
              <w:jc w:val="center"/>
            </w:pPr>
            <w:r/>
            <w:r>
              <w:rPr>
                <w:rFonts w:ascii="Calibri" w:hAnsi="Calibri"/>
                <w:b w:val="0"/>
                <w:i w:val="0"/>
                <w:color w:val="000000"/>
                <w:sz w:val="11"/>
              </w:rPr>
              <w:t>43.66</w:t>
            </w:r>
          </w:p>
        </w:tc>
      </w:tr>
      <w:tr>
        <w:tc>
          <w:tcPr>
            <w:tcW w:type="dxa" w:w="929"/>
            <w:vAlign w:val="center"/>
          </w:tcPr>
          <w:p>
            <w:pPr>
              <w:spacing w:after="0" w:line="240" w:lineRule="auto"/>
              <w:jc w:val="left"/>
            </w:pPr>
            <w:r/>
            <w:r>
              <w:rPr>
                <w:rFonts w:ascii="Calibri" w:hAnsi="Calibri"/>
                <w:b w:val="0"/>
                <w:i w:val="0"/>
                <w:color w:val="000000"/>
                <w:sz w:val="11"/>
              </w:rPr>
              <w:t>LSTM</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45.50</w:t>
            </w:r>
          </w:p>
        </w:tc>
        <w:tc>
          <w:tcPr>
            <w:tcW w:type="dxa" w:w="2656"/>
            <w:vAlign w:val="center"/>
          </w:tcPr>
          <w:p>
            <w:pPr>
              <w:spacing w:after="0" w:line="240" w:lineRule="auto"/>
              <w:jc w:val="center"/>
            </w:pPr>
            <w:r/>
            <w:r>
              <w:rPr>
                <w:rFonts w:ascii="Calibri" w:hAnsi="Calibri"/>
                <w:b w:val="0"/>
                <w:i w:val="0"/>
                <w:color w:val="000000"/>
                <w:sz w:val="11"/>
              </w:rPr>
              <w:t>-11.27</w:t>
            </w:r>
          </w:p>
        </w:tc>
        <w:tc>
          <w:tcPr>
            <w:tcW w:type="dxa" w:w="1593"/>
            <w:vAlign w:val="center"/>
          </w:tcPr>
          <w:p>
            <w:pPr>
              <w:spacing w:after="0" w:line="240" w:lineRule="auto"/>
              <w:jc w:val="center"/>
            </w:pPr>
            <w:r/>
            <w:r>
              <w:rPr>
                <w:rFonts w:ascii="Calibri" w:hAnsi="Calibri"/>
                <w:b w:val="0"/>
                <w:i w:val="0"/>
                <w:color w:val="000000"/>
                <w:sz w:val="11"/>
              </w:rPr>
              <w:t>2.4026</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18.50</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86.64</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3.2583</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51.91</w:t>
            </w:r>
          </w:p>
        </w:tc>
        <w:tc>
          <w:tcPr>
            <w:tcW w:type="dxa" w:w="2656"/>
            <w:vAlign w:val="center"/>
          </w:tcPr>
          <w:p>
            <w:pPr>
              <w:spacing w:after="0" w:line="240" w:lineRule="auto"/>
              <w:jc w:val="center"/>
            </w:pPr>
            <w:r/>
            <w:r>
              <w:rPr>
                <w:rFonts w:ascii="Calibri" w:hAnsi="Calibri"/>
                <w:b w:val="0"/>
                <w:i w:val="0"/>
                <w:color w:val="000000"/>
                <w:sz w:val="11"/>
              </w:rPr>
              <w:t>-8.41</w:t>
            </w:r>
          </w:p>
        </w:tc>
        <w:tc>
          <w:tcPr>
            <w:tcW w:type="dxa" w:w="1593"/>
            <w:vAlign w:val="center"/>
          </w:tcPr>
          <w:p>
            <w:pPr>
              <w:spacing w:after="0" w:line="240" w:lineRule="auto"/>
              <w:jc w:val="center"/>
            </w:pPr>
            <w:r/>
            <w:r>
              <w:rPr>
                <w:rFonts w:ascii="Calibri" w:hAnsi="Calibri"/>
                <w:b w:val="0"/>
                <w:i w:val="0"/>
                <w:color w:val="000000"/>
                <w:sz w:val="11"/>
              </w:rPr>
              <w:t>2.5524</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84.91</w:t>
            </w:r>
          </w:p>
        </w:tc>
        <w:tc>
          <w:tcPr>
            <w:tcW w:type="dxa" w:w="2656"/>
            <w:vAlign w:val="center"/>
          </w:tcPr>
          <w:p>
            <w:pPr>
              <w:spacing w:after="0" w:line="240" w:lineRule="auto"/>
              <w:jc w:val="center"/>
            </w:pPr>
            <w:r/>
            <w:r>
              <w:rPr>
                <w:rFonts w:ascii="Calibri" w:hAnsi="Calibri"/>
                <w:b w:val="0"/>
                <w:i w:val="0"/>
                <w:color w:val="000000"/>
                <w:sz w:val="11"/>
              </w:rPr>
              <w:t>-25.03</w:t>
            </w:r>
          </w:p>
        </w:tc>
        <w:tc>
          <w:tcPr>
            <w:tcW w:type="dxa" w:w="1593"/>
            <w:vAlign w:val="center"/>
          </w:tcPr>
          <w:p>
            <w:pPr>
              <w:spacing w:after="0" w:line="240" w:lineRule="auto"/>
              <w:jc w:val="center"/>
            </w:pPr>
            <w:r/>
            <w:r>
              <w:rPr>
                <w:rFonts w:ascii="Calibri" w:hAnsi="Calibri"/>
                <w:b w:val="0"/>
                <w:i w:val="0"/>
                <w:color w:val="000000"/>
                <w:sz w:val="11"/>
              </w:rPr>
              <w:t>3.2216</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49.97</w:t>
            </w:r>
          </w:p>
        </w:tc>
      </w:tr>
      <w:tr>
        <w:tc>
          <w:tcPr>
            <w:tcW w:type="dxa" w:w="929"/>
            <w:vAlign w:val="center"/>
          </w:tcPr>
          <w:p>
            <w:pPr>
              <w:spacing w:after="0" w:line="240" w:lineRule="auto"/>
              <w:jc w:val="left"/>
            </w:pPr>
            <w:r/>
            <w:r>
              <w:rPr>
                <w:rFonts w:ascii="Calibri" w:hAnsi="Calibri"/>
                <w:b w:val="0"/>
                <w:i w:val="0"/>
                <w:color w:val="000000"/>
                <w:sz w:val="11"/>
              </w:rPr>
              <w:t>MLP</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49.59</w:t>
            </w:r>
          </w:p>
        </w:tc>
        <w:tc>
          <w:tcPr>
            <w:tcW w:type="dxa" w:w="2656"/>
            <w:vAlign w:val="center"/>
          </w:tcPr>
          <w:p>
            <w:pPr>
              <w:spacing w:after="0" w:line="240" w:lineRule="auto"/>
              <w:jc w:val="center"/>
            </w:pPr>
            <w:r/>
            <w:r>
              <w:rPr>
                <w:rFonts w:ascii="Calibri" w:hAnsi="Calibri"/>
                <w:b w:val="0"/>
                <w:i w:val="0"/>
                <w:color w:val="000000"/>
                <w:sz w:val="11"/>
              </w:rPr>
              <w:t>-8.69</w:t>
            </w:r>
          </w:p>
        </w:tc>
        <w:tc>
          <w:tcPr>
            <w:tcW w:type="dxa" w:w="1593"/>
            <w:vAlign w:val="center"/>
          </w:tcPr>
          <w:p>
            <w:pPr>
              <w:spacing w:after="0" w:line="240" w:lineRule="auto"/>
              <w:jc w:val="center"/>
            </w:pPr>
            <w:r/>
            <w:r>
              <w:rPr>
                <w:rFonts w:ascii="Calibri" w:hAnsi="Calibri"/>
                <w:b w:val="0"/>
                <w:i w:val="0"/>
                <w:color w:val="000000"/>
                <w:sz w:val="11"/>
              </w:rPr>
              <w:t>2.4465</w:t>
            </w:r>
          </w:p>
        </w:tc>
        <w:tc>
          <w:tcPr>
            <w:tcW w:type="dxa" w:w="2921"/>
            <w:vAlign w:val="center"/>
          </w:tcPr>
          <w:p>
            <w:pPr>
              <w:spacing w:after="0" w:line="240" w:lineRule="auto"/>
              <w:jc w:val="center"/>
            </w:pPr>
            <w:r/>
            <w:r>
              <w:rPr>
                <w:rFonts w:ascii="Calibri" w:hAnsi="Calibri"/>
                <w:b w:val="0"/>
                <w:i w:val="0"/>
                <w:color w:val="000000"/>
                <w:sz w:val="11"/>
              </w:rPr>
              <w:t>14.5000</w:t>
            </w:r>
          </w:p>
        </w:tc>
        <w:tc>
          <w:tcPr>
            <w:tcW w:type="dxa" w:w="1597"/>
            <w:vAlign w:val="center"/>
          </w:tcPr>
          <w:p>
            <w:pPr>
              <w:spacing w:after="0" w:line="240" w:lineRule="auto"/>
              <w:jc w:val="center"/>
            </w:pPr>
            <w:r/>
            <w:r>
              <w:rPr>
                <w:rFonts w:ascii="Calibri" w:hAnsi="Calibri"/>
                <w:b w:val="0"/>
                <w:i w:val="0"/>
                <w:color w:val="000000"/>
                <w:sz w:val="11"/>
              </w:rPr>
              <w:t>26.18</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74.35</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2.3810</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17.09</w:t>
            </w:r>
          </w:p>
        </w:tc>
        <w:tc>
          <w:tcPr>
            <w:tcW w:type="dxa" w:w="2656"/>
            <w:vAlign w:val="center"/>
          </w:tcPr>
          <w:p>
            <w:pPr>
              <w:spacing w:after="0" w:line="240" w:lineRule="auto"/>
              <w:jc w:val="center"/>
            </w:pPr>
            <w:r/>
            <w:r>
              <w:rPr>
                <w:rFonts w:ascii="Calibri" w:hAnsi="Calibri"/>
                <w:b w:val="0"/>
                <w:i w:val="0"/>
                <w:color w:val="000000"/>
                <w:sz w:val="11"/>
              </w:rPr>
              <w:t>-15.92</w:t>
            </w:r>
          </w:p>
        </w:tc>
        <w:tc>
          <w:tcPr>
            <w:tcW w:type="dxa" w:w="1593"/>
            <w:vAlign w:val="center"/>
          </w:tcPr>
          <w:p>
            <w:pPr>
              <w:spacing w:after="0" w:line="240" w:lineRule="auto"/>
              <w:jc w:val="center"/>
            </w:pPr>
            <w:r/>
            <w:r>
              <w:rPr>
                <w:rFonts w:ascii="Calibri" w:hAnsi="Calibri"/>
                <w:b w:val="0"/>
                <w:i w:val="0"/>
                <w:color w:val="000000"/>
                <w:sz w:val="11"/>
              </w:rPr>
              <w:t>1.0037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71.78</w:t>
            </w:r>
          </w:p>
        </w:tc>
        <w:tc>
          <w:tcPr>
            <w:tcW w:type="dxa" w:w="2656"/>
            <w:vAlign w:val="center"/>
          </w:tcPr>
          <w:p>
            <w:pPr>
              <w:spacing w:after="0" w:line="240" w:lineRule="auto"/>
              <w:jc w:val="center"/>
            </w:pPr>
            <w:r/>
            <w:r>
              <w:rPr>
                <w:rFonts w:ascii="Calibri" w:hAnsi="Calibri"/>
                <w:b w:val="0"/>
                <w:i w:val="0"/>
                <w:color w:val="000000"/>
                <w:sz w:val="11"/>
              </w:rPr>
              <w:t>-16.93</w:t>
            </w:r>
          </w:p>
        </w:tc>
        <w:tc>
          <w:tcPr>
            <w:tcW w:type="dxa" w:w="1593"/>
            <w:vAlign w:val="center"/>
          </w:tcPr>
          <w:p>
            <w:pPr>
              <w:spacing w:after="0" w:line="240" w:lineRule="auto"/>
              <w:jc w:val="center"/>
            </w:pPr>
            <w:r/>
            <w:r>
              <w:rPr>
                <w:rFonts w:ascii="Calibri" w:hAnsi="Calibri"/>
                <w:b w:val="0"/>
                <w:i w:val="0"/>
                <w:color w:val="000000"/>
                <w:sz w:val="11"/>
              </w:rPr>
              <w:t>2.3151</w:t>
            </w:r>
          </w:p>
        </w:tc>
        <w:tc>
          <w:tcPr>
            <w:tcW w:type="dxa" w:w="2921"/>
            <w:vAlign w:val="center"/>
          </w:tcPr>
          <w:p>
            <w:pPr>
              <w:spacing w:after="0" w:line="240" w:lineRule="auto"/>
              <w:jc w:val="center"/>
            </w:pPr>
            <w:r/>
            <w:r>
              <w:rPr>
                <w:rFonts w:ascii="Calibri" w:hAnsi="Calibri"/>
                <w:b w:val="0"/>
                <w:i w:val="0"/>
                <w:color w:val="000000"/>
                <w:sz w:val="11"/>
              </w:rPr>
              <w:t>8.0000</w:t>
            </w:r>
          </w:p>
        </w:tc>
        <w:tc>
          <w:tcPr>
            <w:tcW w:type="dxa" w:w="1597"/>
            <w:vAlign w:val="center"/>
          </w:tcPr>
          <w:p>
            <w:pPr>
              <w:spacing w:after="0" w:line="240" w:lineRule="auto"/>
              <w:jc w:val="center"/>
            </w:pPr>
            <w:r/>
            <w:r>
              <w:rPr>
                <w:rFonts w:ascii="Calibri" w:hAnsi="Calibri"/>
                <w:b w:val="0"/>
                <w:i w:val="0"/>
                <w:color w:val="000000"/>
                <w:sz w:val="11"/>
              </w:rPr>
              <w:t>46.04</w:t>
            </w:r>
          </w:p>
        </w:tc>
      </w:tr>
      <w:tr>
        <w:tc>
          <w:tcPr>
            <w:tcW w:type="dxa" w:w="929"/>
            <w:vAlign w:val="center"/>
          </w:tcPr>
          <w:p>
            <w:pPr>
              <w:spacing w:after="0" w:line="240" w:lineRule="auto"/>
              <w:jc w:val="left"/>
            </w:pPr>
            <w:r/>
            <w:r>
              <w:rPr>
                <w:rFonts w:ascii="Calibri" w:hAnsi="Calibri"/>
                <w:b w:val="0"/>
                <w:i w:val="0"/>
                <w:color w:val="000000"/>
                <w:sz w:val="11"/>
              </w:rPr>
              <w:t>RF</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15.87</w:t>
            </w:r>
          </w:p>
        </w:tc>
        <w:tc>
          <w:tcPr>
            <w:tcW w:type="dxa" w:w="2656"/>
            <w:vAlign w:val="center"/>
          </w:tcPr>
          <w:p>
            <w:pPr>
              <w:spacing w:after="0" w:line="240" w:lineRule="auto"/>
              <w:jc w:val="center"/>
            </w:pPr>
            <w:r/>
            <w:r>
              <w:rPr>
                <w:rFonts w:ascii="Calibri" w:hAnsi="Calibri"/>
                <w:b w:val="0"/>
                <w:i w:val="0"/>
                <w:color w:val="000000"/>
                <w:sz w:val="11"/>
              </w:rPr>
              <w:t>-16.00</w:t>
            </w:r>
          </w:p>
        </w:tc>
        <w:tc>
          <w:tcPr>
            <w:tcW w:type="dxa" w:w="1593"/>
            <w:vAlign w:val="center"/>
          </w:tcPr>
          <w:p>
            <w:pPr>
              <w:spacing w:after="0" w:line="240" w:lineRule="auto"/>
              <w:jc w:val="center"/>
            </w:pPr>
            <w:r/>
            <w:r>
              <w:rPr>
                <w:rFonts w:ascii="Calibri" w:hAnsi="Calibri"/>
                <w:b w:val="0"/>
                <w:i w:val="0"/>
                <w:color w:val="000000"/>
                <w:sz w:val="11"/>
              </w:rPr>
              <w:t>0.9425</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19.79</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140.37</w:t>
            </w:r>
          </w:p>
        </w:tc>
        <w:tc>
          <w:tcPr>
            <w:tcW w:type="dxa" w:w="2656"/>
            <w:vAlign w:val="center"/>
          </w:tcPr>
          <w:p>
            <w:pPr>
              <w:spacing w:after="0" w:line="240" w:lineRule="auto"/>
              <w:jc w:val="center"/>
            </w:pPr>
            <w:r/>
            <w:r>
              <w:rPr>
                <w:rFonts w:ascii="Calibri" w:hAnsi="Calibri"/>
                <w:b w:val="0"/>
                <w:i w:val="0"/>
                <w:color w:val="000000"/>
                <w:sz w:val="11"/>
              </w:rPr>
              <w:t>-13.62</w:t>
            </w:r>
          </w:p>
        </w:tc>
        <w:tc>
          <w:tcPr>
            <w:tcW w:type="dxa" w:w="1593"/>
            <w:vAlign w:val="center"/>
          </w:tcPr>
          <w:p>
            <w:pPr>
              <w:spacing w:after="0" w:line="240" w:lineRule="auto"/>
              <w:jc w:val="center"/>
            </w:pPr>
            <w:r/>
            <w:r>
              <w:rPr>
                <w:rFonts w:ascii="Calibri" w:hAnsi="Calibri"/>
                <w:b w:val="0"/>
                <w:i w:val="0"/>
                <w:color w:val="000000"/>
                <w:sz w:val="11"/>
              </w:rPr>
              <w:t>4.0987</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1'</w:t>
            </w:r>
          </w:p>
        </w:tc>
        <w:tc>
          <w:tcPr>
            <w:tcW w:type="dxa" w:w="2789"/>
            <w:vAlign w:val="center"/>
          </w:tcPr>
          <w:p>
            <w:pPr>
              <w:spacing w:after="0" w:line="240" w:lineRule="auto"/>
              <w:jc w:val="center"/>
            </w:pPr>
            <w:r/>
            <w:r>
              <w:rPr>
                <w:rFonts w:ascii="Calibri" w:hAnsi="Calibri"/>
                <w:b w:val="0"/>
                <w:i w:val="0"/>
                <w:color w:val="000000"/>
                <w:sz w:val="11"/>
              </w:rPr>
              <w:t>58.89</w:t>
            </w:r>
          </w:p>
        </w:tc>
        <w:tc>
          <w:tcPr>
            <w:tcW w:type="dxa" w:w="2656"/>
            <w:vAlign w:val="center"/>
          </w:tcPr>
          <w:p>
            <w:pPr>
              <w:spacing w:after="0" w:line="240" w:lineRule="auto"/>
              <w:jc w:val="center"/>
            </w:pPr>
            <w:r/>
            <w:r>
              <w:rPr>
                <w:rFonts w:ascii="Calibri" w:hAnsi="Calibri"/>
                <w:b w:val="0"/>
                <w:i w:val="0"/>
                <w:color w:val="000000"/>
                <w:sz w:val="11"/>
              </w:rPr>
              <w:t>-0.46</w:t>
            </w:r>
          </w:p>
        </w:tc>
        <w:tc>
          <w:tcPr>
            <w:tcW w:type="dxa" w:w="1593"/>
            <w:vAlign w:val="center"/>
          </w:tcPr>
          <w:p>
            <w:pPr>
              <w:spacing w:after="0" w:line="240" w:lineRule="auto"/>
              <w:jc w:val="center"/>
            </w:pPr>
            <w:r/>
            <w:r>
              <w:rPr>
                <w:rFonts w:ascii="Calibri" w:hAnsi="Calibri"/>
                <w:b w:val="0"/>
                <w:i w:val="0"/>
                <w:color w:val="000000"/>
                <w:sz w:val="11"/>
              </w:rPr>
              <w:t>4.4424</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135.82</w:t>
            </w:r>
          </w:p>
        </w:tc>
        <w:tc>
          <w:tcPr>
            <w:tcW w:type="dxa" w:w="2656"/>
            <w:vAlign w:val="center"/>
          </w:tcPr>
          <w:p>
            <w:pPr>
              <w:spacing w:after="0" w:line="240" w:lineRule="auto"/>
              <w:jc w:val="center"/>
            </w:pPr>
            <w:r/>
            <w:r>
              <w:rPr>
                <w:rFonts w:ascii="Calibri" w:hAnsi="Calibri"/>
                <w:b w:val="0"/>
                <w:i w:val="0"/>
                <w:color w:val="000000"/>
                <w:sz w:val="11"/>
              </w:rPr>
              <w:t>-13.80</w:t>
            </w:r>
          </w:p>
        </w:tc>
        <w:tc>
          <w:tcPr>
            <w:tcW w:type="dxa" w:w="1593"/>
            <w:vAlign w:val="center"/>
          </w:tcPr>
          <w:p>
            <w:pPr>
              <w:spacing w:after="0" w:line="240" w:lineRule="auto"/>
              <w:jc w:val="center"/>
            </w:pPr>
            <w:r/>
            <w:r>
              <w:rPr>
                <w:rFonts w:ascii="Calibri" w:hAnsi="Calibri"/>
                <w:b w:val="0"/>
                <w:i w:val="0"/>
                <w:color w:val="000000"/>
                <w:sz w:val="11"/>
              </w:rPr>
              <w:t>4.0019</w:t>
            </w:r>
          </w:p>
        </w:tc>
        <w:tc>
          <w:tcPr>
            <w:tcW w:type="dxa" w:w="2921"/>
            <w:vAlign w:val="center"/>
          </w:tcPr>
          <w:p>
            <w:pPr>
              <w:spacing w:after="0" w:line="240" w:lineRule="auto"/>
              <w:jc w:val="center"/>
            </w:pPr>
            <w:r/>
            <w:r>
              <w:rPr>
                <w:rFonts w:ascii="Calibri" w:hAnsi="Calibri"/>
                <w:b w:val="0"/>
                <w:i w:val="0"/>
                <w:color w:val="000000"/>
                <w:sz w:val="11"/>
              </w:rPr>
              <w:t>10.0000</w:t>
            </w:r>
          </w:p>
        </w:tc>
        <w:tc>
          <w:tcPr>
            <w:tcW w:type="dxa" w:w="1597"/>
            <w:vAlign w:val="center"/>
          </w:tcPr>
          <w:p>
            <w:pPr>
              <w:spacing w:after="0" w:line="240" w:lineRule="auto"/>
              <w:jc w:val="center"/>
            </w:pPr>
            <w:r/>
            <w:r>
              <w:rPr>
                <w:rFonts w:ascii="Calibri" w:hAnsi="Calibri"/>
                <w:b w:val="0"/>
                <w:i w:val="0"/>
                <w:color w:val="000000"/>
                <w:sz w:val="11"/>
              </w:rPr>
              <w:t>53.35</w:t>
            </w:r>
          </w:p>
        </w:tc>
      </w:tr>
      <w:tr>
        <w:tc>
          <w:tcPr>
            <w:tcW w:type="dxa" w:w="929"/>
            <w:vAlign w:val="center"/>
          </w:tcPr>
          <w:p>
            <w:pPr>
              <w:spacing w:after="0" w:line="240" w:lineRule="auto"/>
              <w:jc w:val="left"/>
            </w:pPr>
            <w:r/>
            <w:r>
              <w:rPr>
                <w:rFonts w:ascii="Calibri" w:hAnsi="Calibri"/>
                <w:b w:val="0"/>
                <w:i w:val="0"/>
                <w:color w:val="000000"/>
                <w:sz w:val="11"/>
              </w:rPr>
              <w:t>SVR</w:t>
            </w:r>
          </w:p>
        </w:tc>
        <w:tc>
          <w:tcPr>
            <w:tcW w:type="dxa" w:w="1195"/>
            <w:vAlign w:val="center"/>
          </w:tcPr>
          <w:p>
            <w:pPr>
              <w:spacing w:after="0" w:line="240" w:lineRule="auto"/>
              <w:jc w:val="center"/>
            </w:pPr>
            <w:r/>
            <w:r>
              <w:rPr>
                <w:rFonts w:ascii="Calibri" w:hAnsi="Calibri"/>
                <w:b w:val="0"/>
                <w:i w:val="0"/>
                <w:color w:val="000000"/>
                <w:sz w:val="11"/>
              </w:rPr>
              <w:t>Scheme 2'</w:t>
            </w:r>
          </w:p>
        </w:tc>
        <w:tc>
          <w:tcPr>
            <w:tcW w:type="dxa" w:w="2789"/>
            <w:vAlign w:val="center"/>
          </w:tcPr>
          <w:p>
            <w:pPr>
              <w:spacing w:after="0" w:line="240" w:lineRule="auto"/>
              <w:jc w:val="center"/>
            </w:pPr>
            <w:r/>
            <w:r>
              <w:rPr>
                <w:rFonts w:ascii="Calibri" w:hAnsi="Calibri"/>
                <w:b w:val="0"/>
                <w:i w:val="0"/>
                <w:color w:val="000000"/>
                <w:sz w:val="11"/>
              </w:rPr>
              <w:t>57.66</w:t>
            </w:r>
          </w:p>
        </w:tc>
        <w:tc>
          <w:tcPr>
            <w:tcW w:type="dxa" w:w="2656"/>
            <w:vAlign w:val="center"/>
          </w:tcPr>
          <w:p>
            <w:pPr>
              <w:spacing w:after="0" w:line="240" w:lineRule="auto"/>
              <w:jc w:val="center"/>
            </w:pPr>
            <w:r/>
            <w:r>
              <w:rPr>
                <w:rFonts w:ascii="Calibri" w:hAnsi="Calibri"/>
                <w:b w:val="0"/>
                <w:i w:val="0"/>
                <w:color w:val="000000"/>
                <w:sz w:val="11"/>
              </w:rPr>
              <w:t>-0.52</w:t>
            </w:r>
          </w:p>
        </w:tc>
        <w:tc>
          <w:tcPr>
            <w:tcW w:type="dxa" w:w="1593"/>
            <w:vAlign w:val="center"/>
          </w:tcPr>
          <w:p>
            <w:pPr>
              <w:spacing w:after="0" w:line="240" w:lineRule="auto"/>
              <w:jc w:val="center"/>
            </w:pPr>
            <w:r/>
            <w:r>
              <w:rPr>
                <w:rFonts w:ascii="Calibri" w:hAnsi="Calibri"/>
                <w:b w:val="0"/>
                <w:i w:val="0"/>
                <w:color w:val="000000"/>
                <w:sz w:val="11"/>
              </w:rPr>
              <w:t>4.3905</w:t>
            </w:r>
          </w:p>
        </w:tc>
        <w:tc>
          <w:tcPr>
            <w:tcW w:type="dxa" w:w="2921"/>
            <w:vAlign w:val="center"/>
          </w:tcPr>
          <w:p>
            <w:pPr>
              <w:spacing w:after="0" w:line="240" w:lineRule="auto"/>
              <w:jc w:val="center"/>
            </w:pPr>
            <w:r/>
            <w:r>
              <w:rPr>
                <w:rFonts w:ascii="Calibri" w:hAnsi="Calibri"/>
                <w:b w:val="0"/>
                <w:i w:val="0"/>
                <w:color w:val="000000"/>
                <w:sz w:val="11"/>
              </w:rPr>
              <w:t>6.0000</w:t>
            </w:r>
          </w:p>
        </w:tc>
        <w:tc>
          <w:tcPr>
            <w:tcW w:type="dxa" w:w="1597"/>
            <w:vAlign w:val="center"/>
          </w:tcPr>
          <w:p>
            <w:pPr>
              <w:spacing w:after="0" w:line="240" w:lineRule="auto"/>
              <w:jc w:val="center"/>
            </w:pPr>
            <w:r/>
            <w:r>
              <w:rPr>
                <w:rFonts w:ascii="Calibri" w:hAnsi="Calibri"/>
                <w:b w:val="0"/>
                <w:i w:val="0"/>
                <w:color w:val="000000"/>
                <w:sz w:val="11"/>
              </w:rPr>
              <w:t>13.17</w:t>
            </w:r>
          </w:p>
        </w:tc>
      </w:tr>
    </w:tbl>
    <w:p>
      <w:pPr>
        <w:spacing w:after="60"/>
      </w:pPr>
    </w:p>
    <w:p>
      <w:pPr>
        <w:pStyle w:val="Heading3"/>
      </w:pPr>
      <w:r>
        <w:t>Interpretation of Table 12</w:t>
      </w:r>
    </w:p>
    <w:p>
      <w:pPr>
        <w:spacing w:after="160" w:line="320" w:lineRule="auto"/>
        <w:jc w:val="both"/>
      </w:pPr>
      <w:r>
        <w:rPr>
          <w:rFonts w:ascii="Calibri" w:hAnsi="Calibri"/>
          <w:b/>
          <w:i w:val="0"/>
          <w:color w:val="000000"/>
          <w:sz w:val="22"/>
        </w:rPr>
        <w:t>Single-model leader:</w:t>
      </w:r>
      <w:r>
        <w:rPr>
          <w:rFonts w:ascii="Calibri" w:hAnsi="Calibri"/>
          <w:b w:val="0"/>
          <w:i w:val="0"/>
          <w:color w:val="000000"/>
          <w:sz w:val="22"/>
        </w:rPr>
        <w:t xml:space="preserve"> ARIMA produces the highest unfiltered single-model results: Scheme 1 returns 173.96% with Sharpe 5.0752, while cost-adjusted Scheme 2 returns 162.16% with Sharpe 4.8419. This trading ranking is consistent with ARIMA's strong level-error performance in Table 7.</w:t>
      </w:r>
    </w:p>
    <w:p>
      <w:pPr>
        <w:spacing w:after="160" w:line="320" w:lineRule="auto"/>
        <w:jc w:val="both"/>
      </w:pPr>
      <w:r>
        <w:rPr>
          <w:rFonts w:ascii="Calibri" w:hAnsi="Calibri"/>
          <w:b/>
          <w:i w:val="0"/>
          <w:color w:val="000000"/>
          <w:sz w:val="22"/>
        </w:rPr>
        <w:t>Risk-return trade-off:</w:t>
      </w:r>
      <w:r>
        <w:rPr>
          <w:rFonts w:ascii="Calibri" w:hAnsi="Calibri"/>
          <w:b w:val="0"/>
          <w:i w:val="0"/>
          <w:color w:val="000000"/>
          <w:sz w:val="22"/>
        </w:rPr>
        <w:t xml:space="preserve"> SVR's optimized schemes sharply reduce average maximum drawdown—from -13.62% in Scheme 1 to -0.46% in Scheme 1'—and raise Sharpe from 4.0987 to 4.4424, but cumulative return falls from 140.37% to 58.89%. The filter therefore changes the exposure profile rather than providing a free performance improvement.</w:t>
      </w:r>
    </w:p>
    <w:p>
      <w:pPr>
        <w:spacing w:after="160" w:line="320" w:lineRule="auto"/>
        <w:jc w:val="both"/>
      </w:pPr>
      <w:r>
        <w:rPr>
          <w:rFonts w:ascii="Calibri" w:hAnsi="Calibri"/>
          <w:b/>
          <w:i w:val="0"/>
          <w:color w:val="000000"/>
          <w:sz w:val="22"/>
        </w:rPr>
        <w:t>Comparison with Table 11:</w:t>
      </w:r>
      <w:r>
        <w:rPr>
          <w:rFonts w:ascii="Calibri" w:hAnsi="Calibri"/>
          <w:b w:val="0"/>
          <w:i w:val="0"/>
          <w:color w:val="000000"/>
          <w:sz w:val="22"/>
        </w:rPr>
        <w:t xml:space="preserve"> The best decomposition strategies exceed the best single-model strategies on average, but the difference cannot be separated from the noncausal decomposition and filtering choices. Table 12 is a within-protocol benchmark, not evidence that a trader could have earned the reported returns in real time.</w:t>
      </w:r>
    </w:p>
    <w:p>
      <w:pPr>
        <w:sectPr>
          <w:pgSz w:w="15840" w:h="12240" w:orient="landscape"/>
          <w:pgMar w:top="1037" w:right="1037" w:bottom="1037" w:left="1037" w:header="605" w:footer="605" w:gutter="0"/>
          <w:cols w:space="720"/>
          <w:docGrid w:linePitch="360"/>
        </w:sectPr>
      </w:pPr>
    </w:p>
    <w:p>
      <w:pPr>
        <w:spacing w:after="160" w:line="320" w:lineRule="auto"/>
        <w:jc w:val="both"/>
      </w:pPr>
      <w:r>
        <w:rPr>
          <w:rFonts w:ascii="Calibri" w:hAnsi="Calibri"/>
          <w:b w:val="0"/>
          <w:i w:val="0"/>
          <w:color w:val="000000"/>
          <w:sz w:val="22"/>
        </w:rPr>
        <w:t>For the proposed carbonate strategy, adding the gate to cost-adjusted Scheme 2 lowers cumulative return from 336.50% to 224.18% and Sharpe from 10.02 to 8.34, while maximum drawdown improves modestly from -5.22% to -4.63%. For hydroxide, gating lowers return from 223.24% to 164.31% and Sharpe from 4.25 to 3.58, while maximum drawdown worsens from -5.22% to -5.49%. The data therefore reject the broad proposition that interval gating systematically preserves risk-adjusted performance or improves downside protection. Its effect is target-specific: it changes exposure, and improvement in one risk measure can be purchased with deterioration in another.</w:t>
      </w:r>
    </w:p>
    <w:p>
      <w:pPr>
        <w:spacing w:after="160" w:line="320" w:lineRule="auto"/>
        <w:jc w:val="both"/>
      </w:pPr>
      <w:r>
        <w:rPr>
          <w:rFonts w:ascii="Calibri" w:hAnsi="Calibri"/>
          <w:b w:val="0"/>
          <w:i w:val="0"/>
          <w:color w:val="000000"/>
          <w:sz w:val="22"/>
        </w:rPr>
        <w:t>Intervals and trading remain linked in a coherent way, but coherence is not validation. Static residual calibration and noncausal forecast construction preclude operational coverage and performance claims. Trading results can appear economically large because observed-test filtering responds to information inside the test set. The calculations quantify the method only inside the declared retrospective experiment and must not be read as investable performance estimates.</w:t>
      </w:r>
    </w:p>
    <w:p>
      <w:pPr>
        <w:pStyle w:val="Heading2"/>
      </w:pPr>
      <w:r>
        <w:t>7.4 Benchmark-relative and factor-adjusted attribution</w:t>
      </w:r>
    </w:p>
    <w:p>
      <w:pPr>
        <w:spacing w:after="160" w:line="320" w:lineRule="auto"/>
        <w:jc w:val="both"/>
      </w:pPr>
      <w:r>
        <w:rPr>
          <w:rFonts w:ascii="Calibri" w:hAnsi="Calibri"/>
          <w:b w:val="0"/>
          <w:i w:val="0"/>
          <w:color w:val="000000"/>
          <w:sz w:val="22"/>
        </w:rPr>
        <w:t>Appendix Table A1 compares every proposed-model scheme with a passive long position over the same evaluation dates. It also reports a descriptive daily regression of strategy returns on the underlying lithium return, S&amp;P 500 return, MVIS critical-minerals return, US dollar return, and VIX change. Newey-West/HAC standard errors use five lags. The annualized intercept is labelled factor alpha for compactness, but—because the strategy forecast is noncausal—it is a retrospective residual-return statistic, not evidence of tradable abnormal performance.</w:t>
      </w:r>
    </w:p>
    <w:p>
      <w:pPr>
        <w:pStyle w:val="Heading1"/>
      </w:pPr>
      <w:r>
        <w:t>8. Discussion</w:t>
      </w:r>
    </w:p>
    <w:p>
      <w:pPr>
        <w:spacing w:after="160" w:line="320" w:lineRule="auto"/>
        <w:jc w:val="both"/>
      </w:pPr>
      <w:r>
        <w:rPr>
          <w:rFonts w:ascii="Calibri" w:hAnsi="Calibri"/>
          <w:b w:val="0"/>
          <w:i w:val="0"/>
          <w:color w:val="000000"/>
          <w:sz w:val="22"/>
        </w:rPr>
        <w:t>The lithium application supports the central modelling intuition that decomposition can improve difficult price forecasts, but it qualifies the stronger claim that one hybrid is always best. Low-frequency modes are handled effectively by ARIMA in hydroxide, while CEEMDAN-LSTM tracks carbonate well. This heterogeneity suggests that routing and decomposition family should be justified by development-only evidence rather than fixed universally.</w:t>
      </w:r>
    </w:p>
    <w:p>
      <w:pPr>
        <w:spacing w:after="160" w:line="320" w:lineRule="auto"/>
        <w:jc w:val="both"/>
      </w:pPr>
      <w:r>
        <w:rPr>
          <w:rFonts w:ascii="Calibri" w:hAnsi="Calibri"/>
          <w:b w:val="0"/>
          <w:i w:val="0"/>
          <w:color w:val="000000"/>
          <w:sz w:val="22"/>
        </w:rPr>
        <w:t>The multimodal blocks have coherent economic roles. Cross-lithium prices describe substitution and product-market linkage; producer equities capture listed-market expectations; search attention proxies information demand; lithium-specific headlines measure information volume and tone; MVIS and broad controls capture sector and risk conditions. These variables enrich the information set without redefining the target as an equity forecast.</w:t>
      </w:r>
    </w:p>
    <w:p>
      <w:pPr>
        <w:pStyle w:val="Heading2"/>
      </w:pPr>
      <w:r>
        <w:t>8.1 Finance interpretation</w:t>
      </w:r>
    </w:p>
    <w:p>
      <w:pPr>
        <w:spacing w:after="160" w:line="320" w:lineRule="auto"/>
        <w:jc w:val="both"/>
      </w:pPr>
      <w:r>
        <w:rPr>
          <w:rFonts w:ascii="Calibri" w:hAnsi="Calibri"/>
          <w:b w:val="0"/>
          <w:i w:val="0"/>
          <w:color w:val="000000"/>
          <w:sz w:val="22"/>
        </w:rPr>
        <w:t>The finance contribution lies in the joint treatment of physical-price linkage and financial information transmission. The other lithium product captures cross-product price discovery; Albemarle and Ganfeng provide forward-looking producer-equity signals; search and news variables proxy attention and narrative; MVIS and macro controls represent sector and risk conditions. Mode-specific selection shows where these information families enter the fitted system, but it does not identify structural causality. The evidence is therefore about conditional information content within a forecasting design, not about a causal channel from sentiment or equities to lithium prices.</w:t>
      </w:r>
    </w:p>
    <w:p>
      <w:pPr>
        <w:spacing w:after="160" w:line="320" w:lineRule="auto"/>
        <w:jc w:val="both"/>
      </w:pPr>
      <w:r>
        <w:rPr>
          <w:rFonts w:ascii="Calibri" w:hAnsi="Calibri"/>
          <w:b w:val="0"/>
          <w:i w:val="0"/>
          <w:color w:val="000000"/>
          <w:sz w:val="22"/>
        </w:rPr>
        <w:t>A second contribution is model-risk evidence. The empirical winner changes by commodity, metric, and decomposition family; interval calibration fails at central coverage levels; and abstention does not reliably improve drawdown or Sharpe. These findings matter for commodity finance because forecast accuracy, uncertainty quality, and portfolio utility are distinct objects. A model should not be called financially superior because it wins one error column or produces a large simulated cumulative return.</w:t>
      </w:r>
    </w:p>
    <w:p>
      <w:pPr>
        <w:pStyle w:val="Heading2"/>
      </w:pPr>
      <w:r>
        <w:t>8.2 Research-integrity limitation</w:t>
      </w:r>
    </w:p>
    <w:p>
      <w:pPr>
        <w:spacing w:after="160" w:line="320" w:lineRule="auto"/>
        <w:jc w:val="both"/>
      </w:pPr>
      <w:r>
        <w:rPr>
          <w:rFonts w:ascii="Calibri" w:hAnsi="Calibri"/>
          <w:b w:val="0"/>
          <w:i w:val="0"/>
          <w:color w:val="000000"/>
          <w:sz w:val="22"/>
        </w:rPr>
        <w:t>The defining limitation is evaluation timing. Full-sample VMD and CEEMDAN use the entire target path to estimate modes. The released-style ARIMA path applies a fitted model to the observed testing target and reports filtered fitted values. Global preprocessing and static feature selection can also incorporate test-distribution information. Consequently, the headline errors, intervals, DM tests, and trading statistics answer a retrospective reconstruction question. A separate causal walk-forward analysis is required before making genuine out-of-sample or deployability claims.</w:t>
      </w:r>
    </w:p>
    <w:p>
      <w:pPr>
        <w:spacing w:after="160" w:line="320" w:lineRule="auto"/>
        <w:jc w:val="both"/>
      </w:pPr>
      <w:r>
        <w:rPr>
          <w:rFonts w:ascii="Calibri" w:hAnsi="Calibri"/>
          <w:b w:val="0"/>
          <w:i w:val="0"/>
          <w:color w:val="000000"/>
          <w:sz w:val="22"/>
        </w:rPr>
        <w:t>Additional limitations include a short post-2023 common sample, differing price units and market microstructure, potential continuation-series roll effects, daily aggregation of sparse news, Google Trends normalization, and the absence of inventories, physical premia, freight, conversion margins, contract-level liquidity, financing, and implementable shorting assumptions. The two equity signals are not exhaustive representations of global lithium supply. Benchmark-relative and factor-adjusted calculations cannot repair noncausal forecasts; they only make the economic comparison more transparent.</w:t>
      </w:r>
    </w:p>
    <w:p>
      <w:pPr>
        <w:pStyle w:val="Heading1"/>
      </w:pPr>
      <w:r>
        <w:t>9. Conclusion</w:t>
      </w:r>
    </w:p>
    <w:p>
      <w:pPr>
        <w:spacing w:after="160" w:line="320" w:lineRule="auto"/>
        <w:jc w:val="both"/>
      </w:pPr>
      <w:r>
        <w:rPr>
          <w:rFonts w:ascii="Calibri" w:hAnsi="Calibri"/>
          <w:b w:val="0"/>
          <w:i w:val="0"/>
          <w:color w:val="000000"/>
          <w:sz w:val="22"/>
        </w:rPr>
        <w:t>This study develops an end-to-end multimodal lithium-price forecasting method and evaluates it through twelve main tables, thirteen figures, and a benchmark-relative economic appendix. It constructs a lithium-specific database, evaluates two directly quoted prices, compares single and decomposition models, tests predictive-loss differences, reports interval calibration, defines a reproducible uncertainty gate, and translates forecasts into cost-adjusted trading schemes. The proposed hybrid improves on the best single model for hydroxide but does not dominate CEEMDAN alternatives. The interval gate is logically coherent, yet it does not systematically improve Sharpe or drawdown. Large simulated returns remain retrospective and noncausal even after factor adjustment. The paper's defensible finance contribution is therefore a transparent account of multimodal information, decomposition heterogeneity, and model risk in lithium-price forecasting—not a claim of universal forecasting or trading superiority.</w:t>
      </w:r>
    </w:p>
    <w:p>
      <w:pPr>
        <w:pStyle w:val="Heading1"/>
      </w:pPr>
      <w:r>
        <w:t>References</w:t>
      </w:r>
    </w:p>
    <w:p>
      <w:pPr>
        <w:spacing w:after="80"/>
        <w:ind w:left="360" w:hanging="360"/>
      </w:pPr>
      <w:r>
        <w:rPr>
          <w:rFonts w:ascii="Calibri" w:hAnsi="Calibri"/>
          <w:b w:val="0"/>
          <w:i w:val="0"/>
          <w:color w:val="000000"/>
          <w:sz w:val="19"/>
        </w:rPr>
        <w:t>Diebold, F. X., &amp; Mariano, R. S. (1995). Comparing predictive accuracy. Journal of Business &amp; Economic Statistics, 13(3), 253–263.</w:t>
      </w:r>
    </w:p>
    <w:p>
      <w:pPr>
        <w:spacing w:after="80"/>
        <w:ind w:left="360" w:hanging="360"/>
      </w:pPr>
      <w:r>
        <w:rPr>
          <w:rFonts w:ascii="Calibri" w:hAnsi="Calibri"/>
          <w:b w:val="0"/>
          <w:i w:val="0"/>
          <w:color w:val="000000"/>
          <w:sz w:val="19"/>
        </w:rPr>
        <w:t>Dragomiretskiy, K., &amp; Zosso, D. (2014). Variational mode decomposition. IEEE Transactions on Signal Processing, 62(3), 531–544.</w:t>
      </w:r>
    </w:p>
    <w:p>
      <w:pPr>
        <w:spacing w:after="80"/>
        <w:ind w:left="360" w:hanging="360"/>
      </w:pPr>
      <w:r>
        <w:rPr>
          <w:rFonts w:ascii="Calibri" w:hAnsi="Calibri"/>
          <w:b w:val="0"/>
          <w:i w:val="0"/>
          <w:color w:val="000000"/>
          <w:sz w:val="19"/>
        </w:rPr>
        <w:t>Hochreiter, S., &amp; Schmidhuber, J. (1997). Long short-term memory. Neural Computation, 9(8), 1735–1780.</w:t>
      </w:r>
    </w:p>
    <w:p>
      <w:pPr>
        <w:spacing w:after="80"/>
        <w:ind w:left="360" w:hanging="360"/>
      </w:pPr>
      <w:r>
        <w:rPr>
          <w:rFonts w:ascii="Calibri" w:hAnsi="Calibri"/>
          <w:b w:val="0"/>
          <w:i w:val="0"/>
          <w:color w:val="000000"/>
          <w:sz w:val="19"/>
        </w:rPr>
        <w:t>Box, G. E. P., Jenkins, G. M., Reinsel, G. C., &amp; Ljung, G. M. (2015). Time Series Analysis: Forecasting and Control (5th ed.). Wiley.</w:t>
      </w:r>
    </w:p>
    <w:p>
      <w:pPr>
        <w:spacing w:after="80"/>
        <w:ind w:left="360" w:hanging="360"/>
      </w:pPr>
      <w:r>
        <w:rPr>
          <w:rFonts w:ascii="Calibri" w:hAnsi="Calibri"/>
          <w:b w:val="0"/>
          <w:i w:val="0"/>
          <w:color w:val="000000"/>
          <w:sz w:val="19"/>
        </w:rPr>
        <w:t>Tibshirani, R. (1996). Regression shrinkage and selection via the lasso. Journal of the Royal Statistical Society: Series B, 58(1), 267–288.</w:t>
      </w:r>
    </w:p>
    <w:p>
      <w:pPr>
        <w:spacing w:after="80"/>
        <w:ind w:left="360" w:hanging="360"/>
      </w:pPr>
      <w:r>
        <w:rPr>
          <w:rFonts w:ascii="Calibri" w:hAnsi="Calibri"/>
          <w:b w:val="0"/>
          <w:i w:val="0"/>
          <w:color w:val="000000"/>
          <w:sz w:val="19"/>
        </w:rPr>
        <w:t>Torres, M. E., Colominas, M. A., Schlotthauer, G., &amp; Flandrin, P. (2011). A complete ensemble empirical mode decomposition with adaptive noise. Proceedings of ICASSP, 4144–4147.</w:t>
      </w:r>
    </w:p>
    <w:p>
      <w:pPr>
        <w:spacing w:after="80"/>
        <w:ind w:left="360" w:hanging="360"/>
      </w:pPr>
      <w:r>
        <w:rPr>
          <w:rFonts w:ascii="Calibri" w:hAnsi="Calibri"/>
          <w:b w:val="0"/>
          <w:i w:val="0"/>
          <w:color w:val="000000"/>
          <w:sz w:val="19"/>
        </w:rPr>
        <w:t>Data sources: project-supplied COMEX and SMM workbooks; Yahoo Finance market and equity histories; Google Trends; MediaCloud; and MVIS. Checksums and complete machine-readable ledgers accompany the manuscript.</w:t>
      </w:r>
    </w:p>
    <w:p>
      <w:pPr>
        <w:pStyle w:val="Heading1"/>
      </w:pPr>
      <w:r>
        <w:t>Appendix: reproducibility and robustness</w:t>
      </w:r>
    </w:p>
    <w:p>
      <w:pPr>
        <w:spacing w:after="160" w:line="320" w:lineRule="auto"/>
        <w:jc w:val="both"/>
      </w:pPr>
      <w:r>
        <w:rPr>
          <w:rFonts w:ascii="Calibri" w:hAnsi="Calibri"/>
          <w:b w:val="0"/>
          <w:i w:val="0"/>
          <w:color w:val="000000"/>
          <w:sz w:val="22"/>
        </w:rPr>
        <w:t>The companion appendix_ledgers directory contains every publication-facing forecast, metric, DM comparison, interval observation, interval metric, trading result, mode-level selection, and component summary. The asset manifest records the empirical run identifier, protocol classification, captions, and SHA-256 checksums. The exported ledgers use the same seven single-model and five decomposition-model comparison set reported in the manuscript.</w:t>
      </w:r>
    </w:p>
    <w:p>
      <w:pPr>
        <w:sectPr>
          <w:pgSz w:w="12240" w:h="15840"/>
          <w:pgMar w:top="1224" w:right="1224" w:bottom="1224" w:left="1224" w:header="605" w:footer="605" w:gutter="0"/>
          <w:cols w:space="720"/>
          <w:docGrid w:linePitch="360"/>
        </w:sectPr>
      </w:pPr>
    </w:p>
    <w:p>
      <w:pPr>
        <w:keepNext/>
        <w:spacing w:before="100" w:after="80"/>
      </w:pPr>
      <w:r>
        <w:rPr>
          <w:rFonts w:ascii="Calibri" w:hAnsi="Calibri"/>
          <w:b/>
          <w:i w:val="0"/>
          <w:color w:val="1F4D78"/>
          <w:sz w:val="18"/>
        </w:rPr>
        <w:t xml:space="preserve">Appendix Table A1. </w:t>
      </w:r>
      <w:r>
        <w:rPr>
          <w:rFonts w:ascii="Calibri" w:hAnsi="Calibri"/>
          <w:b w:val="0"/>
          <w:i/>
          <w:color w:val="000000"/>
          <w:sz w:val="18"/>
        </w:rPr>
        <w:t>Benchmark-relative and descriptive factor-adjusted performance of the proposed trading schemes.</w:t>
      </w:r>
    </w:p>
    <w:tbl>
      <w:tblPr>
        <w:tblStyle w:val="TableGrid"/>
        <w:tblW w:type="dxa" w:w="13680"/>
        <w:jc w:val="left"/>
        <w:tblLayout w:type="fixed"/>
        <w:tblLook w:firstColumn="1" w:firstRow="1" w:lastColumn="0" w:lastRow="0" w:noHBand="0" w:noVBand="1" w:val="04A0"/>
      </w:tblPr>
      <w:tblGrid>
        <w:gridCol w:w="1150"/>
        <w:gridCol w:w="1150"/>
        <w:gridCol w:w="1278"/>
        <w:gridCol w:w="1278"/>
        <w:gridCol w:w="1150"/>
        <w:gridCol w:w="1534"/>
        <w:gridCol w:w="1662"/>
        <w:gridCol w:w="1534"/>
        <w:gridCol w:w="1150"/>
        <w:gridCol w:w="894"/>
        <w:gridCol w:w="900"/>
      </w:tblGrid>
      <w:tr>
        <w:trPr>
          <w:tblHeader w:val="true"/>
        </w:trPr>
        <w:tc>
          <w:tcPr>
            <w:tcW w:type="dxa" w:w="1150"/>
            <w:shd w:fill="F4F6F9"/>
            <w:vAlign w:val="center"/>
          </w:tcPr>
          <w:p>
            <w:pPr>
              <w:jc w:val="center"/>
            </w:pPr>
            <w:r/>
            <w:r>
              <w:rPr>
                <w:rFonts w:ascii="Calibri" w:hAnsi="Calibri"/>
                <w:b/>
                <w:i w:val="0"/>
                <w:color w:val="0B2545"/>
                <w:sz w:val="12"/>
              </w:rPr>
              <w:t>Target</w:t>
            </w:r>
          </w:p>
        </w:tc>
        <w:tc>
          <w:tcPr>
            <w:tcW w:type="dxa" w:w="1150"/>
            <w:shd w:fill="F4F6F9"/>
            <w:vAlign w:val="center"/>
          </w:tcPr>
          <w:p>
            <w:pPr>
              <w:jc w:val="center"/>
            </w:pPr>
            <w:r/>
            <w:r>
              <w:rPr>
                <w:rFonts w:ascii="Calibri" w:hAnsi="Calibri"/>
                <w:b/>
                <w:i w:val="0"/>
                <w:color w:val="0B2545"/>
                <w:sz w:val="12"/>
              </w:rPr>
              <w:t>Scheme</w:t>
            </w:r>
          </w:p>
        </w:tc>
        <w:tc>
          <w:tcPr>
            <w:tcW w:type="dxa" w:w="1278"/>
            <w:shd w:fill="F4F6F9"/>
            <w:vAlign w:val="center"/>
          </w:tcPr>
          <w:p>
            <w:pPr>
              <w:jc w:val="center"/>
            </w:pPr>
            <w:r/>
            <w:r>
              <w:rPr>
                <w:rFonts w:ascii="Calibri" w:hAnsi="Calibri"/>
                <w:b/>
                <w:i w:val="0"/>
                <w:color w:val="0B2545"/>
                <w:sz w:val="12"/>
              </w:rPr>
              <w:t>Strategy %</w:t>
            </w:r>
          </w:p>
        </w:tc>
        <w:tc>
          <w:tcPr>
            <w:tcW w:type="dxa" w:w="1278"/>
            <w:shd w:fill="F4F6F9"/>
            <w:vAlign w:val="center"/>
          </w:tcPr>
          <w:p>
            <w:pPr>
              <w:jc w:val="center"/>
            </w:pPr>
            <w:r/>
            <w:r>
              <w:rPr>
                <w:rFonts w:ascii="Calibri" w:hAnsi="Calibri"/>
                <w:b/>
                <w:i w:val="0"/>
                <w:color w:val="0B2545"/>
                <w:sz w:val="12"/>
              </w:rPr>
              <w:t>Buy/hold %</w:t>
            </w:r>
          </w:p>
        </w:tc>
        <w:tc>
          <w:tcPr>
            <w:tcW w:type="dxa" w:w="1150"/>
            <w:shd w:fill="F4F6F9"/>
            <w:vAlign w:val="center"/>
          </w:tcPr>
          <w:p>
            <w:pPr>
              <w:jc w:val="center"/>
            </w:pPr>
            <w:r/>
            <w:r>
              <w:rPr>
                <w:rFonts w:ascii="Calibri" w:hAnsi="Calibri"/>
                <w:b/>
                <w:i w:val="0"/>
                <w:color w:val="0B2545"/>
                <w:sz w:val="12"/>
              </w:rPr>
              <w:t>Excess pp</w:t>
            </w:r>
          </w:p>
        </w:tc>
        <w:tc>
          <w:tcPr>
            <w:tcW w:type="dxa" w:w="1534"/>
            <w:shd w:fill="F4F6F9"/>
            <w:vAlign w:val="center"/>
          </w:tcPr>
          <w:p>
            <w:pPr>
              <w:jc w:val="center"/>
            </w:pPr>
            <w:r/>
            <w:r>
              <w:rPr>
                <w:rFonts w:ascii="Calibri" w:hAnsi="Calibri"/>
                <w:b/>
                <w:i w:val="0"/>
                <w:color w:val="0B2545"/>
                <w:sz w:val="12"/>
              </w:rPr>
              <w:t>Alpha % ann.</w:t>
            </w:r>
          </w:p>
        </w:tc>
        <w:tc>
          <w:tcPr>
            <w:tcW w:type="dxa" w:w="1662"/>
            <w:shd w:fill="F4F6F9"/>
            <w:vAlign w:val="center"/>
          </w:tcPr>
          <w:p>
            <w:pPr>
              <w:jc w:val="center"/>
            </w:pPr>
            <w:r/>
            <w:r>
              <w:rPr>
                <w:rFonts w:ascii="Calibri" w:hAnsi="Calibri"/>
                <w:b/>
                <w:i w:val="0"/>
                <w:color w:val="0B2545"/>
                <w:sz w:val="12"/>
              </w:rPr>
              <w:t>Alpha t (HAC)</w:t>
            </w:r>
          </w:p>
        </w:tc>
        <w:tc>
          <w:tcPr>
            <w:tcW w:type="dxa" w:w="1534"/>
            <w:shd w:fill="F4F6F9"/>
            <w:vAlign w:val="center"/>
          </w:tcPr>
          <w:p>
            <w:pPr>
              <w:jc w:val="center"/>
            </w:pPr>
            <w:r/>
            <w:r>
              <w:rPr>
                <w:rFonts w:ascii="Calibri" w:hAnsi="Calibri"/>
                <w:b/>
                <w:i w:val="0"/>
                <w:color w:val="0B2545"/>
                <w:sz w:val="12"/>
              </w:rPr>
              <w:t>Lithium beta</w:t>
            </w:r>
          </w:p>
        </w:tc>
        <w:tc>
          <w:tcPr>
            <w:tcW w:type="dxa" w:w="1150"/>
            <w:shd w:fill="F4F6F9"/>
            <w:vAlign w:val="center"/>
          </w:tcPr>
          <w:p>
            <w:pPr>
              <w:jc w:val="center"/>
            </w:pPr>
            <w:r/>
            <w:r>
              <w:rPr>
                <w:rFonts w:ascii="Calibri" w:hAnsi="Calibri"/>
                <w:b/>
                <w:i w:val="0"/>
                <w:color w:val="0B2545"/>
                <w:sz w:val="12"/>
              </w:rPr>
              <w:t>MVIS beta</w:t>
            </w:r>
          </w:p>
        </w:tc>
        <w:tc>
          <w:tcPr>
            <w:tcW w:type="dxa" w:w="894"/>
            <w:shd w:fill="F4F6F9"/>
            <w:vAlign w:val="center"/>
          </w:tcPr>
          <w:p>
            <w:pPr>
              <w:jc w:val="center"/>
            </w:pPr>
            <w:r/>
            <w:r>
              <w:rPr>
                <w:rFonts w:ascii="Calibri" w:hAnsi="Calibri"/>
                <w:b/>
                <w:i w:val="0"/>
                <w:color w:val="0B2545"/>
                <w:sz w:val="12"/>
              </w:rPr>
              <w:t>R2</w:t>
            </w:r>
          </w:p>
        </w:tc>
        <w:tc>
          <w:tcPr>
            <w:tcW w:type="dxa" w:w="900"/>
            <w:shd w:fill="F4F6F9"/>
            <w:vAlign w:val="center"/>
          </w:tcPr>
          <w:p>
            <w:pPr>
              <w:jc w:val="center"/>
            </w:pPr>
            <w:r/>
            <w:r>
              <w:rPr>
                <w:rFonts w:ascii="Calibri" w:hAnsi="Calibri"/>
                <w:b/>
                <w:i w:val="0"/>
                <w:color w:val="0B2545"/>
                <w:sz w:val="12"/>
              </w:rPr>
              <w:t>N</w:t>
            </w:r>
          </w:p>
        </w:tc>
      </w:tr>
      <w:tr>
        <w:tc>
          <w:tcPr>
            <w:tcW w:type="dxa" w:w="1150"/>
            <w:vAlign w:val="center"/>
          </w:tcPr>
          <w:p>
            <w:pPr>
              <w:spacing w:after="0" w:line="240" w:lineRule="auto"/>
              <w:jc w:val="left"/>
            </w:pPr>
            <w:r/>
            <w:r>
              <w:rPr>
                <w:rFonts w:ascii="Calibri" w:hAnsi="Calibri"/>
                <w:b w:val="0"/>
                <w:i w:val="0"/>
                <w:color w:val="000000"/>
                <w:sz w:val="12"/>
              </w:rPr>
              <w:t>Carbonate</w:t>
            </w:r>
          </w:p>
        </w:tc>
        <w:tc>
          <w:tcPr>
            <w:tcW w:type="dxa" w:w="1150"/>
            <w:vAlign w:val="center"/>
          </w:tcPr>
          <w:p>
            <w:pPr>
              <w:spacing w:after="0" w:line="240" w:lineRule="auto"/>
              <w:jc w:val="center"/>
            </w:pPr>
            <w:r/>
            <w:r>
              <w:rPr>
                <w:rFonts w:ascii="Calibri" w:hAnsi="Calibri"/>
                <w:b w:val="0"/>
                <w:i w:val="0"/>
                <w:color w:val="000000"/>
                <w:sz w:val="12"/>
              </w:rPr>
              <w:t>Scheme 1</w:t>
            </w:r>
          </w:p>
        </w:tc>
        <w:tc>
          <w:tcPr>
            <w:tcW w:type="dxa" w:w="1278"/>
            <w:vAlign w:val="center"/>
          </w:tcPr>
          <w:p>
            <w:pPr>
              <w:spacing w:after="0" w:line="240" w:lineRule="auto"/>
              <w:jc w:val="center"/>
            </w:pPr>
            <w:r/>
            <w:r>
              <w:rPr>
                <w:rFonts w:ascii="Calibri" w:hAnsi="Calibri"/>
                <w:b w:val="0"/>
                <w:i w:val="0"/>
                <w:color w:val="000000"/>
                <w:sz w:val="12"/>
              </w:rPr>
              <w:t>345.77</w:t>
            </w:r>
          </w:p>
        </w:tc>
        <w:tc>
          <w:tcPr>
            <w:tcW w:type="dxa" w:w="1278"/>
            <w:vAlign w:val="center"/>
          </w:tcPr>
          <w:p>
            <w:pPr>
              <w:spacing w:after="0" w:line="240" w:lineRule="auto"/>
              <w:jc w:val="center"/>
            </w:pPr>
            <w:r/>
            <w:r>
              <w:rPr>
                <w:rFonts w:ascii="Calibri" w:hAnsi="Calibri"/>
                <w:b w:val="0"/>
                <w:i w:val="0"/>
                <w:color w:val="000000"/>
                <w:sz w:val="12"/>
              </w:rPr>
              <w:t>114.82</w:t>
            </w:r>
          </w:p>
        </w:tc>
        <w:tc>
          <w:tcPr>
            <w:tcW w:type="dxa" w:w="1150"/>
            <w:vAlign w:val="center"/>
          </w:tcPr>
          <w:p>
            <w:pPr>
              <w:spacing w:after="0" w:line="240" w:lineRule="auto"/>
              <w:jc w:val="center"/>
            </w:pPr>
            <w:r/>
            <w:r>
              <w:rPr>
                <w:rFonts w:ascii="Calibri" w:hAnsi="Calibri"/>
                <w:b w:val="0"/>
                <w:i w:val="0"/>
                <w:color w:val="000000"/>
                <w:sz w:val="12"/>
              </w:rPr>
              <w:t>230.95</w:t>
            </w:r>
          </w:p>
        </w:tc>
        <w:tc>
          <w:tcPr>
            <w:tcW w:type="dxa" w:w="1534"/>
            <w:vAlign w:val="center"/>
          </w:tcPr>
          <w:p>
            <w:pPr>
              <w:spacing w:after="0" w:line="240" w:lineRule="auto"/>
              <w:jc w:val="center"/>
            </w:pPr>
            <w:r/>
            <w:r>
              <w:rPr>
                <w:rFonts w:ascii="Calibri" w:hAnsi="Calibri"/>
                <w:b w:val="0"/>
                <w:i w:val="0"/>
                <w:color w:val="000000"/>
                <w:sz w:val="12"/>
              </w:rPr>
              <w:t>281.02</w:t>
            </w:r>
          </w:p>
        </w:tc>
        <w:tc>
          <w:tcPr>
            <w:tcW w:type="dxa" w:w="1662"/>
            <w:vAlign w:val="center"/>
          </w:tcPr>
          <w:p>
            <w:pPr>
              <w:spacing w:after="0" w:line="240" w:lineRule="auto"/>
              <w:jc w:val="center"/>
            </w:pPr>
            <w:r/>
            <w:r>
              <w:rPr>
                <w:rFonts w:ascii="Calibri" w:hAnsi="Calibri"/>
                <w:b w:val="0"/>
                <w:i w:val="0"/>
                <w:color w:val="000000"/>
                <w:sz w:val="12"/>
              </w:rPr>
              <w:t>3.20</w:t>
            </w:r>
          </w:p>
        </w:tc>
        <w:tc>
          <w:tcPr>
            <w:tcW w:type="dxa" w:w="1534"/>
            <w:vAlign w:val="center"/>
          </w:tcPr>
          <w:p>
            <w:pPr>
              <w:spacing w:after="0" w:line="240" w:lineRule="auto"/>
              <w:jc w:val="center"/>
            </w:pPr>
            <w:r/>
            <w:r>
              <w:rPr>
                <w:rFonts w:ascii="Calibri" w:hAnsi="Calibri"/>
                <w:b w:val="0"/>
                <w:i w:val="0"/>
                <w:color w:val="000000"/>
                <w:sz w:val="12"/>
              </w:rPr>
              <w:t>0.43</w:t>
            </w:r>
          </w:p>
        </w:tc>
        <w:tc>
          <w:tcPr>
            <w:tcW w:type="dxa" w:w="1150"/>
            <w:vAlign w:val="center"/>
          </w:tcPr>
          <w:p>
            <w:pPr>
              <w:spacing w:after="0" w:line="240" w:lineRule="auto"/>
              <w:jc w:val="center"/>
            </w:pPr>
            <w:r/>
            <w:r>
              <w:rPr>
                <w:rFonts w:ascii="Calibri" w:hAnsi="Calibri"/>
                <w:b w:val="0"/>
                <w:i w:val="0"/>
                <w:color w:val="000000"/>
                <w:sz w:val="12"/>
              </w:rPr>
              <w:t>-0.12</w:t>
            </w:r>
          </w:p>
        </w:tc>
        <w:tc>
          <w:tcPr>
            <w:tcW w:type="dxa" w:w="894"/>
            <w:vAlign w:val="center"/>
          </w:tcPr>
          <w:p>
            <w:pPr>
              <w:spacing w:after="0" w:line="240" w:lineRule="auto"/>
              <w:jc w:val="center"/>
            </w:pPr>
            <w:r/>
            <w:r>
              <w:rPr>
                <w:rFonts w:ascii="Calibri" w:hAnsi="Calibri"/>
                <w:b w:val="0"/>
                <w:i w:val="0"/>
                <w:color w:val="000000"/>
                <w:sz w:val="12"/>
              </w:rPr>
              <w:t>0.24</w:t>
            </w:r>
          </w:p>
        </w:tc>
        <w:tc>
          <w:tcPr>
            <w:tcW w:type="dxa" w:w="900"/>
            <w:vAlign w:val="center"/>
          </w:tcPr>
          <w:p>
            <w:pPr>
              <w:spacing w:after="0" w:line="240" w:lineRule="auto"/>
              <w:jc w:val="center"/>
            </w:pPr>
            <w:r/>
            <w:r>
              <w:rPr>
                <w:rFonts w:ascii="Calibri" w:hAnsi="Calibri"/>
                <w:b w:val="0"/>
                <w:i w:val="0"/>
                <w:color w:val="000000"/>
                <w:sz w:val="12"/>
              </w:rPr>
              <w:t>102</w:t>
            </w:r>
          </w:p>
        </w:tc>
      </w:tr>
      <w:tr>
        <w:tc>
          <w:tcPr>
            <w:tcW w:type="dxa" w:w="1150"/>
            <w:vAlign w:val="center"/>
          </w:tcPr>
          <w:p>
            <w:pPr>
              <w:spacing w:after="0" w:line="240" w:lineRule="auto"/>
              <w:jc w:val="left"/>
            </w:pPr>
            <w:r/>
            <w:r>
              <w:rPr>
                <w:rFonts w:ascii="Calibri" w:hAnsi="Calibri"/>
                <w:b w:val="0"/>
                <w:i w:val="0"/>
                <w:color w:val="000000"/>
                <w:sz w:val="12"/>
              </w:rPr>
              <w:t>Carbonate</w:t>
            </w:r>
          </w:p>
        </w:tc>
        <w:tc>
          <w:tcPr>
            <w:tcW w:type="dxa" w:w="1150"/>
            <w:vAlign w:val="center"/>
          </w:tcPr>
          <w:p>
            <w:pPr>
              <w:spacing w:after="0" w:line="240" w:lineRule="auto"/>
              <w:jc w:val="center"/>
            </w:pPr>
            <w:r/>
            <w:r>
              <w:rPr>
                <w:rFonts w:ascii="Calibri" w:hAnsi="Calibri"/>
                <w:b w:val="0"/>
                <w:i w:val="0"/>
                <w:color w:val="000000"/>
                <w:sz w:val="12"/>
              </w:rPr>
              <w:t>Scheme 1'</w:t>
            </w:r>
          </w:p>
        </w:tc>
        <w:tc>
          <w:tcPr>
            <w:tcW w:type="dxa" w:w="1278"/>
            <w:vAlign w:val="center"/>
          </w:tcPr>
          <w:p>
            <w:pPr>
              <w:spacing w:after="0" w:line="240" w:lineRule="auto"/>
              <w:jc w:val="center"/>
            </w:pPr>
            <w:r/>
            <w:r>
              <w:rPr>
                <w:rFonts w:ascii="Calibri" w:hAnsi="Calibri"/>
                <w:b w:val="0"/>
                <w:i w:val="0"/>
                <w:color w:val="000000"/>
                <w:sz w:val="12"/>
              </w:rPr>
              <w:t>232.72</w:t>
            </w:r>
          </w:p>
        </w:tc>
        <w:tc>
          <w:tcPr>
            <w:tcW w:type="dxa" w:w="1278"/>
            <w:vAlign w:val="center"/>
          </w:tcPr>
          <w:p>
            <w:pPr>
              <w:spacing w:after="0" w:line="240" w:lineRule="auto"/>
              <w:jc w:val="center"/>
            </w:pPr>
            <w:r/>
            <w:r>
              <w:rPr>
                <w:rFonts w:ascii="Calibri" w:hAnsi="Calibri"/>
                <w:b w:val="0"/>
                <w:i w:val="0"/>
                <w:color w:val="000000"/>
                <w:sz w:val="12"/>
              </w:rPr>
              <w:t>114.82</w:t>
            </w:r>
          </w:p>
        </w:tc>
        <w:tc>
          <w:tcPr>
            <w:tcW w:type="dxa" w:w="1150"/>
            <w:vAlign w:val="center"/>
          </w:tcPr>
          <w:p>
            <w:pPr>
              <w:spacing w:after="0" w:line="240" w:lineRule="auto"/>
              <w:jc w:val="center"/>
            </w:pPr>
            <w:r/>
            <w:r>
              <w:rPr>
                <w:rFonts w:ascii="Calibri" w:hAnsi="Calibri"/>
                <w:b w:val="0"/>
                <w:i w:val="0"/>
                <w:color w:val="000000"/>
                <w:sz w:val="12"/>
              </w:rPr>
              <w:t>117.90</w:t>
            </w:r>
          </w:p>
        </w:tc>
        <w:tc>
          <w:tcPr>
            <w:tcW w:type="dxa" w:w="1534"/>
            <w:vAlign w:val="center"/>
          </w:tcPr>
          <w:p>
            <w:pPr>
              <w:spacing w:after="0" w:line="240" w:lineRule="auto"/>
              <w:jc w:val="center"/>
            </w:pPr>
            <w:r/>
            <w:r>
              <w:rPr>
                <w:rFonts w:ascii="Calibri" w:hAnsi="Calibri"/>
                <w:b w:val="0"/>
                <w:i w:val="0"/>
                <w:color w:val="000000"/>
                <w:sz w:val="12"/>
              </w:rPr>
              <w:t>212.01</w:t>
            </w:r>
          </w:p>
        </w:tc>
        <w:tc>
          <w:tcPr>
            <w:tcW w:type="dxa" w:w="1662"/>
            <w:vAlign w:val="center"/>
          </w:tcPr>
          <w:p>
            <w:pPr>
              <w:spacing w:after="0" w:line="240" w:lineRule="auto"/>
              <w:jc w:val="center"/>
            </w:pPr>
            <w:r/>
            <w:r>
              <w:rPr>
                <w:rFonts w:ascii="Calibri" w:hAnsi="Calibri"/>
                <w:b w:val="0"/>
                <w:i w:val="0"/>
                <w:color w:val="000000"/>
                <w:sz w:val="12"/>
              </w:rPr>
              <w:t>3.05</w:t>
            </w:r>
          </w:p>
        </w:tc>
        <w:tc>
          <w:tcPr>
            <w:tcW w:type="dxa" w:w="1534"/>
            <w:vAlign w:val="center"/>
          </w:tcPr>
          <w:p>
            <w:pPr>
              <w:spacing w:after="0" w:line="240" w:lineRule="auto"/>
              <w:jc w:val="center"/>
            </w:pPr>
            <w:r/>
            <w:r>
              <w:rPr>
                <w:rFonts w:ascii="Calibri" w:hAnsi="Calibri"/>
                <w:b w:val="0"/>
                <w:i w:val="0"/>
                <w:color w:val="000000"/>
                <w:sz w:val="12"/>
              </w:rPr>
              <w:t>0.44</w:t>
            </w:r>
          </w:p>
        </w:tc>
        <w:tc>
          <w:tcPr>
            <w:tcW w:type="dxa" w:w="1150"/>
            <w:vAlign w:val="center"/>
          </w:tcPr>
          <w:p>
            <w:pPr>
              <w:spacing w:after="0" w:line="240" w:lineRule="auto"/>
              <w:jc w:val="center"/>
            </w:pPr>
            <w:r/>
            <w:r>
              <w:rPr>
                <w:rFonts w:ascii="Calibri" w:hAnsi="Calibri"/>
                <w:b w:val="0"/>
                <w:i w:val="0"/>
                <w:color w:val="000000"/>
                <w:sz w:val="12"/>
              </w:rPr>
              <w:t>-0.10</w:t>
            </w:r>
          </w:p>
        </w:tc>
        <w:tc>
          <w:tcPr>
            <w:tcW w:type="dxa" w:w="894"/>
            <w:vAlign w:val="center"/>
          </w:tcPr>
          <w:p>
            <w:pPr>
              <w:spacing w:after="0" w:line="240" w:lineRule="auto"/>
              <w:jc w:val="center"/>
            </w:pPr>
            <w:r/>
            <w:r>
              <w:rPr>
                <w:rFonts w:ascii="Calibri" w:hAnsi="Calibri"/>
                <w:b w:val="0"/>
                <w:i w:val="0"/>
                <w:color w:val="000000"/>
                <w:sz w:val="12"/>
              </w:rPr>
              <w:t>0.28</w:t>
            </w:r>
          </w:p>
        </w:tc>
        <w:tc>
          <w:tcPr>
            <w:tcW w:type="dxa" w:w="900"/>
            <w:vAlign w:val="center"/>
          </w:tcPr>
          <w:p>
            <w:pPr>
              <w:spacing w:after="0" w:line="240" w:lineRule="auto"/>
              <w:jc w:val="center"/>
            </w:pPr>
            <w:r/>
            <w:r>
              <w:rPr>
                <w:rFonts w:ascii="Calibri" w:hAnsi="Calibri"/>
                <w:b w:val="0"/>
                <w:i w:val="0"/>
                <w:color w:val="000000"/>
                <w:sz w:val="12"/>
              </w:rPr>
              <w:t>102</w:t>
            </w:r>
          </w:p>
        </w:tc>
      </w:tr>
      <w:tr>
        <w:tc>
          <w:tcPr>
            <w:tcW w:type="dxa" w:w="1150"/>
            <w:vAlign w:val="center"/>
          </w:tcPr>
          <w:p>
            <w:pPr>
              <w:spacing w:after="0" w:line="240" w:lineRule="auto"/>
              <w:jc w:val="left"/>
            </w:pPr>
            <w:r/>
            <w:r>
              <w:rPr>
                <w:rFonts w:ascii="Calibri" w:hAnsi="Calibri"/>
                <w:b w:val="0"/>
                <w:i w:val="0"/>
                <w:color w:val="000000"/>
                <w:sz w:val="12"/>
              </w:rPr>
              <w:t>Carbonate</w:t>
            </w:r>
          </w:p>
        </w:tc>
        <w:tc>
          <w:tcPr>
            <w:tcW w:type="dxa" w:w="1150"/>
            <w:vAlign w:val="center"/>
          </w:tcPr>
          <w:p>
            <w:pPr>
              <w:spacing w:after="0" w:line="240" w:lineRule="auto"/>
              <w:jc w:val="center"/>
            </w:pPr>
            <w:r/>
            <w:r>
              <w:rPr>
                <w:rFonts w:ascii="Calibri" w:hAnsi="Calibri"/>
                <w:b w:val="0"/>
                <w:i w:val="0"/>
                <w:color w:val="000000"/>
                <w:sz w:val="12"/>
              </w:rPr>
              <w:t>Scheme 2</w:t>
            </w:r>
          </w:p>
        </w:tc>
        <w:tc>
          <w:tcPr>
            <w:tcW w:type="dxa" w:w="1278"/>
            <w:vAlign w:val="center"/>
          </w:tcPr>
          <w:p>
            <w:pPr>
              <w:spacing w:after="0" w:line="240" w:lineRule="auto"/>
              <w:jc w:val="center"/>
            </w:pPr>
            <w:r/>
            <w:r>
              <w:rPr>
                <w:rFonts w:ascii="Calibri" w:hAnsi="Calibri"/>
                <w:b w:val="0"/>
                <w:i w:val="0"/>
                <w:color w:val="000000"/>
                <w:sz w:val="12"/>
              </w:rPr>
              <w:t>336.50</w:t>
            </w:r>
          </w:p>
        </w:tc>
        <w:tc>
          <w:tcPr>
            <w:tcW w:type="dxa" w:w="1278"/>
            <w:vAlign w:val="center"/>
          </w:tcPr>
          <w:p>
            <w:pPr>
              <w:spacing w:after="0" w:line="240" w:lineRule="auto"/>
              <w:jc w:val="center"/>
            </w:pPr>
            <w:r/>
            <w:r>
              <w:rPr>
                <w:rFonts w:ascii="Calibri" w:hAnsi="Calibri"/>
                <w:b w:val="0"/>
                <w:i w:val="0"/>
                <w:color w:val="000000"/>
                <w:sz w:val="12"/>
              </w:rPr>
              <w:t>114.82</w:t>
            </w:r>
          </w:p>
        </w:tc>
        <w:tc>
          <w:tcPr>
            <w:tcW w:type="dxa" w:w="1150"/>
            <w:vAlign w:val="center"/>
          </w:tcPr>
          <w:p>
            <w:pPr>
              <w:spacing w:after="0" w:line="240" w:lineRule="auto"/>
              <w:jc w:val="center"/>
            </w:pPr>
            <w:r/>
            <w:r>
              <w:rPr>
                <w:rFonts w:ascii="Calibri" w:hAnsi="Calibri"/>
                <w:b w:val="0"/>
                <w:i w:val="0"/>
                <w:color w:val="000000"/>
                <w:sz w:val="12"/>
              </w:rPr>
              <w:t>221.68</w:t>
            </w:r>
          </w:p>
        </w:tc>
        <w:tc>
          <w:tcPr>
            <w:tcW w:type="dxa" w:w="1534"/>
            <w:vAlign w:val="center"/>
          </w:tcPr>
          <w:p>
            <w:pPr>
              <w:spacing w:after="0" w:line="240" w:lineRule="auto"/>
              <w:jc w:val="center"/>
            </w:pPr>
            <w:r/>
            <w:r>
              <w:rPr>
                <w:rFonts w:ascii="Calibri" w:hAnsi="Calibri"/>
                <w:b w:val="0"/>
                <w:i w:val="0"/>
                <w:color w:val="000000"/>
                <w:sz w:val="12"/>
              </w:rPr>
              <w:t>274.32</w:t>
            </w:r>
          </w:p>
        </w:tc>
        <w:tc>
          <w:tcPr>
            <w:tcW w:type="dxa" w:w="1662"/>
            <w:vAlign w:val="center"/>
          </w:tcPr>
          <w:p>
            <w:pPr>
              <w:spacing w:after="0" w:line="240" w:lineRule="auto"/>
              <w:jc w:val="center"/>
            </w:pPr>
            <w:r/>
            <w:r>
              <w:rPr>
                <w:rFonts w:ascii="Calibri" w:hAnsi="Calibri"/>
                <w:b w:val="0"/>
                <w:i w:val="0"/>
                <w:color w:val="000000"/>
                <w:sz w:val="12"/>
              </w:rPr>
              <w:t>3.14</w:t>
            </w:r>
          </w:p>
        </w:tc>
        <w:tc>
          <w:tcPr>
            <w:tcW w:type="dxa" w:w="1534"/>
            <w:vAlign w:val="center"/>
          </w:tcPr>
          <w:p>
            <w:pPr>
              <w:spacing w:after="0" w:line="240" w:lineRule="auto"/>
              <w:jc w:val="center"/>
            </w:pPr>
            <w:r/>
            <w:r>
              <w:rPr>
                <w:rFonts w:ascii="Calibri" w:hAnsi="Calibri"/>
                <w:b w:val="0"/>
                <w:i w:val="0"/>
                <w:color w:val="000000"/>
                <w:sz w:val="12"/>
              </w:rPr>
              <w:t>0.43</w:t>
            </w:r>
          </w:p>
        </w:tc>
        <w:tc>
          <w:tcPr>
            <w:tcW w:type="dxa" w:w="1150"/>
            <w:vAlign w:val="center"/>
          </w:tcPr>
          <w:p>
            <w:pPr>
              <w:spacing w:after="0" w:line="240" w:lineRule="auto"/>
              <w:jc w:val="center"/>
            </w:pPr>
            <w:r/>
            <w:r>
              <w:rPr>
                <w:rFonts w:ascii="Calibri" w:hAnsi="Calibri"/>
                <w:b w:val="0"/>
                <w:i w:val="0"/>
                <w:color w:val="000000"/>
                <w:sz w:val="12"/>
              </w:rPr>
              <w:t>-0.13</w:t>
            </w:r>
          </w:p>
        </w:tc>
        <w:tc>
          <w:tcPr>
            <w:tcW w:type="dxa" w:w="894"/>
            <w:vAlign w:val="center"/>
          </w:tcPr>
          <w:p>
            <w:pPr>
              <w:spacing w:after="0" w:line="240" w:lineRule="auto"/>
              <w:jc w:val="center"/>
            </w:pPr>
            <w:r/>
            <w:r>
              <w:rPr>
                <w:rFonts w:ascii="Calibri" w:hAnsi="Calibri"/>
                <w:b w:val="0"/>
                <w:i w:val="0"/>
                <w:color w:val="000000"/>
                <w:sz w:val="12"/>
              </w:rPr>
              <w:t>0.25</w:t>
            </w:r>
          </w:p>
        </w:tc>
        <w:tc>
          <w:tcPr>
            <w:tcW w:type="dxa" w:w="900"/>
            <w:vAlign w:val="center"/>
          </w:tcPr>
          <w:p>
            <w:pPr>
              <w:spacing w:after="0" w:line="240" w:lineRule="auto"/>
              <w:jc w:val="center"/>
            </w:pPr>
            <w:r/>
            <w:r>
              <w:rPr>
                <w:rFonts w:ascii="Calibri" w:hAnsi="Calibri"/>
                <w:b w:val="0"/>
                <w:i w:val="0"/>
                <w:color w:val="000000"/>
                <w:sz w:val="12"/>
              </w:rPr>
              <w:t>102</w:t>
            </w:r>
          </w:p>
        </w:tc>
      </w:tr>
      <w:tr>
        <w:tc>
          <w:tcPr>
            <w:tcW w:type="dxa" w:w="1150"/>
            <w:vAlign w:val="center"/>
          </w:tcPr>
          <w:p>
            <w:pPr>
              <w:spacing w:after="0" w:line="240" w:lineRule="auto"/>
              <w:jc w:val="left"/>
            </w:pPr>
            <w:r/>
            <w:r>
              <w:rPr>
                <w:rFonts w:ascii="Calibri" w:hAnsi="Calibri"/>
                <w:b w:val="0"/>
                <w:i w:val="0"/>
                <w:color w:val="000000"/>
                <w:sz w:val="12"/>
              </w:rPr>
              <w:t>Carbonate</w:t>
            </w:r>
          </w:p>
        </w:tc>
        <w:tc>
          <w:tcPr>
            <w:tcW w:type="dxa" w:w="1150"/>
            <w:vAlign w:val="center"/>
          </w:tcPr>
          <w:p>
            <w:pPr>
              <w:spacing w:after="0" w:line="240" w:lineRule="auto"/>
              <w:jc w:val="center"/>
            </w:pPr>
            <w:r/>
            <w:r>
              <w:rPr>
                <w:rFonts w:ascii="Calibri" w:hAnsi="Calibri"/>
                <w:b w:val="0"/>
                <w:i w:val="0"/>
                <w:color w:val="000000"/>
                <w:sz w:val="12"/>
              </w:rPr>
              <w:t>Scheme 2'</w:t>
            </w:r>
          </w:p>
        </w:tc>
        <w:tc>
          <w:tcPr>
            <w:tcW w:type="dxa" w:w="1278"/>
            <w:vAlign w:val="center"/>
          </w:tcPr>
          <w:p>
            <w:pPr>
              <w:spacing w:after="0" w:line="240" w:lineRule="auto"/>
              <w:jc w:val="center"/>
            </w:pPr>
            <w:r/>
            <w:r>
              <w:rPr>
                <w:rFonts w:ascii="Calibri" w:hAnsi="Calibri"/>
                <w:b w:val="0"/>
                <w:i w:val="0"/>
                <w:color w:val="000000"/>
                <w:sz w:val="12"/>
              </w:rPr>
              <w:t>224.18</w:t>
            </w:r>
          </w:p>
        </w:tc>
        <w:tc>
          <w:tcPr>
            <w:tcW w:type="dxa" w:w="1278"/>
            <w:vAlign w:val="center"/>
          </w:tcPr>
          <w:p>
            <w:pPr>
              <w:spacing w:after="0" w:line="240" w:lineRule="auto"/>
              <w:jc w:val="center"/>
            </w:pPr>
            <w:r/>
            <w:r>
              <w:rPr>
                <w:rFonts w:ascii="Calibri" w:hAnsi="Calibri"/>
                <w:b w:val="0"/>
                <w:i w:val="0"/>
                <w:color w:val="000000"/>
                <w:sz w:val="12"/>
              </w:rPr>
              <w:t>114.82</w:t>
            </w:r>
          </w:p>
        </w:tc>
        <w:tc>
          <w:tcPr>
            <w:tcW w:type="dxa" w:w="1150"/>
            <w:vAlign w:val="center"/>
          </w:tcPr>
          <w:p>
            <w:pPr>
              <w:spacing w:after="0" w:line="240" w:lineRule="auto"/>
              <w:jc w:val="center"/>
            </w:pPr>
            <w:r/>
            <w:r>
              <w:rPr>
                <w:rFonts w:ascii="Calibri" w:hAnsi="Calibri"/>
                <w:b w:val="0"/>
                <w:i w:val="0"/>
                <w:color w:val="000000"/>
                <w:sz w:val="12"/>
              </w:rPr>
              <w:t>109.36</w:t>
            </w:r>
          </w:p>
        </w:tc>
        <w:tc>
          <w:tcPr>
            <w:tcW w:type="dxa" w:w="1534"/>
            <w:vAlign w:val="center"/>
          </w:tcPr>
          <w:p>
            <w:pPr>
              <w:spacing w:after="0" w:line="240" w:lineRule="auto"/>
              <w:jc w:val="center"/>
            </w:pPr>
            <w:r/>
            <w:r>
              <w:rPr>
                <w:rFonts w:ascii="Calibri" w:hAnsi="Calibri"/>
                <w:b w:val="0"/>
                <w:i w:val="0"/>
                <w:color w:val="000000"/>
                <w:sz w:val="12"/>
              </w:rPr>
              <w:t>204.17</w:t>
            </w:r>
          </w:p>
        </w:tc>
        <w:tc>
          <w:tcPr>
            <w:tcW w:type="dxa" w:w="1662"/>
            <w:vAlign w:val="center"/>
          </w:tcPr>
          <w:p>
            <w:pPr>
              <w:spacing w:after="0" w:line="240" w:lineRule="auto"/>
              <w:jc w:val="center"/>
            </w:pPr>
            <w:r/>
            <w:r>
              <w:rPr>
                <w:rFonts w:ascii="Calibri" w:hAnsi="Calibri"/>
                <w:b w:val="0"/>
                <w:i w:val="0"/>
                <w:color w:val="000000"/>
                <w:sz w:val="12"/>
              </w:rPr>
              <w:t>2.98</w:t>
            </w:r>
          </w:p>
        </w:tc>
        <w:tc>
          <w:tcPr>
            <w:tcW w:type="dxa" w:w="1534"/>
            <w:vAlign w:val="center"/>
          </w:tcPr>
          <w:p>
            <w:pPr>
              <w:spacing w:after="0" w:line="240" w:lineRule="auto"/>
              <w:jc w:val="center"/>
            </w:pPr>
            <w:r/>
            <w:r>
              <w:rPr>
                <w:rFonts w:ascii="Calibri" w:hAnsi="Calibri"/>
                <w:b w:val="0"/>
                <w:i w:val="0"/>
                <w:color w:val="000000"/>
                <w:sz w:val="12"/>
              </w:rPr>
              <w:t>0.44</w:t>
            </w:r>
          </w:p>
        </w:tc>
        <w:tc>
          <w:tcPr>
            <w:tcW w:type="dxa" w:w="1150"/>
            <w:vAlign w:val="center"/>
          </w:tcPr>
          <w:p>
            <w:pPr>
              <w:spacing w:after="0" w:line="240" w:lineRule="auto"/>
              <w:jc w:val="center"/>
            </w:pPr>
            <w:r/>
            <w:r>
              <w:rPr>
                <w:rFonts w:ascii="Calibri" w:hAnsi="Calibri"/>
                <w:b w:val="0"/>
                <w:i w:val="0"/>
                <w:color w:val="000000"/>
                <w:sz w:val="12"/>
              </w:rPr>
              <w:t>-0.11</w:t>
            </w:r>
          </w:p>
        </w:tc>
        <w:tc>
          <w:tcPr>
            <w:tcW w:type="dxa" w:w="894"/>
            <w:vAlign w:val="center"/>
          </w:tcPr>
          <w:p>
            <w:pPr>
              <w:spacing w:after="0" w:line="240" w:lineRule="auto"/>
              <w:jc w:val="center"/>
            </w:pPr>
            <w:r/>
            <w:r>
              <w:rPr>
                <w:rFonts w:ascii="Calibri" w:hAnsi="Calibri"/>
                <w:b w:val="0"/>
                <w:i w:val="0"/>
                <w:color w:val="000000"/>
                <w:sz w:val="12"/>
              </w:rPr>
              <w:t>0.28</w:t>
            </w:r>
          </w:p>
        </w:tc>
        <w:tc>
          <w:tcPr>
            <w:tcW w:type="dxa" w:w="900"/>
            <w:vAlign w:val="center"/>
          </w:tcPr>
          <w:p>
            <w:pPr>
              <w:spacing w:after="0" w:line="240" w:lineRule="auto"/>
              <w:jc w:val="center"/>
            </w:pPr>
            <w:r/>
            <w:r>
              <w:rPr>
                <w:rFonts w:ascii="Calibri" w:hAnsi="Calibri"/>
                <w:b w:val="0"/>
                <w:i w:val="0"/>
                <w:color w:val="000000"/>
                <w:sz w:val="12"/>
              </w:rPr>
              <w:t>102</w:t>
            </w:r>
          </w:p>
        </w:tc>
      </w:tr>
      <w:tr>
        <w:tc>
          <w:tcPr>
            <w:tcW w:type="dxa" w:w="1150"/>
            <w:vAlign w:val="center"/>
          </w:tcPr>
          <w:p>
            <w:pPr>
              <w:spacing w:after="0" w:line="240" w:lineRule="auto"/>
              <w:jc w:val="left"/>
            </w:pPr>
            <w:r/>
            <w:r>
              <w:rPr>
                <w:rFonts w:ascii="Calibri" w:hAnsi="Calibri"/>
                <w:b w:val="0"/>
                <w:i w:val="0"/>
                <w:color w:val="000000"/>
                <w:sz w:val="12"/>
              </w:rPr>
              <w:t>Hydroxide</w:t>
            </w:r>
          </w:p>
        </w:tc>
        <w:tc>
          <w:tcPr>
            <w:tcW w:type="dxa" w:w="1150"/>
            <w:vAlign w:val="center"/>
          </w:tcPr>
          <w:p>
            <w:pPr>
              <w:spacing w:after="0" w:line="240" w:lineRule="auto"/>
              <w:jc w:val="center"/>
            </w:pPr>
            <w:r/>
            <w:r>
              <w:rPr>
                <w:rFonts w:ascii="Calibri" w:hAnsi="Calibri"/>
                <w:b w:val="0"/>
                <w:i w:val="0"/>
                <w:color w:val="000000"/>
                <w:sz w:val="12"/>
              </w:rPr>
              <w:t>Scheme 1</w:t>
            </w:r>
          </w:p>
        </w:tc>
        <w:tc>
          <w:tcPr>
            <w:tcW w:type="dxa" w:w="1278"/>
            <w:vAlign w:val="center"/>
          </w:tcPr>
          <w:p>
            <w:pPr>
              <w:spacing w:after="0" w:line="240" w:lineRule="auto"/>
              <w:jc w:val="center"/>
            </w:pPr>
            <w:r/>
            <w:r>
              <w:rPr>
                <w:rFonts w:ascii="Calibri" w:hAnsi="Calibri"/>
                <w:b w:val="0"/>
                <w:i w:val="0"/>
                <w:color w:val="000000"/>
                <w:sz w:val="12"/>
              </w:rPr>
              <w:t>239.84</w:t>
            </w:r>
          </w:p>
        </w:tc>
        <w:tc>
          <w:tcPr>
            <w:tcW w:type="dxa" w:w="1278"/>
            <w:vAlign w:val="center"/>
          </w:tcPr>
          <w:p>
            <w:pPr>
              <w:spacing w:after="0" w:line="240" w:lineRule="auto"/>
              <w:jc w:val="center"/>
            </w:pPr>
            <w:r/>
            <w:r>
              <w:rPr>
                <w:rFonts w:ascii="Calibri" w:hAnsi="Calibri"/>
                <w:b w:val="0"/>
                <w:i w:val="0"/>
                <w:color w:val="000000"/>
                <w:sz w:val="12"/>
              </w:rPr>
              <w:t>106.77</w:t>
            </w:r>
          </w:p>
        </w:tc>
        <w:tc>
          <w:tcPr>
            <w:tcW w:type="dxa" w:w="1150"/>
            <w:vAlign w:val="center"/>
          </w:tcPr>
          <w:p>
            <w:pPr>
              <w:spacing w:after="0" w:line="240" w:lineRule="auto"/>
              <w:jc w:val="center"/>
            </w:pPr>
            <w:r/>
            <w:r>
              <w:rPr>
                <w:rFonts w:ascii="Calibri" w:hAnsi="Calibri"/>
                <w:b w:val="0"/>
                <w:i w:val="0"/>
                <w:color w:val="000000"/>
                <w:sz w:val="12"/>
              </w:rPr>
              <w:t>133.07</w:t>
            </w:r>
          </w:p>
        </w:tc>
        <w:tc>
          <w:tcPr>
            <w:tcW w:type="dxa" w:w="1534"/>
            <w:vAlign w:val="center"/>
          </w:tcPr>
          <w:p>
            <w:pPr>
              <w:spacing w:after="0" w:line="240" w:lineRule="auto"/>
              <w:jc w:val="center"/>
            </w:pPr>
            <w:r/>
            <w:r>
              <w:rPr>
                <w:rFonts w:ascii="Calibri" w:hAnsi="Calibri"/>
                <w:b w:val="0"/>
                <w:i w:val="0"/>
                <w:color w:val="000000"/>
                <w:sz w:val="12"/>
              </w:rPr>
              <w:t>147.71</w:t>
            </w:r>
          </w:p>
        </w:tc>
        <w:tc>
          <w:tcPr>
            <w:tcW w:type="dxa" w:w="1662"/>
            <w:vAlign w:val="center"/>
          </w:tcPr>
          <w:p>
            <w:pPr>
              <w:spacing w:after="0" w:line="240" w:lineRule="auto"/>
              <w:jc w:val="center"/>
            </w:pPr>
            <w:r/>
            <w:r>
              <w:rPr>
                <w:rFonts w:ascii="Calibri" w:hAnsi="Calibri"/>
                <w:b w:val="0"/>
                <w:i w:val="0"/>
                <w:color w:val="000000"/>
                <w:sz w:val="12"/>
              </w:rPr>
              <w:t>2.99</w:t>
            </w:r>
          </w:p>
        </w:tc>
        <w:tc>
          <w:tcPr>
            <w:tcW w:type="dxa" w:w="1534"/>
            <w:vAlign w:val="center"/>
          </w:tcPr>
          <w:p>
            <w:pPr>
              <w:spacing w:after="0" w:line="240" w:lineRule="auto"/>
              <w:jc w:val="center"/>
            </w:pPr>
            <w:r/>
            <w:r>
              <w:rPr>
                <w:rFonts w:ascii="Calibri" w:hAnsi="Calibri"/>
                <w:b w:val="0"/>
                <w:i w:val="0"/>
                <w:color w:val="000000"/>
                <w:sz w:val="12"/>
              </w:rPr>
              <w:t>0.82</w:t>
            </w:r>
          </w:p>
        </w:tc>
        <w:tc>
          <w:tcPr>
            <w:tcW w:type="dxa" w:w="1150"/>
            <w:vAlign w:val="center"/>
          </w:tcPr>
          <w:p>
            <w:pPr>
              <w:spacing w:after="0" w:line="240" w:lineRule="auto"/>
              <w:jc w:val="center"/>
            </w:pPr>
            <w:r/>
            <w:r>
              <w:rPr>
                <w:rFonts w:ascii="Calibri" w:hAnsi="Calibri"/>
                <w:b w:val="0"/>
                <w:i w:val="0"/>
                <w:color w:val="000000"/>
                <w:sz w:val="12"/>
              </w:rPr>
              <w:t>0.00</w:t>
            </w:r>
          </w:p>
        </w:tc>
        <w:tc>
          <w:tcPr>
            <w:tcW w:type="dxa" w:w="894"/>
            <w:vAlign w:val="center"/>
          </w:tcPr>
          <w:p>
            <w:pPr>
              <w:spacing w:after="0" w:line="240" w:lineRule="auto"/>
              <w:jc w:val="center"/>
            </w:pPr>
            <w:r/>
            <w:r>
              <w:rPr>
                <w:rFonts w:ascii="Calibri" w:hAnsi="Calibri"/>
                <w:b w:val="0"/>
                <w:i w:val="0"/>
                <w:color w:val="000000"/>
                <w:sz w:val="12"/>
              </w:rPr>
              <w:t>0.72</w:t>
            </w:r>
          </w:p>
        </w:tc>
        <w:tc>
          <w:tcPr>
            <w:tcW w:type="dxa" w:w="900"/>
            <w:vAlign w:val="center"/>
          </w:tcPr>
          <w:p>
            <w:pPr>
              <w:spacing w:after="0" w:line="240" w:lineRule="auto"/>
              <w:jc w:val="center"/>
            </w:pPr>
            <w:r/>
            <w:r>
              <w:rPr>
                <w:rFonts w:ascii="Calibri" w:hAnsi="Calibri"/>
                <w:b w:val="0"/>
                <w:i w:val="0"/>
                <w:color w:val="000000"/>
                <w:sz w:val="12"/>
              </w:rPr>
              <w:t>105</w:t>
            </w:r>
          </w:p>
        </w:tc>
      </w:tr>
      <w:tr>
        <w:tc>
          <w:tcPr>
            <w:tcW w:type="dxa" w:w="1150"/>
            <w:vAlign w:val="center"/>
          </w:tcPr>
          <w:p>
            <w:pPr>
              <w:spacing w:after="0" w:line="240" w:lineRule="auto"/>
              <w:jc w:val="left"/>
            </w:pPr>
            <w:r/>
            <w:r>
              <w:rPr>
                <w:rFonts w:ascii="Calibri" w:hAnsi="Calibri"/>
                <w:b w:val="0"/>
                <w:i w:val="0"/>
                <w:color w:val="000000"/>
                <w:sz w:val="12"/>
              </w:rPr>
              <w:t>Hydroxide</w:t>
            </w:r>
          </w:p>
        </w:tc>
        <w:tc>
          <w:tcPr>
            <w:tcW w:type="dxa" w:w="1150"/>
            <w:vAlign w:val="center"/>
          </w:tcPr>
          <w:p>
            <w:pPr>
              <w:spacing w:after="0" w:line="240" w:lineRule="auto"/>
              <w:jc w:val="center"/>
            </w:pPr>
            <w:r/>
            <w:r>
              <w:rPr>
                <w:rFonts w:ascii="Calibri" w:hAnsi="Calibri"/>
                <w:b w:val="0"/>
                <w:i w:val="0"/>
                <w:color w:val="000000"/>
                <w:sz w:val="12"/>
              </w:rPr>
              <w:t>Scheme 1'</w:t>
            </w:r>
          </w:p>
        </w:tc>
        <w:tc>
          <w:tcPr>
            <w:tcW w:type="dxa" w:w="1278"/>
            <w:vAlign w:val="center"/>
          </w:tcPr>
          <w:p>
            <w:pPr>
              <w:spacing w:after="0" w:line="240" w:lineRule="auto"/>
              <w:jc w:val="center"/>
            </w:pPr>
            <w:r/>
            <w:r>
              <w:rPr>
                <w:rFonts w:ascii="Calibri" w:hAnsi="Calibri"/>
                <w:b w:val="0"/>
                <w:i w:val="0"/>
                <w:color w:val="000000"/>
                <w:sz w:val="12"/>
              </w:rPr>
              <w:t>173.80</w:t>
            </w:r>
          </w:p>
        </w:tc>
        <w:tc>
          <w:tcPr>
            <w:tcW w:type="dxa" w:w="1278"/>
            <w:vAlign w:val="center"/>
          </w:tcPr>
          <w:p>
            <w:pPr>
              <w:spacing w:after="0" w:line="240" w:lineRule="auto"/>
              <w:jc w:val="center"/>
            </w:pPr>
            <w:r/>
            <w:r>
              <w:rPr>
                <w:rFonts w:ascii="Calibri" w:hAnsi="Calibri"/>
                <w:b w:val="0"/>
                <w:i w:val="0"/>
                <w:color w:val="000000"/>
                <w:sz w:val="12"/>
              </w:rPr>
              <w:t>106.77</w:t>
            </w:r>
          </w:p>
        </w:tc>
        <w:tc>
          <w:tcPr>
            <w:tcW w:type="dxa" w:w="1150"/>
            <w:vAlign w:val="center"/>
          </w:tcPr>
          <w:p>
            <w:pPr>
              <w:spacing w:after="0" w:line="240" w:lineRule="auto"/>
              <w:jc w:val="center"/>
            </w:pPr>
            <w:r/>
            <w:r>
              <w:rPr>
                <w:rFonts w:ascii="Calibri" w:hAnsi="Calibri"/>
                <w:b w:val="0"/>
                <w:i w:val="0"/>
                <w:color w:val="000000"/>
                <w:sz w:val="12"/>
              </w:rPr>
              <w:t>67.03</w:t>
            </w:r>
          </w:p>
        </w:tc>
        <w:tc>
          <w:tcPr>
            <w:tcW w:type="dxa" w:w="1534"/>
            <w:vAlign w:val="center"/>
          </w:tcPr>
          <w:p>
            <w:pPr>
              <w:spacing w:after="0" w:line="240" w:lineRule="auto"/>
              <w:jc w:val="center"/>
            </w:pPr>
            <w:r/>
            <w:r>
              <w:rPr>
                <w:rFonts w:ascii="Calibri" w:hAnsi="Calibri"/>
                <w:b w:val="0"/>
                <w:i w:val="0"/>
                <w:color w:val="000000"/>
                <w:sz w:val="12"/>
              </w:rPr>
              <w:t>90.37</w:t>
            </w:r>
          </w:p>
        </w:tc>
        <w:tc>
          <w:tcPr>
            <w:tcW w:type="dxa" w:w="1662"/>
            <w:vAlign w:val="center"/>
          </w:tcPr>
          <w:p>
            <w:pPr>
              <w:spacing w:after="0" w:line="240" w:lineRule="auto"/>
              <w:jc w:val="center"/>
            </w:pPr>
            <w:r/>
            <w:r>
              <w:rPr>
                <w:rFonts w:ascii="Calibri" w:hAnsi="Calibri"/>
                <w:b w:val="0"/>
                <w:i w:val="0"/>
                <w:color w:val="000000"/>
                <w:sz w:val="12"/>
              </w:rPr>
              <w:t>1.84</w:t>
            </w:r>
          </w:p>
        </w:tc>
        <w:tc>
          <w:tcPr>
            <w:tcW w:type="dxa" w:w="1534"/>
            <w:vAlign w:val="center"/>
          </w:tcPr>
          <w:p>
            <w:pPr>
              <w:spacing w:after="0" w:line="240" w:lineRule="auto"/>
              <w:jc w:val="center"/>
            </w:pPr>
            <w:r/>
            <w:r>
              <w:rPr>
                <w:rFonts w:ascii="Calibri" w:hAnsi="Calibri"/>
                <w:b w:val="0"/>
                <w:i w:val="0"/>
                <w:color w:val="000000"/>
                <w:sz w:val="12"/>
              </w:rPr>
              <w:t>0.82</w:t>
            </w:r>
          </w:p>
        </w:tc>
        <w:tc>
          <w:tcPr>
            <w:tcW w:type="dxa" w:w="1150"/>
            <w:vAlign w:val="center"/>
          </w:tcPr>
          <w:p>
            <w:pPr>
              <w:spacing w:after="0" w:line="240" w:lineRule="auto"/>
              <w:jc w:val="center"/>
            </w:pPr>
            <w:r/>
            <w:r>
              <w:rPr>
                <w:rFonts w:ascii="Calibri" w:hAnsi="Calibri"/>
                <w:b w:val="0"/>
                <w:i w:val="0"/>
                <w:color w:val="000000"/>
                <w:sz w:val="12"/>
              </w:rPr>
              <w:t>0.02</w:t>
            </w:r>
          </w:p>
        </w:tc>
        <w:tc>
          <w:tcPr>
            <w:tcW w:type="dxa" w:w="894"/>
            <w:vAlign w:val="center"/>
          </w:tcPr>
          <w:p>
            <w:pPr>
              <w:spacing w:after="0" w:line="240" w:lineRule="auto"/>
              <w:jc w:val="center"/>
            </w:pPr>
            <w:r/>
            <w:r>
              <w:rPr>
                <w:rFonts w:ascii="Calibri" w:hAnsi="Calibri"/>
                <w:b w:val="0"/>
                <w:i w:val="0"/>
                <w:color w:val="000000"/>
                <w:sz w:val="12"/>
              </w:rPr>
              <w:t>0.74</w:t>
            </w:r>
          </w:p>
        </w:tc>
        <w:tc>
          <w:tcPr>
            <w:tcW w:type="dxa" w:w="900"/>
            <w:vAlign w:val="center"/>
          </w:tcPr>
          <w:p>
            <w:pPr>
              <w:spacing w:after="0" w:line="240" w:lineRule="auto"/>
              <w:jc w:val="center"/>
            </w:pPr>
            <w:r/>
            <w:r>
              <w:rPr>
                <w:rFonts w:ascii="Calibri" w:hAnsi="Calibri"/>
                <w:b w:val="0"/>
                <w:i w:val="0"/>
                <w:color w:val="000000"/>
                <w:sz w:val="12"/>
              </w:rPr>
              <w:t>105</w:t>
            </w:r>
          </w:p>
        </w:tc>
      </w:tr>
      <w:tr>
        <w:tc>
          <w:tcPr>
            <w:tcW w:type="dxa" w:w="1150"/>
            <w:vAlign w:val="center"/>
          </w:tcPr>
          <w:p>
            <w:pPr>
              <w:spacing w:after="0" w:line="240" w:lineRule="auto"/>
              <w:jc w:val="left"/>
            </w:pPr>
            <w:r/>
            <w:r>
              <w:rPr>
                <w:rFonts w:ascii="Calibri" w:hAnsi="Calibri"/>
                <w:b w:val="0"/>
                <w:i w:val="0"/>
                <w:color w:val="000000"/>
                <w:sz w:val="12"/>
              </w:rPr>
              <w:t>Hydroxide</w:t>
            </w:r>
          </w:p>
        </w:tc>
        <w:tc>
          <w:tcPr>
            <w:tcW w:type="dxa" w:w="1150"/>
            <w:vAlign w:val="center"/>
          </w:tcPr>
          <w:p>
            <w:pPr>
              <w:spacing w:after="0" w:line="240" w:lineRule="auto"/>
              <w:jc w:val="center"/>
            </w:pPr>
            <w:r/>
            <w:r>
              <w:rPr>
                <w:rFonts w:ascii="Calibri" w:hAnsi="Calibri"/>
                <w:b w:val="0"/>
                <w:i w:val="0"/>
                <w:color w:val="000000"/>
                <w:sz w:val="12"/>
              </w:rPr>
              <w:t>Scheme 2</w:t>
            </w:r>
          </w:p>
        </w:tc>
        <w:tc>
          <w:tcPr>
            <w:tcW w:type="dxa" w:w="1278"/>
            <w:vAlign w:val="center"/>
          </w:tcPr>
          <w:p>
            <w:pPr>
              <w:spacing w:after="0" w:line="240" w:lineRule="auto"/>
              <w:jc w:val="center"/>
            </w:pPr>
            <w:r/>
            <w:r>
              <w:rPr>
                <w:rFonts w:ascii="Calibri" w:hAnsi="Calibri"/>
                <w:b w:val="0"/>
                <w:i w:val="0"/>
                <w:color w:val="000000"/>
                <w:sz w:val="12"/>
              </w:rPr>
              <w:t>223.24</w:t>
            </w:r>
          </w:p>
        </w:tc>
        <w:tc>
          <w:tcPr>
            <w:tcW w:type="dxa" w:w="1278"/>
            <w:vAlign w:val="center"/>
          </w:tcPr>
          <w:p>
            <w:pPr>
              <w:spacing w:after="0" w:line="240" w:lineRule="auto"/>
              <w:jc w:val="center"/>
            </w:pPr>
            <w:r/>
            <w:r>
              <w:rPr>
                <w:rFonts w:ascii="Calibri" w:hAnsi="Calibri"/>
                <w:b w:val="0"/>
                <w:i w:val="0"/>
                <w:color w:val="000000"/>
                <w:sz w:val="12"/>
              </w:rPr>
              <w:t>106.77</w:t>
            </w:r>
          </w:p>
        </w:tc>
        <w:tc>
          <w:tcPr>
            <w:tcW w:type="dxa" w:w="1150"/>
            <w:vAlign w:val="center"/>
          </w:tcPr>
          <w:p>
            <w:pPr>
              <w:spacing w:after="0" w:line="240" w:lineRule="auto"/>
              <w:jc w:val="center"/>
            </w:pPr>
            <w:r/>
            <w:r>
              <w:rPr>
                <w:rFonts w:ascii="Calibri" w:hAnsi="Calibri"/>
                <w:b w:val="0"/>
                <w:i w:val="0"/>
                <w:color w:val="000000"/>
                <w:sz w:val="12"/>
              </w:rPr>
              <w:t>116.47</w:t>
            </w:r>
          </w:p>
        </w:tc>
        <w:tc>
          <w:tcPr>
            <w:tcW w:type="dxa" w:w="1534"/>
            <w:vAlign w:val="center"/>
          </w:tcPr>
          <w:p>
            <w:pPr>
              <w:spacing w:after="0" w:line="240" w:lineRule="auto"/>
              <w:jc w:val="center"/>
            </w:pPr>
            <w:r/>
            <w:r>
              <w:rPr>
                <w:rFonts w:ascii="Calibri" w:hAnsi="Calibri"/>
                <w:b w:val="0"/>
                <w:i w:val="0"/>
                <w:color w:val="000000"/>
                <w:sz w:val="12"/>
              </w:rPr>
              <w:t>135.71</w:t>
            </w:r>
          </w:p>
        </w:tc>
        <w:tc>
          <w:tcPr>
            <w:tcW w:type="dxa" w:w="1662"/>
            <w:vAlign w:val="center"/>
          </w:tcPr>
          <w:p>
            <w:pPr>
              <w:spacing w:after="0" w:line="240" w:lineRule="auto"/>
              <w:jc w:val="center"/>
            </w:pPr>
            <w:r/>
            <w:r>
              <w:rPr>
                <w:rFonts w:ascii="Calibri" w:hAnsi="Calibri"/>
                <w:b w:val="0"/>
                <w:i w:val="0"/>
                <w:color w:val="000000"/>
                <w:sz w:val="12"/>
              </w:rPr>
              <w:t>2.78</w:t>
            </w:r>
          </w:p>
        </w:tc>
        <w:tc>
          <w:tcPr>
            <w:tcW w:type="dxa" w:w="1534"/>
            <w:vAlign w:val="center"/>
          </w:tcPr>
          <w:p>
            <w:pPr>
              <w:spacing w:after="0" w:line="240" w:lineRule="auto"/>
              <w:jc w:val="center"/>
            </w:pPr>
            <w:r/>
            <w:r>
              <w:rPr>
                <w:rFonts w:ascii="Calibri" w:hAnsi="Calibri"/>
                <w:b w:val="0"/>
                <w:i w:val="0"/>
                <w:color w:val="000000"/>
                <w:sz w:val="12"/>
              </w:rPr>
              <w:t>0.82</w:t>
            </w:r>
          </w:p>
        </w:tc>
        <w:tc>
          <w:tcPr>
            <w:tcW w:type="dxa" w:w="1150"/>
            <w:vAlign w:val="center"/>
          </w:tcPr>
          <w:p>
            <w:pPr>
              <w:spacing w:after="0" w:line="240" w:lineRule="auto"/>
              <w:jc w:val="center"/>
            </w:pPr>
            <w:r/>
            <w:r>
              <w:rPr>
                <w:rFonts w:ascii="Calibri" w:hAnsi="Calibri"/>
                <w:b w:val="0"/>
                <w:i w:val="0"/>
                <w:color w:val="000000"/>
                <w:sz w:val="12"/>
              </w:rPr>
              <w:t>-0.00</w:t>
            </w:r>
          </w:p>
        </w:tc>
        <w:tc>
          <w:tcPr>
            <w:tcW w:type="dxa" w:w="894"/>
            <w:vAlign w:val="center"/>
          </w:tcPr>
          <w:p>
            <w:pPr>
              <w:spacing w:after="0" w:line="240" w:lineRule="auto"/>
              <w:jc w:val="center"/>
            </w:pPr>
            <w:r/>
            <w:r>
              <w:rPr>
                <w:rFonts w:ascii="Calibri" w:hAnsi="Calibri"/>
                <w:b w:val="0"/>
                <w:i w:val="0"/>
                <w:color w:val="000000"/>
                <w:sz w:val="12"/>
              </w:rPr>
              <w:t>0.73</w:t>
            </w:r>
          </w:p>
        </w:tc>
        <w:tc>
          <w:tcPr>
            <w:tcW w:type="dxa" w:w="900"/>
            <w:vAlign w:val="center"/>
          </w:tcPr>
          <w:p>
            <w:pPr>
              <w:spacing w:after="0" w:line="240" w:lineRule="auto"/>
              <w:jc w:val="center"/>
            </w:pPr>
            <w:r/>
            <w:r>
              <w:rPr>
                <w:rFonts w:ascii="Calibri" w:hAnsi="Calibri"/>
                <w:b w:val="0"/>
                <w:i w:val="0"/>
                <w:color w:val="000000"/>
                <w:sz w:val="12"/>
              </w:rPr>
              <w:t>105</w:t>
            </w:r>
          </w:p>
        </w:tc>
      </w:tr>
      <w:tr>
        <w:tc>
          <w:tcPr>
            <w:tcW w:type="dxa" w:w="1150"/>
            <w:vAlign w:val="center"/>
          </w:tcPr>
          <w:p>
            <w:pPr>
              <w:spacing w:after="0" w:line="240" w:lineRule="auto"/>
              <w:jc w:val="left"/>
            </w:pPr>
            <w:r/>
            <w:r>
              <w:rPr>
                <w:rFonts w:ascii="Calibri" w:hAnsi="Calibri"/>
                <w:b w:val="0"/>
                <w:i w:val="0"/>
                <w:color w:val="000000"/>
                <w:sz w:val="12"/>
              </w:rPr>
              <w:t>Hydroxide</w:t>
            </w:r>
          </w:p>
        </w:tc>
        <w:tc>
          <w:tcPr>
            <w:tcW w:type="dxa" w:w="1150"/>
            <w:vAlign w:val="center"/>
          </w:tcPr>
          <w:p>
            <w:pPr>
              <w:spacing w:after="0" w:line="240" w:lineRule="auto"/>
              <w:jc w:val="center"/>
            </w:pPr>
            <w:r/>
            <w:r>
              <w:rPr>
                <w:rFonts w:ascii="Calibri" w:hAnsi="Calibri"/>
                <w:b w:val="0"/>
                <w:i w:val="0"/>
                <w:color w:val="000000"/>
                <w:sz w:val="12"/>
              </w:rPr>
              <w:t>Scheme 2'</w:t>
            </w:r>
          </w:p>
        </w:tc>
        <w:tc>
          <w:tcPr>
            <w:tcW w:type="dxa" w:w="1278"/>
            <w:vAlign w:val="center"/>
          </w:tcPr>
          <w:p>
            <w:pPr>
              <w:spacing w:after="0" w:line="240" w:lineRule="auto"/>
              <w:jc w:val="center"/>
            </w:pPr>
            <w:r/>
            <w:r>
              <w:rPr>
                <w:rFonts w:ascii="Calibri" w:hAnsi="Calibri"/>
                <w:b w:val="0"/>
                <w:i w:val="0"/>
                <w:color w:val="000000"/>
                <w:sz w:val="12"/>
              </w:rPr>
              <w:t>164.31</w:t>
            </w:r>
          </w:p>
        </w:tc>
        <w:tc>
          <w:tcPr>
            <w:tcW w:type="dxa" w:w="1278"/>
            <w:vAlign w:val="center"/>
          </w:tcPr>
          <w:p>
            <w:pPr>
              <w:spacing w:after="0" w:line="240" w:lineRule="auto"/>
              <w:jc w:val="center"/>
            </w:pPr>
            <w:r/>
            <w:r>
              <w:rPr>
                <w:rFonts w:ascii="Calibri" w:hAnsi="Calibri"/>
                <w:b w:val="0"/>
                <w:i w:val="0"/>
                <w:color w:val="000000"/>
                <w:sz w:val="12"/>
              </w:rPr>
              <w:t>106.77</w:t>
            </w:r>
          </w:p>
        </w:tc>
        <w:tc>
          <w:tcPr>
            <w:tcW w:type="dxa" w:w="1150"/>
            <w:vAlign w:val="center"/>
          </w:tcPr>
          <w:p>
            <w:pPr>
              <w:spacing w:after="0" w:line="240" w:lineRule="auto"/>
              <w:jc w:val="center"/>
            </w:pPr>
            <w:r/>
            <w:r>
              <w:rPr>
                <w:rFonts w:ascii="Calibri" w:hAnsi="Calibri"/>
                <w:b w:val="0"/>
                <w:i w:val="0"/>
                <w:color w:val="000000"/>
                <w:sz w:val="12"/>
              </w:rPr>
              <w:t>57.54</w:t>
            </w:r>
          </w:p>
        </w:tc>
        <w:tc>
          <w:tcPr>
            <w:tcW w:type="dxa" w:w="1534"/>
            <w:vAlign w:val="center"/>
          </w:tcPr>
          <w:p>
            <w:pPr>
              <w:spacing w:after="0" w:line="240" w:lineRule="auto"/>
              <w:jc w:val="center"/>
            </w:pPr>
            <w:r/>
            <w:r>
              <w:rPr>
                <w:rFonts w:ascii="Calibri" w:hAnsi="Calibri"/>
                <w:b w:val="0"/>
                <w:i w:val="0"/>
                <w:color w:val="000000"/>
                <w:sz w:val="12"/>
              </w:rPr>
              <w:t>81.78</w:t>
            </w:r>
          </w:p>
        </w:tc>
        <w:tc>
          <w:tcPr>
            <w:tcW w:type="dxa" w:w="1662"/>
            <w:vAlign w:val="center"/>
          </w:tcPr>
          <w:p>
            <w:pPr>
              <w:spacing w:after="0" w:line="240" w:lineRule="auto"/>
              <w:jc w:val="center"/>
            </w:pPr>
            <w:r/>
            <w:r>
              <w:rPr>
                <w:rFonts w:ascii="Calibri" w:hAnsi="Calibri"/>
                <w:b w:val="0"/>
                <w:i w:val="0"/>
                <w:color w:val="000000"/>
                <w:sz w:val="12"/>
              </w:rPr>
              <w:t>1.70</w:t>
            </w:r>
          </w:p>
        </w:tc>
        <w:tc>
          <w:tcPr>
            <w:tcW w:type="dxa" w:w="1534"/>
            <w:vAlign w:val="center"/>
          </w:tcPr>
          <w:p>
            <w:pPr>
              <w:spacing w:after="0" w:line="240" w:lineRule="auto"/>
              <w:jc w:val="center"/>
            </w:pPr>
            <w:r/>
            <w:r>
              <w:rPr>
                <w:rFonts w:ascii="Calibri" w:hAnsi="Calibri"/>
                <w:b w:val="0"/>
                <w:i w:val="0"/>
                <w:color w:val="000000"/>
                <w:sz w:val="12"/>
              </w:rPr>
              <w:t>0.82</w:t>
            </w:r>
          </w:p>
        </w:tc>
        <w:tc>
          <w:tcPr>
            <w:tcW w:type="dxa" w:w="1150"/>
            <w:vAlign w:val="center"/>
          </w:tcPr>
          <w:p>
            <w:pPr>
              <w:spacing w:after="0" w:line="240" w:lineRule="auto"/>
              <w:jc w:val="center"/>
            </w:pPr>
            <w:r/>
            <w:r>
              <w:rPr>
                <w:rFonts w:ascii="Calibri" w:hAnsi="Calibri"/>
                <w:b w:val="0"/>
                <w:i w:val="0"/>
                <w:color w:val="000000"/>
                <w:sz w:val="12"/>
              </w:rPr>
              <w:t>0.02</w:t>
            </w:r>
          </w:p>
        </w:tc>
        <w:tc>
          <w:tcPr>
            <w:tcW w:type="dxa" w:w="894"/>
            <w:vAlign w:val="center"/>
          </w:tcPr>
          <w:p>
            <w:pPr>
              <w:spacing w:after="0" w:line="240" w:lineRule="auto"/>
              <w:jc w:val="center"/>
            </w:pPr>
            <w:r/>
            <w:r>
              <w:rPr>
                <w:rFonts w:ascii="Calibri" w:hAnsi="Calibri"/>
                <w:b w:val="0"/>
                <w:i w:val="0"/>
                <w:color w:val="000000"/>
                <w:sz w:val="12"/>
              </w:rPr>
              <w:t>0.74</w:t>
            </w:r>
          </w:p>
        </w:tc>
        <w:tc>
          <w:tcPr>
            <w:tcW w:type="dxa" w:w="900"/>
            <w:vAlign w:val="center"/>
          </w:tcPr>
          <w:p>
            <w:pPr>
              <w:spacing w:after="0" w:line="240" w:lineRule="auto"/>
              <w:jc w:val="center"/>
            </w:pPr>
            <w:r/>
            <w:r>
              <w:rPr>
                <w:rFonts w:ascii="Calibri" w:hAnsi="Calibri"/>
                <w:b w:val="0"/>
                <w:i w:val="0"/>
                <w:color w:val="000000"/>
                <w:sz w:val="12"/>
              </w:rPr>
              <w:t>105</w:t>
            </w:r>
          </w:p>
        </w:tc>
      </w:tr>
    </w:tbl>
    <w:p>
      <w:pPr>
        <w:spacing w:after="60"/>
      </w:pPr>
    </w:p>
    <w:p>
      <w:pPr>
        <w:spacing w:after="160" w:line="320" w:lineRule="auto"/>
        <w:jc w:val="both"/>
      </w:pPr>
      <w:r>
        <w:rPr>
          <w:rFonts w:ascii="Calibri" w:hAnsi="Calibri"/>
          <w:b w:val="0"/>
          <w:i w:val="0"/>
          <w:color w:val="000000"/>
          <w:sz w:val="22"/>
        </w:rPr>
        <w:t>Appendix Table A1 is deliberately target-specific rather than averaged across lithium products. Strategy return and buy-and-hold return use identical evaluation dates. Excess return is their percentage-point difference. Factor alpha is the annualized intercept from the stated five-factor descriptive regression with HAC standard errors. Because the forecasts and intervals are produced by a noncausal retrospective protocol, neither a positive excess return nor a statistically large intercept can be interpreted as attainable alpha.</w:t>
      </w:r>
    </w:p>
    <w:p>
      <w:pPr>
        <w:spacing w:after="160" w:line="320" w:lineRule="auto"/>
        <w:jc w:val="both"/>
      </w:pPr>
      <w:r>
        <w:rPr>
          <w:rFonts w:ascii="Calibri" w:hAnsi="Calibri"/>
          <w:b w:val="0"/>
          <w:i w:val="0"/>
          <w:color w:val="000000"/>
          <w:sz w:val="22"/>
        </w:rPr>
        <w:t>A journal-grade real-time extension should execute the rightmost column of the implementation audit matrix, freeze all design decisions before the final test, retain a passive lithium benchmark and implementable contract benchmark, and report forecast, interval, and trading results without replacing unfavorable outcomes. The present ledgers provide the reproducibility base for that extension.</w:t>
      </w:r>
    </w:p>
    <w:sectPr w:rsidR="00FC693F" w:rsidRPr="0006063C" w:rsidSect="00034616">
      <w:pgSz w:w="15840" w:h="12240" w:orient="landscape"/>
      <w:pgMar w:top="1037" w:right="1037" w:bottom="1037" w:left="103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55555"/>
        <w:sz w:val="17"/>
      </w:rPr>
      <w:t xml:space="preserve">Static retrospective evaluation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i w:val="0"/>
        <w:color w:val="555555"/>
        <w:sz w:val="17"/>
      </w:rPr>
      <w:t>Multimodal Lithium-Price Forecasting | Proposed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