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— Data Privacy Policy</w:t>
      </w:r>
    </w:p>
    <w:p>
      <w:r>
        <w:t>Version 2.3 | Effective Date: January 15, 2025</w:t>
      </w:r>
    </w:p>
    <w:p/>
    <w:p>
      <w:pPr>
        <w:pStyle w:val="Heading1"/>
      </w:pPr>
      <w:r>
        <w:t>1. Purpose and Scope</w:t>
      </w:r>
    </w:p>
    <w:p>
      <w:r>
        <w:t>This policy defines how Acme Corp collects, processes, stores, and shares personal data of customers, employees, and partners. It applies to all departments, contractors, and third-party processors acting on behalf of Acme Corp.</w:t>
      </w:r>
    </w:p>
    <w:p>
      <w:pPr>
        <w:pStyle w:val="Heading1"/>
      </w:pPr>
      <w:r>
        <w:t>2. Data Collection</w:t>
      </w:r>
    </w:p>
    <w:p>
      <w:r>
        <w:t>Acme Corp collects the following categories of personal data: name, email address, phone number, billing address, IP address, and browser cookies. Data is collected through our website, mobile applications, customer support interactions, and third-party integrations.</w:t>
      </w:r>
    </w:p>
    <w:p>
      <w:r>
        <w:t>We collect data for the purposes of service delivery, billing, customer support, and product improvement. Marketing communications require explicit opt-in consent.</w:t>
      </w:r>
    </w:p>
    <w:p>
      <w:pPr>
        <w:pStyle w:val="Heading1"/>
      </w:pPr>
      <w:r>
        <w:t>3. Data Storage and Security</w:t>
      </w:r>
    </w:p>
    <w:p>
      <w:r>
        <w:t>Personal data is stored in encrypted databases hosted on AWS (us-east-1 region). Encryption at rest uses AES-256. Data in transit is protected via TLS 1.2 or higher. Access to production databases is restricted to authorized personnel with role-based access controls (RBAC).</w:t>
      </w:r>
    </w:p>
    <w:p>
      <w:r>
        <w:t>Backups are performed daily and retained for 90 days. Backup data is encrypted using the same standards as production data.</w:t>
      </w:r>
    </w:p>
    <w:p>
      <w:pPr>
        <w:pStyle w:val="Heading1"/>
      </w:pPr>
      <w:r>
        <w:t>4. Data Sharing</w:t>
      </w:r>
    </w:p>
    <w:p>
      <w:r>
        <w:t>Acme Corp shares personal data with the following categories of third parties: payment processors (Stripe), cloud infrastructure providers (AWS), analytics services (Google Analytics), and customer support tools (Zendesk). All third-party processors are required to sign Data Processing Agreements (DPAs).</w:t>
      </w:r>
    </w:p>
    <w:p>
      <w:pPr>
        <w:pStyle w:val="Heading1"/>
      </w:pPr>
      <w:r>
        <w:t>5. Data Retention</w:t>
      </w:r>
    </w:p>
    <w:p>
      <w:r>
        <w:t>Customer account data is retained for the duration of the business relationship plus 3 years after account closure. Financial records are retained for 7 years to comply with tax regulations. Marketing data is retained until consent is withdrawn.</w:t>
      </w:r>
    </w:p>
    <w:p>
      <w:pPr>
        <w:pStyle w:val="Heading1"/>
      </w:pPr>
      <w:r>
        <w:t>6. User Rights</w:t>
      </w:r>
    </w:p>
    <w:p>
      <w:r>
        <w:t>Users may request access to their personal data by emailing privacy@acmecorp.com. We aim to respond to access requests within 30 business days.</w:t>
      </w:r>
    </w:p>
    <w:p>
      <w:pPr>
        <w:pStyle w:val="Heading1"/>
      </w:pPr>
      <w:r>
        <w:t>7. Breach Notification</w:t>
      </w:r>
    </w:p>
    <w:p>
      <w:r>
        <w:t>In the event of a data breach affecting personal data, Acme Corp will notify affected individuals via email within a reasonable timeframe.</w:t>
      </w:r>
    </w:p>
    <w:p>
      <w:pPr>
        <w:pStyle w:val="Heading1"/>
      </w:pPr>
      <w:r>
        <w:t>8. International Transfers</w:t>
      </w:r>
    </w:p>
    <w:p>
      <w:r>
        <w:t>Acme Corp may transfer personal data to servers located in the United States. We rely on standard contractual clauses for international data transfers.</w:t>
      </w:r>
    </w:p>
    <w:p>
      <w:pPr>
        <w:pStyle w:val="Heading1"/>
      </w:pPr>
      <w:r>
        <w:t>9. Contact</w:t>
      </w:r>
    </w:p>
    <w:p>
      <w:r>
        <w:t>For privacy inquiries, contact our privacy team at privacy@acmecorp.com.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