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00" w:lineRule="auto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practitioner's demeanor may seem like an indicator of the diagnosis, giving patients a certain notion of diagnosis. If a practitioner seems somber, the patient may be lead to believe that their diagnosis is negative, regardless of the actual diagnosis. Personally, I am more trusting of a charismatic doctor, one that I can easily relate to and is sympathetic to what I’m going through. I would be more likely to follow doctor’s orders. This way I feel like I am being taken more seriously, making the doctor’s diagnosis seem more accurate. There situations where we might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prefer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a practitioner who is less friendly or compassionate, as sometimes a patient may just want straight facts. They may be overwhelmed with emotions and they just may better want to understand the illness.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