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jc w:val="center"/>
      </w:pPr>
      <w:r>
        <w:rPr>
          <w:rFonts w:ascii="Arial" w:cs="Arial" w:eastAsia="Arial" w:hAnsi="Arial"/>
          <w:b/>
          <w:bCs/>
          <w:color w:val="0D1F4E"/>
          <w:sz w:val="44"/>
          <w:szCs w:val="44"/>
        </w:rPr>
        <w:t xml:space="preserve">DIGITAL LITERACY &amp; ONLINE SAFETY</w:t>
      </w:r>
    </w:p>
    <w:p>
      <w:pPr>
        <w:spacing w:before="0" w:after="400"/>
        <w:jc w:val="center"/>
      </w:pPr>
      <w:r>
        <w:rPr>
          <w:rFonts w:ascii="Arial" w:cs="Arial" w:eastAsia="Arial" w:hAnsi="Arial"/>
          <w:color w:val="1A3A6E"/>
          <w:sz w:val="32"/>
          <w:szCs w:val="32"/>
        </w:rPr>
        <w:t xml:space="preserve">Project Report</w:t>
      </w:r>
    </w:p>
    <w:p>
      <w:pPr>
        <w:pBdr>
          <w:top w:val="single" w:color="0D1F4E" w:sz="6" w:space="2"/>
          <w:bottom w:val="single" w:color="0D1F4E" w:sz="6" w:space="2"/>
        </w:pBdr>
        <w:spacing w:before="160" w:after="160"/>
        <w:jc w:val="center"/>
      </w:pPr>
    </w:p>
    <w:p>
      <w:pPr>
        <w:spacing w:before="20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40"/>
            </w:tcMar>
          </w:tcPr>
          <w:p>
            <w:r>
              <w:rPr>
                <w:rFonts w:ascii="Arial" w:cs="Arial" w:eastAsia="Arial" w:hAnsi="Arial"/>
                <w:b/>
                <w:bCs/>
                <w:color w:val="0D1F4E"/>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2"/>
                <w:szCs w:val="22"/>
              </w:rPr>
              <w:t xml:space="preserve">Ananya Kumar</w:t>
            </w:r>
          </w:p>
        </w:tc>
      </w:tr>
      <w:tr>
        <w:tc>
          <w:tcPr>
            <w:tcW w:type="dxa" w:w="30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40"/>
            </w:tcMar>
          </w:tcPr>
          <w:p>
            <w:r>
              <w:rPr>
                <w:rFonts w:ascii="Arial" w:cs="Arial" w:eastAsia="Arial" w:hAnsi="Arial"/>
                <w:b/>
                <w:bCs/>
                <w:color w:val="0D1F4E"/>
                <w:sz w:val="22"/>
                <w:szCs w:val="22"/>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2"/>
                <w:szCs w:val="22"/>
              </w:rPr>
              <w:t xml:space="preserve">25BOE10055</w:t>
            </w:r>
          </w:p>
        </w:tc>
      </w:tr>
      <w:tr>
        <w:tc>
          <w:tcPr>
            <w:tcW w:type="dxa" w:w="30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40"/>
            </w:tcMar>
          </w:tcPr>
          <w:p>
            <w:r>
              <w:rPr>
                <w:rFonts w:ascii="Arial" w:cs="Arial" w:eastAsia="Arial" w:hAnsi="Arial"/>
                <w:b/>
                <w:bCs/>
                <w:color w:val="0D1F4E"/>
                <w:sz w:val="22"/>
                <w:szCs w:val="22"/>
              </w:rPr>
              <w:t xml:space="preserve">Branch</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2"/>
                <w:szCs w:val="22"/>
              </w:rPr>
              <w:t xml:space="preserve">Bioengineering</w:t>
            </w:r>
          </w:p>
        </w:tc>
      </w:tr>
      <w:tr>
        <w:tc>
          <w:tcPr>
            <w:tcW w:type="dxa" w:w="30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40"/>
            </w:tcMar>
          </w:tcPr>
          <w:p>
            <w:r>
              <w:rPr>
                <w:rFonts w:ascii="Arial" w:cs="Arial" w:eastAsia="Arial" w:hAnsi="Arial"/>
                <w:b/>
                <w:bCs/>
                <w:color w:val="0D1F4E"/>
                <w:sz w:val="22"/>
                <w:szCs w:val="22"/>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2"/>
                <w:szCs w:val="22"/>
              </w:rPr>
              <w:t xml:space="preserve">1st Year (2025–26)</w:t>
            </w:r>
          </w:p>
        </w:tc>
      </w:tr>
      <w:tr>
        <w:tc>
          <w:tcPr>
            <w:tcW w:type="dxa" w:w="30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40"/>
            </w:tcMar>
          </w:tcPr>
          <w:p>
            <w:r>
              <w:rPr>
                <w:rFonts w:ascii="Arial" w:cs="Arial" w:eastAsia="Arial" w:hAnsi="Arial"/>
                <w:b/>
                <w:bCs/>
                <w:color w:val="0D1F4E"/>
                <w:sz w:val="22"/>
                <w:szCs w:val="22"/>
              </w:rPr>
              <w:t xml:space="preserve">Course Code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2"/>
                <w:szCs w:val="22"/>
              </w:rPr>
              <w:t xml:space="preserve">CSE0001</w:t>
            </w:r>
          </w:p>
        </w:tc>
      </w:tr>
      <w:tr>
        <w:tc>
          <w:tcPr>
            <w:tcW w:type="dxa" w:w="30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40"/>
            </w:tcMar>
          </w:tcPr>
          <w:p>
            <w:r>
              <w:rPr>
                <w:rFonts w:ascii="Arial" w:cs="Arial" w:eastAsia="Arial" w:hAnsi="Arial"/>
                <w:b/>
                <w:bCs/>
                <w:color w:val="0D1F4E"/>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2"/>
                <w:szCs w:val="22"/>
              </w:rPr>
              <w:t xml:space="preserve">30-03-2026</w:t>
            </w:r>
          </w:p>
        </w:tc>
      </w:tr>
    </w:tbl>
    <w:p>
      <w:pPr>
        <w:spacing w:before="400" w:after="0"/>
      </w:pPr>
    </w:p>
    <w:p>
      <w:pPr>
        <w:spacing w:before="0" w:after="60"/>
        <w:jc w:val="center"/>
      </w:pPr>
      <w:r>
        <w:rPr>
          <w:rFonts w:ascii="Arial" w:cs="Arial" w:eastAsia="Arial" w:hAnsi="Arial"/>
          <w:b/>
          <w:bCs/>
          <w:color w:val="0D1F4E"/>
          <w:sz w:val="24"/>
          <w:szCs w:val="24"/>
        </w:rPr>
        <w:t xml:space="preserve">VIT Bhopal University</w:t>
      </w:r>
    </w:p>
    <w:p>
      <w:pPr>
        <w:jc w:val="center"/>
      </w:pPr>
      <w:r>
        <w:rPr>
          <w:rFonts w:ascii="Arial" w:cs="Arial" w:eastAsia="Arial" w:hAnsi="Arial"/>
          <w:color w:val="555555"/>
          <w:sz w:val="22"/>
          <w:szCs w:val="22"/>
        </w:rPr>
        <w:t xml:space="preserve">School of Computing Science and Engineering</w:t>
      </w:r>
    </w:p>
    <w:p>
      <w:pPr>
        <w:pageBreakBefore/>
      </w:pPr>
    </w:p>
    <w:p>
      <w:pPr>
        <w:pBdr>
          <w:bottom w:val="single" w:color="0D1F4E" w:sz="6" w:space="4"/>
        </w:pBdr>
        <w:spacing w:before="360" w:after="160"/>
      </w:pPr>
      <w:r>
        <w:rPr>
          <w:rFonts w:ascii="Arial" w:cs="Arial" w:eastAsia="Arial" w:hAnsi="Arial"/>
          <w:b/>
          <w:bCs/>
          <w:color w:val="0D1F4E"/>
          <w:sz w:val="28"/>
          <w:szCs w:val="28"/>
        </w:rPr>
        <w:t xml:space="preserve">Introduction</w:t>
      </w:r>
    </w:p>
    <w:p>
      <w:pPr>
        <w:spacing w:line="360" w:before="0" w:after="120"/>
      </w:pPr>
      <w:r>
        <w:rPr>
          <w:rFonts w:ascii="Arial" w:cs="Arial" w:eastAsia="Arial" w:hAnsi="Arial"/>
          <w:color w:val="222222"/>
          <w:sz w:val="24"/>
          <w:szCs w:val="24"/>
        </w:rPr>
        <w:t xml:space="preserve">This project report documents the work completed across five tasks as part of the Digital Literacy and Online Safety course (CSE0001) at VIT Bhopal University. The project was designed to equip first-year students with the knowledge and practical skills needed to navigate the digital world safely, responsibly, and effectively.</w:t>
      </w:r>
    </w:p>
    <w:p>
      <w:pPr>
        <w:spacing w:line="360" w:before="0" w:after="120"/>
      </w:pPr>
      <w:r>
        <w:rPr>
          <w:rFonts w:ascii="Arial" w:cs="Arial" w:eastAsia="Arial" w:hAnsi="Arial"/>
          <w:color w:val="222222"/>
          <w:sz w:val="24"/>
          <w:szCs w:val="24"/>
        </w:rPr>
        <w:t xml:space="preserve">As a Bioengineering student, developing digital literacy is essential — not only for academic research and collaboration, but also for building a professional presence and protecting personal data in an increasingly connected environment. Each task addressed a distinct aspect of digital life: creating educational content, building a professional online identity, practicing technical and quiz-based skills, understanding responsible digital communication, and learning to identify and report cybercrime.</w:t>
      </w:r>
    </w:p>
    <w:p>
      <w:pPr>
        <w:spacing w:line="360" w:before="0" w:after="120"/>
      </w:pPr>
      <w:r>
        <w:rPr>
          <w:rFonts w:ascii="Arial" w:cs="Arial" w:eastAsia="Arial" w:hAnsi="Arial"/>
          <w:color w:val="222222"/>
          <w:sz w:val="24"/>
          <w:szCs w:val="24"/>
        </w:rPr>
        <w:t xml:space="preserve">The tasks collectively covered tools such as Canva, LinkedIn, GitHub, Kaggle, HackerRank, and Google Forms, alongside critical concepts including UPI fraud, phishing, email etiquette, and responsible social media use. This report summarises the work done in each task, reflects on key learnings, and draws an overall conclusion about the importance of digital literacy for college students in India today.</w:t>
      </w:r>
    </w:p>
    <w:p>
      <w:pPr>
        <w:pageBreakBefore/>
      </w:pPr>
    </w:p>
    <w:p>
      <w:pPr>
        <w:pBdr>
          <w:bottom w:val="single" w:color="0D1F4E" w:sz="6" w:space="4"/>
        </w:pBdr>
        <w:spacing w:before="360" w:after="160"/>
      </w:pPr>
      <w:r>
        <w:rPr>
          <w:rFonts w:ascii="Arial" w:cs="Arial" w:eastAsia="Arial" w:hAnsi="Arial"/>
          <w:b/>
          <w:bCs/>
          <w:color w:val="0D1F4E"/>
          <w:sz w:val="28"/>
          <w:szCs w:val="28"/>
        </w:rPr>
        <w:t xml:space="preserve">Task 1 — Digital Literacy Presentation</w:t>
      </w:r>
    </w:p>
    <w:p>
      <w:pPr>
        <w:spacing w:before="240" w:after="100"/>
      </w:pPr>
      <w:r>
        <w:rPr>
          <w:rFonts w:ascii="Arial" w:cs="Arial" w:eastAsia="Arial" w:hAnsi="Arial"/>
          <w:b/>
          <w:bCs/>
          <w:color w:val="1A3A6E"/>
          <w:sz w:val="24"/>
          <w:szCs w:val="24"/>
        </w:rPr>
        <w:t xml:space="preserve">Tool Used</w:t>
      </w:r>
    </w:p>
    <w:p>
      <w:pPr>
        <w:spacing w:line="360" w:before="0" w:after="120"/>
      </w:pPr>
      <w:r>
        <w:rPr>
          <w:rFonts w:ascii="Arial" w:cs="Arial" w:eastAsia="Arial" w:hAnsi="Arial"/>
          <w:color w:val="222222"/>
          <w:sz w:val="24"/>
          <w:szCs w:val="24"/>
        </w:rPr>
        <w:t xml:space="preserve">The presentation for Task 1 was created using Canva, a free browser-based graphic design platform. Canva was chosen because it offers ready-made professional templates that can be customised without advanced design skills, making it ideal for a first-year student working on an academic presentation.</w:t>
      </w:r>
    </w:p>
    <w:p>
      <w:pPr>
        <w:spacing w:before="240" w:after="100"/>
      </w:pPr>
      <w:r>
        <w:rPr>
          <w:rFonts w:ascii="Arial" w:cs="Arial" w:eastAsia="Arial" w:hAnsi="Arial"/>
          <w:b/>
          <w:bCs/>
          <w:color w:val="1A3A6E"/>
          <w:sz w:val="24"/>
          <w:szCs w:val="24"/>
        </w:rPr>
        <w:t xml:space="preserve">What the Design Shows</w:t>
      </w:r>
    </w:p>
    <w:p>
      <w:pPr>
        <w:spacing w:line="360" w:before="0" w:after="120"/>
      </w:pPr>
      <w:r>
        <w:rPr>
          <w:rFonts w:ascii="Arial" w:cs="Arial" w:eastAsia="Arial" w:hAnsi="Arial"/>
          <w:color w:val="222222"/>
          <w:sz w:val="24"/>
          <w:szCs w:val="24"/>
        </w:rPr>
        <w:t xml:space="preserve">The presentation spans eight slides and covers the topic of Digital Literacy and Safe Internet Practices. It opens with a title slide, then progresses through a definition of digital literacy, its five key components — technical skills, information literacy, communication skills, digital ethics, and cyber awareness — and a breakdown of useful digital tools across four categories: research (Google Scholar, PubMed), note-taking (Notion, OneNote), cloud storage (Google Drive), and productivity (Trello, Google Calendar). The final content slides address safe internet practices, including protecting privacy, creating strong passwords, avoiding cyber threats, and understanding digital footprints.</w:t>
      </w:r>
    </w:p>
    <w:p>
      <w:pPr>
        <w:spacing w:before="240" w:after="100"/>
      </w:pPr>
      <w:r>
        <w:rPr>
          <w:rFonts w:ascii="Arial" w:cs="Arial" w:eastAsia="Arial" w:hAnsi="Arial"/>
          <w:b/>
          <w:bCs/>
          <w:color w:val="1A3A6E"/>
          <w:sz w:val="24"/>
          <w:szCs w:val="24"/>
        </w:rPr>
        <w:t xml:space="preserve">Challenge / Interesting Observation</w:t>
      </w:r>
    </w:p>
    <w:p>
      <w:pPr>
        <w:spacing w:line="360" w:before="0" w:after="120"/>
      </w:pPr>
      <w:r>
        <w:rPr>
          <w:rFonts w:ascii="Arial" w:cs="Arial" w:eastAsia="Arial" w:hAnsi="Arial"/>
          <w:color w:val="222222"/>
          <w:sz w:val="24"/>
          <w:szCs w:val="24"/>
        </w:rPr>
        <w:t xml:space="preserve">The most challenging aspect was condensing dense information — especially the key components and safe practices — into concise, scannable bullet points without losing meaning. Slides 3 and 7 had to be split into two slides each to avoid overcrowding. What I found most interesting was how closely digital literacy and cyber safety overlap: understanding your digital footprint is itself a literacy skill, not just a safety rule.</w:t>
      </w:r>
    </w:p>
    <w:p>
      <w:pPr>
        <w:pageBreakBefore/>
      </w:pPr>
    </w:p>
    <w:p>
      <w:pPr>
        <w:pBdr>
          <w:bottom w:val="single" w:color="0D1F4E" w:sz="6" w:space="4"/>
        </w:pBdr>
        <w:spacing w:before="360" w:after="160"/>
      </w:pPr>
      <w:r>
        <w:rPr>
          <w:rFonts w:ascii="Arial" w:cs="Arial" w:eastAsia="Arial" w:hAnsi="Arial"/>
          <w:b/>
          <w:bCs/>
          <w:color w:val="0D1F4E"/>
          <w:sz w:val="28"/>
          <w:szCs w:val="28"/>
        </w:rPr>
        <w:t xml:space="preserve">Task 2 — Professional Online Presence</w:t>
      </w:r>
    </w:p>
    <w:p>
      <w:pPr>
        <w:spacing w:before="240" w:after="100"/>
      </w:pPr>
      <w:r>
        <w:rPr>
          <w:rFonts w:ascii="Arial" w:cs="Arial" w:eastAsia="Arial" w:hAnsi="Arial"/>
          <w:b/>
          <w:bCs/>
          <w:color w:val="1A3A6E"/>
          <w:sz w:val="24"/>
          <w:szCs w:val="24"/>
        </w:rPr>
        <w:t xml:space="preserve">Platforms Chosen</w:t>
      </w:r>
    </w:p>
    <w:p>
      <w:pPr>
        <w:spacing w:line="360" w:before="0" w:after="120"/>
      </w:pPr>
      <w:r>
        <w:rPr>
          <w:rFonts w:ascii="Arial" w:cs="Arial" w:eastAsia="Arial" w:hAnsi="Arial"/>
          <w:color w:val="222222"/>
          <w:sz w:val="24"/>
          <w:szCs w:val="24"/>
        </w:rPr>
        <w:t xml:space="preserve">For Task 2, three professional platforms were set up and documented: LinkedIn, Kaggle, and GitHub.</w:t>
      </w:r>
    </w:p>
    <w:p>
      <w:pPr>
        <w:spacing w:before="240" w:after="100"/>
      </w:pPr>
      <w:r>
        <w:rPr>
          <w:rFonts w:ascii="Arial" w:cs="Arial" w:eastAsia="Arial" w:hAnsi="Arial"/>
          <w:b/>
          <w:bCs/>
          <w:color w:val="1A3A6E"/>
          <w:sz w:val="24"/>
          <w:szCs w:val="24"/>
        </w:rPr>
        <w:t xml:space="preserve">What Each Platform is Used For</w:t>
      </w:r>
    </w:p>
    <w:p>
      <w:pPr>
        <w:pStyle w:val="ListParagraph"/>
        <w:numPr>
          <w:ilvl w:val="0"/>
          <w:numId w:val="2"/>
        </w:numPr>
        <w:spacing w:line="360" w:before="40" w:after="80"/>
      </w:pPr>
      <w:r>
        <w:rPr>
          <w:rFonts w:ascii="Arial" w:cs="Arial" w:eastAsia="Arial" w:hAnsi="Arial"/>
          <w:color w:val="222222"/>
          <w:sz w:val="24"/>
          <w:szCs w:val="24"/>
        </w:rPr>
        <w:t xml:space="preserve">LinkedIn is a professional networking platform used to showcase academic background, skills, and career interests. It connects students with recruiters, professors, and industry professionals worldwide.</w:t>
      </w:r>
    </w:p>
    <w:p>
      <w:pPr>
        <w:pStyle w:val="ListParagraph"/>
        <w:numPr>
          <w:ilvl w:val="0"/>
          <w:numId w:val="2"/>
        </w:numPr>
        <w:spacing w:line="360" w:before="40" w:after="80"/>
      </w:pPr>
      <w:r>
        <w:rPr>
          <w:rFonts w:ascii="Arial" w:cs="Arial" w:eastAsia="Arial" w:hAnsi="Arial"/>
          <w:color w:val="222222"/>
          <w:sz w:val="24"/>
          <w:szCs w:val="24"/>
        </w:rPr>
        <w:t xml:space="preserve">Kaggle is a data science and machine learning community where users can access datasets, participate in competitions, complete guided learning courses, and build a portfolio of analytical work.</w:t>
      </w:r>
    </w:p>
    <w:p>
      <w:pPr>
        <w:pStyle w:val="ListParagraph"/>
        <w:numPr>
          <w:ilvl w:val="0"/>
          <w:numId w:val="2"/>
        </w:numPr>
        <w:spacing w:line="360" w:before="40" w:after="80"/>
      </w:pPr>
      <w:r>
        <w:rPr>
          <w:rFonts w:ascii="Arial" w:cs="Arial" w:eastAsia="Arial" w:hAnsi="Arial"/>
          <w:color w:val="222222"/>
          <w:sz w:val="24"/>
          <w:szCs w:val="24"/>
        </w:rPr>
        <w:t xml:space="preserve">GitHub is a version control and code hosting platform that allows developers and students to store, manage, and share code repositories. It is widely used to demonstrate programming projects to potential employers.</w:t>
      </w:r>
    </w:p>
    <w:p>
      <w:pPr>
        <w:spacing w:before="240" w:after="100"/>
      </w:pPr>
      <w:r>
        <w:rPr>
          <w:rFonts w:ascii="Arial" w:cs="Arial" w:eastAsia="Arial" w:hAnsi="Arial"/>
          <w:b/>
          <w:bCs/>
          <w:color w:val="1A3A6E"/>
          <w:sz w:val="24"/>
          <w:szCs w:val="24"/>
        </w:rPr>
        <w:t xml:space="preserve">How I Plan to Use Them Over the Next Four Years</w:t>
      </w:r>
    </w:p>
    <w:p>
      <w:pPr>
        <w:spacing w:line="360" w:before="0" w:after="120"/>
      </w:pPr>
      <w:r>
        <w:rPr>
          <w:rFonts w:ascii="Arial" w:cs="Arial" w:eastAsia="Arial" w:hAnsi="Arial"/>
          <w:color w:val="222222"/>
          <w:sz w:val="24"/>
          <w:szCs w:val="24"/>
        </w:rPr>
        <w:t xml:space="preserve">On LinkedIn, I will regularly update my profile with new skills, certifications, and project experiences, and aim to expand my network with researchers in genomics and biomedical engineering. On Kaggle, I plan to complete the beginner Python and data science courses in my first year, then participate in competitions related to healthcare datasets from second year onwards. On GitHub, I will upload coursework projects and, by my third year, maintain an active repository of biomedical ML projects. I have also earned a Python (Basic) certification on HackerRank, which I will continue building on with intermediate and advanced certifications over the coming years.</w:t>
      </w:r>
    </w:p>
    <w:p>
      <w:pPr>
        <w:pageBreakBefore/>
      </w:pPr>
    </w:p>
    <w:p>
      <w:pPr>
        <w:pBdr>
          <w:bottom w:val="single" w:color="0D1F4E" w:sz="6" w:space="4"/>
        </w:pBdr>
        <w:spacing w:before="360" w:after="160"/>
      </w:pPr>
      <w:r>
        <w:rPr>
          <w:rFonts w:ascii="Arial" w:cs="Arial" w:eastAsia="Arial" w:hAnsi="Arial"/>
          <w:b/>
          <w:bCs/>
          <w:color w:val="0D1F4E"/>
          <w:sz w:val="28"/>
          <w:szCs w:val="28"/>
        </w:rPr>
        <w:t xml:space="preserve">Task 3 — Digital Tools for Academic Use</w:t>
      </w:r>
    </w:p>
    <w:p>
      <w:pPr>
        <w:spacing w:before="240" w:after="100"/>
      </w:pPr>
      <w:r>
        <w:rPr>
          <w:rFonts w:ascii="Arial" w:cs="Arial" w:eastAsia="Arial" w:hAnsi="Arial"/>
          <w:b/>
          <w:bCs/>
          <w:color w:val="1A3A6E"/>
          <w:sz w:val="24"/>
          <w:szCs w:val="24"/>
        </w:rPr>
        <w:t xml:space="preserve">Platforms Used</w:t>
      </w:r>
    </w:p>
    <w:p>
      <w:pPr>
        <w:spacing w:line="360" w:before="0" w:after="120"/>
      </w:pPr>
      <w:r>
        <w:rPr>
          <w:rFonts w:ascii="Arial" w:cs="Arial" w:eastAsia="Arial" w:hAnsi="Arial"/>
          <w:color w:val="222222"/>
          <w:sz w:val="24"/>
          <w:szCs w:val="24"/>
        </w:rPr>
        <w:t xml:space="preserve">Task 3 involved two components: a Digital Literacy Awareness Quiz built using Google Forms, and the creation of a HackerRank profile for technical skill assessment.</w:t>
      </w:r>
    </w:p>
    <w:p>
      <w:pPr>
        <w:spacing w:before="240" w:after="100"/>
      </w:pPr>
      <w:r>
        <w:rPr>
          <w:rFonts w:ascii="Arial" w:cs="Arial" w:eastAsia="Arial" w:hAnsi="Arial"/>
          <w:b/>
          <w:bCs/>
          <w:color w:val="1A3A6E"/>
          <w:sz w:val="24"/>
          <w:szCs w:val="24"/>
        </w:rPr>
        <w:t xml:space="preserve">What Was Built or Practiced</w:t>
      </w:r>
    </w:p>
    <w:p>
      <w:pPr>
        <w:spacing w:line="360" w:before="0" w:after="120"/>
      </w:pPr>
      <w:r>
        <w:rPr>
          <w:rFonts w:ascii="Arial" w:cs="Arial" w:eastAsia="Arial" w:hAnsi="Arial"/>
          <w:color w:val="222222"/>
          <w:sz w:val="24"/>
          <w:szCs w:val="24"/>
        </w:rPr>
        <w:t xml:space="preserve">On Google Forms, I designed a three-question quiz titled “Digital Literacy Awareness Quiz” to test knowledge of safe and responsible digital technology use. The quiz was published and collected one response, which scored a perfect 30 out of 30 points. The form included questions on the definition of digital literacy, safe internet practices, and phishing, each worth 10 points. The Google Forms response dashboard was used to view score distribution and insights.</w:t>
      </w:r>
    </w:p>
    <w:p>
      <w:pPr>
        <w:spacing w:line="360" w:before="0" w:after="120"/>
      </w:pPr>
      <w:r>
        <w:rPr>
          <w:rFonts w:ascii="Arial" w:cs="Arial" w:eastAsia="Arial" w:hAnsi="Arial"/>
          <w:color w:val="222222"/>
          <w:sz w:val="24"/>
          <w:szCs w:val="24"/>
        </w:rPr>
        <w:t xml:space="preserve">On HackerRank, I created a profile (@ananya_25boe1001) and completed the Python (Basic) skill certification, which was verified and displayed on my profile. This demonstrated foundational programming competency relevant to my Bioengineering curriculum.</w:t>
      </w:r>
    </w:p>
    <w:p>
      <w:pPr>
        <w:spacing w:before="240" w:after="100"/>
      </w:pPr>
      <w:r>
        <w:rPr>
          <w:rFonts w:ascii="Arial" w:cs="Arial" w:eastAsia="Arial" w:hAnsi="Arial"/>
          <w:b/>
          <w:bCs/>
          <w:color w:val="1A3A6E"/>
          <w:sz w:val="24"/>
          <w:szCs w:val="24"/>
        </w:rPr>
        <w:t xml:space="preserve">Academic Value</w:t>
      </w:r>
    </w:p>
    <w:p>
      <w:pPr>
        <w:spacing w:line="360" w:before="0" w:after="120"/>
      </w:pPr>
      <w:r>
        <w:rPr>
          <w:rFonts w:ascii="Arial" w:cs="Arial" w:eastAsia="Arial" w:hAnsi="Arial"/>
          <w:color w:val="222222"/>
          <w:sz w:val="24"/>
          <w:szCs w:val="24"/>
        </w:rPr>
        <w:t xml:space="preserve">Google Forms is directly useful for academic tasks like peer surveys, project feedback collection, and self-assessment quizzes. HackerRank builds technical programming skills that are increasingly expected in biomedical engineering roles involving data analysis, instrumentation software, and machine learning. Both platforms help build a measurable, documented academic and technical record that complements classroom learning.</w:t>
      </w:r>
    </w:p>
    <w:p>
      <w:pPr>
        <w:pageBreakBefore/>
      </w:pPr>
    </w:p>
    <w:p>
      <w:pPr>
        <w:pBdr>
          <w:bottom w:val="single" w:color="0D1F4E" w:sz="6" w:space="4"/>
        </w:pBdr>
        <w:spacing w:before="360" w:after="160"/>
      </w:pPr>
      <w:r>
        <w:rPr>
          <w:rFonts w:ascii="Arial" w:cs="Arial" w:eastAsia="Arial" w:hAnsi="Arial"/>
          <w:b/>
          <w:bCs/>
          <w:color w:val="0D1F4E"/>
          <w:sz w:val="28"/>
          <w:szCs w:val="28"/>
        </w:rPr>
        <w:t xml:space="preserve">Task 4 — Digital Communication Skills</w:t>
      </w:r>
    </w:p>
    <w:p>
      <w:pPr>
        <w:spacing w:before="240" w:after="100"/>
      </w:pPr>
      <w:r>
        <w:rPr>
          <w:rFonts w:ascii="Arial" w:cs="Arial" w:eastAsia="Arial" w:hAnsi="Arial"/>
          <w:b/>
          <w:bCs/>
          <w:color w:val="1A3A6E"/>
          <w:sz w:val="24"/>
          <w:szCs w:val="24"/>
        </w:rPr>
        <w:t xml:space="preserve">Overview</w:t>
      </w:r>
    </w:p>
    <w:p>
      <w:pPr>
        <w:spacing w:line="360" w:before="0" w:after="120"/>
      </w:pPr>
      <w:r>
        <w:rPr>
          <w:rFonts w:ascii="Arial" w:cs="Arial" w:eastAsia="Arial" w:hAnsi="Arial"/>
          <w:color w:val="222222"/>
          <w:sz w:val="24"/>
          <w:szCs w:val="24"/>
        </w:rPr>
        <w:t xml:space="preserve">Task 4 covered two aspects of professional digital communication: formal email writing (Task 4A) and responsible social media use (Task 4B). Task 4A included two emails — one requesting a deadline extension from a professor, and one expressing interest in a summer internship at an organisation. Task 4B was a Do’s and Don’ts checklist for responsible social media use by college students.</w:t>
      </w:r>
    </w:p>
    <w:p>
      <w:pPr>
        <w:spacing w:before="240" w:after="100"/>
      </w:pPr>
      <w:r>
        <w:rPr>
          <w:rFonts w:ascii="Arial" w:cs="Arial" w:eastAsia="Arial" w:hAnsi="Arial"/>
          <w:b/>
          <w:bCs/>
          <w:color w:val="1A3A6E"/>
          <w:sz w:val="24"/>
          <w:szCs w:val="24"/>
        </w:rPr>
        <w:t xml:space="preserve">Situation Where Poor Digital Communication Caused a Problem</w:t>
      </w:r>
    </w:p>
    <w:p>
      <w:pPr>
        <w:spacing w:line="360" w:before="0" w:after="120"/>
      </w:pPr>
      <w:r>
        <w:rPr>
          <w:rFonts w:ascii="Arial" w:cs="Arial" w:eastAsia="Arial" w:hAnsi="Arial"/>
          <w:color w:val="222222"/>
          <w:sz w:val="24"/>
          <w:szCs w:val="24"/>
        </w:rPr>
        <w:t xml:space="preserve">A common real-world scenario involves a student sending a casual, poorly worded WhatsApp-style message to a professor asking for an extension — using abbreviations, no subject line, no salutation, and no explanation of the reason. The professor, receiving dozens of emails daily, may dismiss it as unprofessional or simply not respond, resulting in a missed deadline, a lower grade, or a damaged academic relationship.</w:t>
      </w:r>
    </w:p>
    <w:p>
      <w:pPr>
        <w:spacing w:line="360" w:before="0" w:after="120"/>
      </w:pPr>
      <w:r>
        <w:rPr>
          <w:rFonts w:ascii="Arial" w:cs="Arial" w:eastAsia="Arial" w:hAnsi="Arial"/>
          <w:color w:val="222222"/>
          <w:sz w:val="24"/>
          <w:szCs w:val="24"/>
        </w:rPr>
        <w:t xml:space="preserve">In Task 4A, the first email addresses exactly this situation: it opens with a respectful greeting, clearly states the course and current deadline, provides a specific reason (overlapping academic workload), requests a defined extension date (31st March 2026), and closes with an apology and thanks. Similarly, the internship email in Task 4B follows a structured format, introduces the student’s background, specifies relevant skills, and ends professionally.</w:t>
      </w:r>
    </w:p>
    <w:p>
      <w:pPr>
        <w:spacing w:before="240" w:after="100"/>
      </w:pPr>
      <w:r>
        <w:rPr>
          <w:rFonts w:ascii="Arial" w:cs="Arial" w:eastAsia="Arial" w:hAnsi="Arial"/>
          <w:b/>
          <w:bCs/>
          <w:color w:val="1A3A6E"/>
          <w:sz w:val="24"/>
          <w:szCs w:val="24"/>
        </w:rPr>
        <w:t xml:space="preserve">What Could Have Been Done Differently</w:t>
      </w:r>
    </w:p>
    <w:p>
      <w:pPr>
        <w:spacing w:line="360" w:before="0" w:after="120"/>
      </w:pPr>
      <w:r>
        <w:rPr>
          <w:rFonts w:ascii="Arial" w:cs="Arial" w:eastAsia="Arial" w:hAnsi="Arial"/>
          <w:color w:val="222222"/>
          <w:sz w:val="24"/>
          <w:szCs w:val="24"/>
        </w:rPr>
        <w:t xml:space="preserve">In the hypothetical poor-communication scenario, the student should have used a clear subject line such as “Request for Assignment Extension — Human Physiology,” addressed the professor formally, given a genuine and specific reason, and proposed a realistic new deadline. Tone, structure, and completeness are as important in digital communication as they are in face-to-face conversation. The checklist in Task 4B reinforces this: think before you post or send, share accurate information, and maintain a professional and respectful tone online at all times.</w:t>
      </w:r>
    </w:p>
    <w:p>
      <w:pPr>
        <w:pageBreakBefore/>
      </w:pPr>
    </w:p>
    <w:p>
      <w:pPr>
        <w:pBdr>
          <w:bottom w:val="single" w:color="0D1F4E" w:sz="6" w:space="4"/>
        </w:pBdr>
        <w:spacing w:before="360" w:after="160"/>
      </w:pPr>
      <w:r>
        <w:rPr>
          <w:rFonts w:ascii="Arial" w:cs="Arial" w:eastAsia="Arial" w:hAnsi="Arial"/>
          <w:b/>
          <w:bCs/>
          <w:color w:val="0D1F4E"/>
          <w:sz w:val="28"/>
          <w:szCs w:val="28"/>
        </w:rPr>
        <w:t xml:space="preserve">Task 5 — Cybercrime Awareness &amp; Online Safety</w:t>
      </w:r>
    </w:p>
    <w:p>
      <w:pPr>
        <w:spacing w:before="240" w:after="100"/>
      </w:pPr>
      <w:r>
        <w:rPr>
          <w:rFonts w:ascii="Arial" w:cs="Arial" w:eastAsia="Arial" w:hAnsi="Arial"/>
          <w:b/>
          <w:bCs/>
          <w:color w:val="1A3A6E"/>
          <w:sz w:val="24"/>
          <w:szCs w:val="24"/>
        </w:rPr>
        <w:t xml:space="preserve">Overview</w:t>
      </w:r>
    </w:p>
    <w:p>
      <w:pPr>
        <w:spacing w:line="360" w:before="0" w:after="120"/>
      </w:pPr>
      <w:r>
        <w:rPr>
          <w:rFonts w:ascii="Arial" w:cs="Arial" w:eastAsia="Arial" w:hAnsi="Arial"/>
          <w:color w:val="222222"/>
          <w:sz w:val="24"/>
          <w:szCs w:val="24"/>
        </w:rPr>
        <w:t xml:space="preserve">Task 5 had two parts: a case study on UPI Payment Fraud (Task 5A), and a Stay Safe Online checklist for college students in India (Task 5B). The UPI fraud case study described how a scammer posing as a buyer on OLX sent a fake “collect request” to a seller named Rahul, who entered his UPI PIN believing he would receive money — instead losing ₹45,000 instantly.</w:t>
      </w:r>
    </w:p>
    <w:p>
      <w:pPr>
        <w:spacing w:before="240" w:after="100"/>
      </w:pPr>
      <w:r>
        <w:rPr>
          <w:rFonts w:ascii="Arial" w:cs="Arial" w:eastAsia="Arial" w:hAnsi="Arial"/>
          <w:b/>
          <w:bCs/>
          <w:color w:val="1A3A6E"/>
          <w:sz w:val="24"/>
          <w:szCs w:val="24"/>
        </w:rPr>
        <w:t xml:space="preserve">What Surprised Me Most</w:t>
      </w:r>
    </w:p>
    <w:p>
      <w:pPr>
        <w:spacing w:line="360" w:before="0" w:after="120"/>
      </w:pPr>
      <w:r>
        <w:rPr>
          <w:rFonts w:ascii="Arial" w:cs="Arial" w:eastAsia="Arial" w:hAnsi="Arial"/>
          <w:color w:val="222222"/>
          <w:sz w:val="24"/>
          <w:szCs w:val="24"/>
        </w:rPr>
        <w:t xml:space="preserve">The most surprising finding while researching this topic was how technically simple the UPI collect request scam actually is. There is no hacking, no malware, and no sophisticated code involved — just a fundamental misunderstanding of how UPI works. The victim is not careless; they are genuinely confused by a UI that looks identical whether you are sending or receiving money. This reveals that cybercrime does not always require technical sophistication: social engineering and exploiting knowledge gaps are often far more effective. It also highlighted that even well-educated people are vulnerable, which makes awareness campaigns critically important.</w:t>
      </w:r>
    </w:p>
    <w:p>
      <w:pPr>
        <w:spacing w:before="240" w:after="100"/>
      </w:pPr>
      <w:r>
        <w:rPr>
          <w:rFonts w:ascii="Arial" w:cs="Arial" w:eastAsia="Arial" w:hAnsi="Arial"/>
          <w:b/>
          <w:bCs/>
          <w:color w:val="1A3A6E"/>
          <w:sz w:val="24"/>
          <w:szCs w:val="24"/>
        </w:rPr>
        <w:t xml:space="preserve">One Habit I Will Personally Change</w:t>
      </w:r>
    </w:p>
    <w:p>
      <w:pPr>
        <w:spacing w:line="360" w:before="0" w:after="120"/>
      </w:pPr>
      <w:r>
        <w:rPr>
          <w:rFonts w:ascii="Arial" w:cs="Arial" w:eastAsia="Arial" w:hAnsi="Arial"/>
          <w:color w:val="222222"/>
          <w:sz w:val="24"/>
          <w:szCs w:val="24"/>
        </w:rPr>
        <w:t xml:space="preserve">After completing this task, I will make it a habit to pause and verify before approving any UPI transaction — even if it appears to come from a known contact. I will also ensure that I never approve a collect request from an unknown number, regardless of how convincing the explanation sounds. The key safeguard is now firmly in my memory: you never need to enter your UPI PIN to receive money. If someone asks you to enter a PIN to get paid, it is a scam. I also plan to share the cybercrime reporting channels — Helpline 1930 and cybercrime.gov.in — with family members who may be less digitally aware.</w:t>
      </w:r>
    </w:p>
    <w:p>
      <w:pPr>
        <w:pageBreakBefore/>
      </w:pPr>
    </w:p>
    <w:p>
      <w:pPr>
        <w:pBdr>
          <w:bottom w:val="single" w:color="0D1F4E" w:sz="6" w:space="4"/>
        </w:pBdr>
        <w:spacing w:before="360" w:after="160"/>
      </w:pPr>
      <w:r>
        <w:rPr>
          <w:rFonts w:ascii="Arial" w:cs="Arial" w:eastAsia="Arial" w:hAnsi="Arial"/>
          <w:b/>
          <w:bCs/>
          <w:color w:val="0D1F4E"/>
          <w:sz w:val="28"/>
          <w:szCs w:val="28"/>
        </w:rPr>
        <w:t xml:space="preserve">Conclusion</w:t>
      </w:r>
    </w:p>
    <w:p>
      <w:pPr>
        <w:spacing w:line="360" w:before="0" w:after="120"/>
      </w:pPr>
      <w:r>
        <w:rPr>
          <w:rFonts w:ascii="Arial" w:cs="Arial" w:eastAsia="Arial" w:hAnsi="Arial"/>
          <w:color w:val="222222"/>
          <w:sz w:val="24"/>
          <w:szCs w:val="24"/>
        </w:rPr>
        <w:t xml:space="preserve">This project provided a comprehensive and practical introduction to digital literacy as a first-year Bioengineering student. Across five tasks, I developed skills in digital content creation, professional networking, technical certification, formal communication, and cybercrime awareness. I learned that digital literacy is not a single skill but a set of interconnected competencies — knowing how to use tools, how to communicate professionally, how to build a visible and credible online identity, and how to protect oneself from increasingly sophisticated cyber threats.</w:t>
      </w:r>
    </w:p>
    <w:p>
      <w:pPr>
        <w:spacing w:line="360" w:before="0" w:after="120"/>
      </w:pPr>
      <w:r>
        <w:rPr>
          <w:rFonts w:ascii="Arial" w:cs="Arial" w:eastAsia="Arial" w:hAnsi="Arial"/>
          <w:color w:val="222222"/>
          <w:sz w:val="24"/>
          <w:szCs w:val="24"/>
        </w:rPr>
        <w:t xml:space="preserve">The most impactful realisation was that safety and literacy are inseparable: understanding how UPI works is both a financial literacy skill and a cyber safety skill. Moving forward, I intend to apply every lesson from this project — from maintaining my GitHub and Kaggle profiles to always verifying payment requests before acting — as active habits rather than one-time exercises.</w:t>
      </w:r>
    </w:p>
    <w:p>
      <w:pPr>
        <w:pageBreakBefore/>
      </w:pPr>
    </w:p>
    <w:p>
      <w:pPr>
        <w:pBdr>
          <w:bottom w:val="single" w:color="0D1F4E" w:sz="6" w:space="4"/>
        </w:pBdr>
        <w:spacing w:before="360" w:after="160"/>
      </w:pPr>
      <w:r>
        <w:rPr>
          <w:rFonts w:ascii="Arial" w:cs="Arial" w:eastAsia="Arial" w:hAnsi="Arial"/>
          <w:b/>
          <w:bCs/>
          <w:color w:val="0D1F4E"/>
          <w:sz w:val="28"/>
          <w:szCs w:val="28"/>
        </w:rPr>
        <w:t xml:space="preserve">References</w:t>
      </w:r>
    </w:p>
    <w:p>
      <w:pPr>
        <w:spacing w:before="240" w:after="100"/>
      </w:pPr>
      <w:r>
        <w:rPr>
          <w:rFonts w:ascii="Arial" w:cs="Arial" w:eastAsia="Arial" w:hAnsi="Arial"/>
          <w:b/>
          <w:bCs/>
          <w:color w:val="1A3A6E"/>
          <w:sz w:val="24"/>
          <w:szCs w:val="24"/>
        </w:rPr>
        <w:t xml:space="preserve">Tools &amp; Platforms Used</w:t>
      </w:r>
    </w:p>
    <w:p>
      <w:pPr>
        <w:pStyle w:val="ListParagraph"/>
        <w:numPr>
          <w:ilvl w:val="0"/>
          <w:numId w:val="2"/>
        </w:numPr>
        <w:spacing w:line="360" w:before="40" w:after="80"/>
      </w:pPr>
      <w:r>
        <w:rPr>
          <w:rFonts w:ascii="Arial" w:cs="Arial" w:eastAsia="Arial" w:hAnsi="Arial"/>
          <w:color w:val="222222"/>
          <w:sz w:val="24"/>
          <w:szCs w:val="24"/>
        </w:rPr>
        <w:t xml:space="preserve">Canva — canva.com (Task 1: Presentation design)</w:t>
      </w:r>
    </w:p>
    <w:p>
      <w:pPr>
        <w:pStyle w:val="ListParagraph"/>
        <w:numPr>
          <w:ilvl w:val="0"/>
          <w:numId w:val="2"/>
        </w:numPr>
        <w:spacing w:line="360" w:before="40" w:after="80"/>
      </w:pPr>
      <w:r>
        <w:rPr>
          <w:rFonts w:ascii="Arial" w:cs="Arial" w:eastAsia="Arial" w:hAnsi="Arial"/>
          <w:color w:val="222222"/>
          <w:sz w:val="24"/>
          <w:szCs w:val="24"/>
        </w:rPr>
        <w:t xml:space="preserve">LinkedIn — linkedin.com (Task 2: Professional networking)</w:t>
      </w:r>
    </w:p>
    <w:p>
      <w:pPr>
        <w:pStyle w:val="ListParagraph"/>
        <w:numPr>
          <w:ilvl w:val="0"/>
          <w:numId w:val="2"/>
        </w:numPr>
        <w:spacing w:line="360" w:before="40" w:after="80"/>
      </w:pPr>
      <w:r>
        <w:rPr>
          <w:rFonts w:ascii="Arial" w:cs="Arial" w:eastAsia="Arial" w:hAnsi="Arial"/>
          <w:color w:val="222222"/>
          <w:sz w:val="24"/>
          <w:szCs w:val="24"/>
        </w:rPr>
        <w:t xml:space="preserve">Kaggle — kaggle.com (Task 2: Data science portfolio)</w:t>
      </w:r>
    </w:p>
    <w:p>
      <w:pPr>
        <w:pStyle w:val="ListParagraph"/>
        <w:numPr>
          <w:ilvl w:val="0"/>
          <w:numId w:val="2"/>
        </w:numPr>
        <w:spacing w:line="360" w:before="40" w:after="80"/>
      </w:pPr>
      <w:r>
        <w:rPr>
          <w:rFonts w:ascii="Arial" w:cs="Arial" w:eastAsia="Arial" w:hAnsi="Arial"/>
          <w:color w:val="222222"/>
          <w:sz w:val="24"/>
          <w:szCs w:val="24"/>
        </w:rPr>
        <w:t xml:space="preserve">GitHub — github.com (Task 2: Code repository)</w:t>
      </w:r>
    </w:p>
    <w:p>
      <w:pPr>
        <w:pStyle w:val="ListParagraph"/>
        <w:numPr>
          <w:ilvl w:val="0"/>
          <w:numId w:val="2"/>
        </w:numPr>
        <w:spacing w:line="360" w:before="40" w:after="80"/>
      </w:pPr>
      <w:r>
        <w:rPr>
          <w:rFonts w:ascii="Arial" w:cs="Arial" w:eastAsia="Arial" w:hAnsi="Arial"/>
          <w:color w:val="222222"/>
          <w:sz w:val="24"/>
          <w:szCs w:val="24"/>
        </w:rPr>
        <w:t xml:space="preserve">HackerRank — hackerrank.com (Task 3: Python Basic Certification)</w:t>
      </w:r>
    </w:p>
    <w:p>
      <w:pPr>
        <w:pStyle w:val="ListParagraph"/>
        <w:numPr>
          <w:ilvl w:val="0"/>
          <w:numId w:val="2"/>
        </w:numPr>
        <w:spacing w:line="360" w:before="40" w:after="80"/>
      </w:pPr>
      <w:r>
        <w:rPr>
          <w:rFonts w:ascii="Arial" w:cs="Arial" w:eastAsia="Arial" w:hAnsi="Arial"/>
          <w:color w:val="222222"/>
          <w:sz w:val="24"/>
          <w:szCs w:val="24"/>
        </w:rPr>
        <w:t xml:space="preserve">Google Forms — forms.google.com (Task 3: Digital Literacy Quiz)</w:t>
      </w:r>
    </w:p>
    <w:p>
      <w:pPr>
        <w:spacing w:before="240" w:after="100"/>
      </w:pPr>
      <w:r>
        <w:rPr>
          <w:rFonts w:ascii="Arial" w:cs="Arial" w:eastAsia="Arial" w:hAnsi="Arial"/>
          <w:b/>
          <w:bCs/>
          <w:color w:val="1A3A6E"/>
          <w:sz w:val="24"/>
          <w:szCs w:val="24"/>
        </w:rPr>
        <w:t xml:space="preserve">Cybercrime Reporting Channels</w:t>
      </w:r>
    </w:p>
    <w:p>
      <w:pPr>
        <w:pStyle w:val="ListParagraph"/>
        <w:numPr>
          <w:ilvl w:val="0"/>
          <w:numId w:val="2"/>
        </w:numPr>
        <w:spacing w:line="360" w:before="40" w:after="80"/>
      </w:pPr>
      <w:r>
        <w:rPr>
          <w:rFonts w:ascii="Arial" w:cs="Arial" w:eastAsia="Arial" w:hAnsi="Arial"/>
          <w:color w:val="222222"/>
          <w:sz w:val="24"/>
          <w:szCs w:val="24"/>
        </w:rPr>
        <w:t xml:space="preserve">National Cyber Crime Portal: cybercrime.gov.in</w:t>
      </w:r>
    </w:p>
    <w:p>
      <w:pPr>
        <w:pStyle w:val="ListParagraph"/>
        <w:numPr>
          <w:ilvl w:val="0"/>
          <w:numId w:val="2"/>
        </w:numPr>
        <w:spacing w:line="360" w:before="40" w:after="80"/>
      </w:pPr>
      <w:r>
        <w:rPr>
          <w:rFonts w:ascii="Arial" w:cs="Arial" w:eastAsia="Arial" w:hAnsi="Arial"/>
          <w:color w:val="222222"/>
          <w:sz w:val="24"/>
          <w:szCs w:val="24"/>
        </w:rPr>
        <w:t xml:space="preserve">National Cybercrime Helpline: 1930 (24x7, India)</w:t>
      </w:r>
    </w:p>
    <w:p>
      <w:pPr>
        <w:spacing w:before="240" w:after="100"/>
      </w:pPr>
      <w:r>
        <w:rPr>
          <w:rFonts w:ascii="Arial" w:cs="Arial" w:eastAsia="Arial" w:hAnsi="Arial"/>
          <w:b/>
          <w:bCs/>
          <w:color w:val="1A3A6E"/>
          <w:sz w:val="24"/>
          <w:szCs w:val="24"/>
        </w:rPr>
        <w:t xml:space="preserve">Concepts Referenced</w:t>
      </w:r>
    </w:p>
    <w:p>
      <w:pPr>
        <w:pStyle w:val="ListParagraph"/>
        <w:numPr>
          <w:ilvl w:val="0"/>
          <w:numId w:val="2"/>
        </w:numPr>
        <w:spacing w:line="360" w:before="40" w:after="80"/>
      </w:pPr>
      <w:r>
        <w:rPr>
          <w:rFonts w:ascii="Arial" w:cs="Arial" w:eastAsia="Arial" w:hAnsi="Arial"/>
          <w:color w:val="222222"/>
          <w:sz w:val="24"/>
          <w:szCs w:val="24"/>
        </w:rPr>
        <w:t xml:space="preserve">National Payments Corporation of India (NPCI) — UPI payment guidelines</w:t>
      </w:r>
    </w:p>
    <w:p>
      <w:pPr>
        <w:pStyle w:val="ListParagraph"/>
        <w:numPr>
          <w:ilvl w:val="0"/>
          <w:numId w:val="2"/>
        </w:numPr>
        <w:spacing w:line="360" w:before="40" w:after="80"/>
      </w:pPr>
      <w:r>
        <w:rPr>
          <w:rFonts w:ascii="Arial" w:cs="Arial" w:eastAsia="Arial" w:hAnsi="Arial"/>
          <w:color w:val="222222"/>
          <w:sz w:val="24"/>
          <w:szCs w:val="24"/>
        </w:rPr>
        <w:t xml:space="preserve">Reserve Bank of India (RBI) — Consumer alerts on UPI fraud</w:t>
      </w:r>
    </w:p>
    <w:p>
      <w:pPr>
        <w:pStyle w:val="ListParagraph"/>
        <w:numPr>
          <w:ilvl w:val="0"/>
          <w:numId w:val="2"/>
        </w:numPr>
        <w:spacing w:line="360" w:before="40" w:after="80"/>
      </w:pPr>
      <w:r>
        <w:rPr>
          <w:rFonts w:ascii="Arial" w:cs="Arial" w:eastAsia="Arial" w:hAnsi="Arial"/>
          <w:color w:val="222222"/>
          <w:sz w:val="24"/>
          <w:szCs w:val="24"/>
        </w:rPr>
        <w:t xml:space="preserve">VIT Bhopal University Course: CSE0001 — Digital Literacy &amp; Online Safety (2025–26)</w:t>
      </w:r>
    </w:p>
    <w:p>
      <w:pPr>
        <w:spacing w:before="200"/>
      </w:pPr>
    </w:p>
    <w:p>
      <w:pPr>
        <w:pBdr>
          <w:top w:val="single" w:color="0D1F4E" w:sz="4" w:space="4"/>
        </w:pBdr>
        <w:spacing w:before="200"/>
        <w:jc w:val="center"/>
      </w:pPr>
      <w:r>
        <w:rPr>
          <w:rFonts w:ascii="Arial" w:cs="Arial" w:eastAsia="Arial" w:hAnsi="Arial"/>
          <w:i/>
          <w:iCs/>
          <w:color w:val="888888"/>
          <w:sz w:val="18"/>
          <w:szCs w:val="18"/>
        </w:rPr>
        <w:t xml:space="preserve">End of Report  —  Ananya Kumar  |  25BOE10055  |  CSE0001  |  30-03-2026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F4E" w:sz="4" w:space="4"/>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F4E" w:sz="4" w:space="4"/>
      </w:pBdr>
    </w:pPr>
    <w:r>
      <w:rPr>
        <w:rFonts w:ascii="Arial" w:cs="Arial" w:eastAsia="Arial" w:hAnsi="Arial"/>
        <w:color w:val="777777"/>
        <w:sz w:val="18"/>
        <w:szCs w:val="18"/>
      </w:rPr>
      <w:t xml:space="preserve">Digital Literacy Project Report  |  Ananya Kumar  |  25BOE10055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2026-03-30T12:53:58.398Z</dcterms:created>
  <dcterms:modified xsi:type="dcterms:W3CDTF">2026-03-30T12:53:58.398Z</dcterms:modified>
</cp:coreProperties>
</file>

<file path=docProps/custom.xml><?xml version="1.0" encoding="utf-8"?>
<Properties xmlns="http://schemas.openxmlformats.org/officeDocument/2006/custom-properties" xmlns:vt="http://schemas.openxmlformats.org/officeDocument/2006/docPropsVTypes"/>
</file>