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Autonomous Opportunistic Science &amp; AEGIS Targeting</w:t>
      </w:r>
    </w:p>
    <w:p>
      <w:r>
        <w:rPr>
          <w:b/>
          <w:color w:val="4A5568"/>
          <w:sz w:val="22"/>
        </w:rPr>
        <w:t>Multispectral Mineralogy, Geomorphological Stratigraphy &amp; Dynamic Target Scheduling</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APPS-SPEC-L4-PART19-OPP-SCIENCE</w:t>
        <w:br/>
        <w:t>Milestone Tier: Level 4 Research Prototype Specification (Volume 2 of 10)</w:t>
        <w:br/>
        <w:t>Standard Mapping: NASA SP-2016-6105 / NPR 7150.2B Class B Architecture Reference</w:t>
        <w:br/>
        <w:t>Total Pages: 37 Pages (Strict Volume Allocation)</w:t>
      </w:r>
    </w:p>
    <w:p>
      <w:r>
        <w:rPr>
          <w:b/>
          <w:color w:val="2B6CB0"/>
          <w:sz w:val="19"/>
        </w:rPr>
        <w:t>VOLUME SUMMARY: Specifies autonomous opportunistic science target detection, multispectral geomorphology classification, SuperCam/ChemCam LIBS AEGIS-style targeting, and science priority scheduling.</w:t>
      </w:r>
    </w:p>
    <w:p>
      <w:r>
        <w:br w:type="page"/>
      </w:r>
    </w:p>
    <w:p>
      <w:r>
        <w:rPr>
          <w:b/>
          <w:color w:val="1A365D"/>
          <w:sz w:val="28"/>
        </w:rPr>
        <w:t>Chapter 280. Executive Summary &amp; Autonomous Science Architecture</w:t>
      </w:r>
    </w:p>
    <w:p>
      <w:r>
        <w:rPr>
          <w:sz w:val="19"/>
        </w:rPr>
        <w:t>Context &amp; Operational Boundaries: Defines the onboard scientific perception framework, opportunistic target ranking, and safety-gated execution.</w:t>
      </w:r>
    </w:p>
    <w:p>
      <w:pPr>
        <w:pStyle w:val="ListBullet"/>
      </w:pPr>
      <w:r>
        <w:rPr>
          <w:b/>
        </w:rPr>
        <w:t xml:space="preserve">Science Autonomy Scope: </w:t>
      </w:r>
      <w:r>
        <w:t>Enables autonomous discovery and observation of high-value geological targets during long-distance traverses without ground communication.</w:t>
      </w:r>
    </w:p>
    <w:p>
      <w:pPr>
        <w:pStyle w:val="ListBullet"/>
      </w:pPr>
      <w:r>
        <w:rPr>
          <w:b/>
        </w:rPr>
        <w:t xml:space="preserve">Safety-Gated Observation: </w:t>
      </w:r>
      <w:r>
        <w:t>Autonomous laser and arm actions are constrained by strict stand-off distance and power-state interlocks.</w:t>
      </w:r>
    </w:p>
    <w:p>
      <w:pPr>
        <w:pStyle w:val="ListBullet"/>
      </w:pPr>
      <w:r>
        <w:rPr>
          <w:b/>
        </w:rPr>
        <w:t xml:space="preserve">Data Volume Prioritization: </w:t>
      </w:r>
      <w:r>
        <w:t>Onboard Bayesian utility functions rank scientific products to optimize limited Deep Space Network (DSN) downlinks.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Science Instrument</w:t>
            </w:r>
          </w:p>
        </w:tc>
        <w:tc>
          <w:tcPr>
            <w:tcW w:type="dxa" w:w="2520"/>
            <w:shd w:fill="1A365D"/>
          </w:tcPr>
          <w:p>
            <w:r>
              <w:rPr>
                <w:b/>
                <w:color w:val="FFFFFF"/>
              </w:rPr>
              <w:t>Sensing Modality</w:t>
            </w:r>
          </w:p>
        </w:tc>
        <w:tc>
          <w:tcPr>
            <w:tcW w:type="dxa" w:w="2520"/>
            <w:shd w:fill="1A365D"/>
          </w:tcPr>
          <w:p>
            <w:r>
              <w:rPr>
                <w:b/>
                <w:color w:val="FFFFFF"/>
              </w:rPr>
              <w:t>Spatial / Spectral Resolution</w:t>
            </w:r>
          </w:p>
        </w:tc>
        <w:tc>
          <w:tcPr>
            <w:tcW w:type="dxa" w:w="2520"/>
            <w:shd w:fill="1A365D"/>
          </w:tcPr>
          <w:p>
            <w:r>
              <w:rPr>
                <w:b/>
                <w:color w:val="FFFFFF"/>
              </w:rPr>
              <w:t>Autonomous Task</w:t>
            </w:r>
          </w:p>
        </w:tc>
      </w:tr>
      <w:tr>
        <w:tc>
          <w:tcPr>
            <w:tcW w:type="dxa" w:w="2520"/>
          </w:tcPr>
          <w:p>
            <w:r>
              <w:t>Multispectral Navcam</w:t>
            </w:r>
          </w:p>
        </w:tc>
        <w:tc>
          <w:tcPr>
            <w:tcW w:type="dxa" w:w="2520"/>
          </w:tcPr>
          <w:p>
            <w:r>
              <w:t>12-Band VNIR Filter Wheel</w:t>
            </w:r>
          </w:p>
        </w:tc>
        <w:tc>
          <w:tcPr>
            <w:tcW w:type="dxa" w:w="2520"/>
          </w:tcPr>
          <w:p>
            <w:r>
              <w:t>1024x1024 px, 400 - 1000 nm</w:t>
            </w:r>
          </w:p>
        </w:tc>
        <w:tc>
          <w:tcPr>
            <w:tcW w:type="dxa" w:w="2520"/>
          </w:tcPr>
          <w:p>
            <w:r>
              <w:t>Rock Float vs Bedrock Segmentation</w:t>
            </w:r>
          </w:p>
        </w:tc>
      </w:tr>
      <w:tr>
        <w:tc>
          <w:tcPr>
            <w:tcW w:type="dxa" w:w="2520"/>
          </w:tcPr>
          <w:p>
            <w:r>
              <w:t>Micro-Imager / Mastcam-Z</w:t>
            </w:r>
          </w:p>
        </w:tc>
        <w:tc>
          <w:tcPr>
            <w:tcW w:type="dxa" w:w="2520"/>
          </w:tcPr>
          <w:p>
            <w:r>
              <w:t>Color Focus Stacking</w:t>
            </w:r>
          </w:p>
        </w:tc>
        <w:tc>
          <w:tcPr>
            <w:tcW w:type="dxa" w:w="2520"/>
          </w:tcPr>
          <w:p>
            <w:r>
              <w:t>0.15 mm/px at 1.5 m</w:t>
            </w:r>
          </w:p>
        </w:tc>
        <w:tc>
          <w:tcPr>
            <w:tcW w:type="dxa" w:w="2520"/>
          </w:tcPr>
          <w:p>
            <w:r>
              <w:t>Grain Size &amp; Cross-Bedding Audit</w:t>
            </w:r>
          </w:p>
        </w:tc>
      </w:tr>
      <w:tr>
        <w:tc>
          <w:tcPr>
            <w:tcW w:type="dxa" w:w="2520"/>
          </w:tcPr>
          <w:p>
            <w:r>
              <w:t>Laser Spectrometer (LIBS)</w:t>
            </w:r>
          </w:p>
        </w:tc>
        <w:tc>
          <w:tcPr>
            <w:tcW w:type="dxa" w:w="2520"/>
          </w:tcPr>
          <w:p>
            <w:r>
              <w:t>SuperCam Time-of-Flight</w:t>
            </w:r>
          </w:p>
        </w:tc>
        <w:tc>
          <w:tcPr>
            <w:tcW w:type="dxa" w:w="2520"/>
          </w:tcPr>
          <w:p>
            <w:r>
              <w:t>350 - 850 nm Emission Lines</w:t>
            </w:r>
          </w:p>
        </w:tc>
        <w:tc>
          <w:tcPr>
            <w:tcW w:type="dxa" w:w="2520"/>
          </w:tcPr>
          <w:p>
            <w:r>
              <w:t>AEGIS Elemental Composition Strike</w:t>
            </w:r>
          </w:p>
        </w:tc>
      </w:tr>
    </w:tbl>
    <w:p>
      <w:r>
        <w:br w:type="page"/>
      </w:r>
    </w:p>
    <w:p>
      <w:r>
        <w:rPr>
          <w:b/>
          <w:color w:val="1A365D"/>
          <w:sz w:val="28"/>
        </w:rPr>
        <w:t>Table of Contents — Volume 2 (Part 19)</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280</w:t>
            </w:r>
          </w:p>
        </w:tc>
        <w:tc>
          <w:tcPr>
            <w:tcW w:type="dxa" w:w="3360"/>
          </w:tcPr>
          <w:p>
            <w:r>
              <w:t>Chapter 280.1: Multispectral Geological Segmentation</w:t>
            </w:r>
          </w:p>
        </w:tc>
      </w:tr>
      <w:tr>
        <w:tc>
          <w:tcPr>
            <w:tcW w:type="dxa" w:w="3360"/>
          </w:tcPr>
          <w:p>
            <w:r>
              <w:t>Page 5</w:t>
            </w:r>
          </w:p>
        </w:tc>
        <w:tc>
          <w:tcPr>
            <w:tcW w:type="dxa" w:w="3360"/>
          </w:tcPr>
          <w:p>
            <w:r>
              <w:t>Ch. 280</w:t>
            </w:r>
          </w:p>
        </w:tc>
        <w:tc>
          <w:tcPr>
            <w:tcW w:type="dxa" w:w="3360"/>
          </w:tcPr>
          <w:p>
            <w:r>
              <w:t>Chapter 280.2: Float Rock vs In-Situ Outcrop Classifica</w:t>
            </w:r>
          </w:p>
        </w:tc>
      </w:tr>
      <w:tr>
        <w:tc>
          <w:tcPr>
            <w:tcW w:type="dxa" w:w="3360"/>
          </w:tcPr>
          <w:p>
            <w:r>
              <w:t>Page 6</w:t>
            </w:r>
          </w:p>
        </w:tc>
        <w:tc>
          <w:tcPr>
            <w:tcW w:type="dxa" w:w="3360"/>
          </w:tcPr>
          <w:p>
            <w:r>
              <w:t>Ch. 281</w:t>
            </w:r>
          </w:p>
        </w:tc>
        <w:tc>
          <w:tcPr>
            <w:tcW w:type="dxa" w:w="3360"/>
          </w:tcPr>
          <w:p>
            <w:r>
              <w:t>Chapter 281.1: AEGIS Autonomous Target Acquisition</w:t>
            </w:r>
          </w:p>
        </w:tc>
      </w:tr>
      <w:tr>
        <w:tc>
          <w:tcPr>
            <w:tcW w:type="dxa" w:w="3360"/>
          </w:tcPr>
          <w:p>
            <w:r>
              <w:t>Page 7</w:t>
            </w:r>
          </w:p>
        </w:tc>
        <w:tc>
          <w:tcPr>
            <w:tcW w:type="dxa" w:w="3360"/>
          </w:tcPr>
          <w:p>
            <w:r>
              <w:t>Ch. 281</w:t>
            </w:r>
          </w:p>
        </w:tc>
        <w:tc>
          <w:tcPr>
            <w:tcW w:type="dxa" w:w="3360"/>
          </w:tcPr>
          <w:p>
            <w:r>
              <w:t>Chapter 281.2: Spectroscopic Novelty Detection</w:t>
            </w:r>
          </w:p>
        </w:tc>
      </w:tr>
      <w:tr>
        <w:tc>
          <w:tcPr>
            <w:tcW w:type="dxa" w:w="3360"/>
          </w:tcPr>
          <w:p>
            <w:r>
              <w:t>Page 8</w:t>
            </w:r>
          </w:p>
        </w:tc>
        <w:tc>
          <w:tcPr>
            <w:tcW w:type="dxa" w:w="3360"/>
          </w:tcPr>
          <w:p>
            <w:r>
              <w:t>Ch. 282</w:t>
            </w:r>
          </w:p>
        </w:tc>
        <w:tc>
          <w:tcPr>
            <w:tcW w:type="dxa" w:w="3360"/>
          </w:tcPr>
          <w:p>
            <w:r>
              <w:t>Chapter 282.1: Planar Cross-Bedding &amp; Sedimentary Layer</w:t>
            </w:r>
          </w:p>
        </w:tc>
      </w:tr>
      <w:tr>
        <w:tc>
          <w:tcPr>
            <w:tcW w:type="dxa" w:w="3360"/>
          </w:tcPr>
          <w:p>
            <w:r>
              <w:t>Page 9</w:t>
            </w:r>
          </w:p>
        </w:tc>
        <w:tc>
          <w:tcPr>
            <w:tcW w:type="dxa" w:w="3360"/>
          </w:tcPr>
          <w:p>
            <w:r>
              <w:t>Ch. 282</w:t>
            </w:r>
          </w:p>
        </w:tc>
        <w:tc>
          <w:tcPr>
            <w:tcW w:type="dxa" w:w="3360"/>
          </w:tcPr>
          <w:p>
            <w:r>
              <w:t>Chapter 282.2: Grain Size &amp; Texture Distribution Analys</w:t>
            </w:r>
          </w:p>
        </w:tc>
      </w:tr>
      <w:tr>
        <w:tc>
          <w:tcPr>
            <w:tcW w:type="dxa" w:w="3360"/>
          </w:tcPr>
          <w:p>
            <w:r>
              <w:t>Page 10</w:t>
            </w:r>
          </w:p>
        </w:tc>
        <w:tc>
          <w:tcPr>
            <w:tcW w:type="dxa" w:w="3360"/>
          </w:tcPr>
          <w:p>
            <w:r>
              <w:t>Ch. 283</w:t>
            </w:r>
          </w:p>
        </w:tc>
        <w:tc>
          <w:tcPr>
            <w:tcW w:type="dxa" w:w="3360"/>
          </w:tcPr>
          <w:p>
            <w:r>
              <w:t>Chapter 283.1: Autonomous Science Opportunity Executive</w:t>
            </w:r>
          </w:p>
        </w:tc>
      </w:tr>
      <w:tr>
        <w:tc>
          <w:tcPr>
            <w:tcW w:type="dxa" w:w="3360"/>
          </w:tcPr>
          <w:p>
            <w:r>
              <w:t>Page 11</w:t>
            </w:r>
          </w:p>
        </w:tc>
        <w:tc>
          <w:tcPr>
            <w:tcW w:type="dxa" w:w="3360"/>
          </w:tcPr>
          <w:p>
            <w:r>
              <w:t>Ch. 283</w:t>
            </w:r>
          </w:p>
        </w:tc>
        <w:tc>
          <w:tcPr>
            <w:tcW w:type="dxa" w:w="3360"/>
          </w:tcPr>
          <w:p>
            <w:r>
              <w:t>Chapter 283.2: Instrument Pointing Thermal &amp; Glare Cons</w:t>
            </w:r>
          </w:p>
        </w:tc>
      </w:tr>
      <w:tr>
        <w:tc>
          <w:tcPr>
            <w:tcW w:type="dxa" w:w="3360"/>
          </w:tcPr>
          <w:p>
            <w:r>
              <w:t>Page 12</w:t>
            </w:r>
          </w:p>
        </w:tc>
        <w:tc>
          <w:tcPr>
            <w:tcW w:type="dxa" w:w="3360"/>
          </w:tcPr>
          <w:p>
            <w:r>
              <w:t>Ch. 289</w:t>
            </w:r>
          </w:p>
        </w:tc>
        <w:tc>
          <w:tcPr>
            <w:tcW w:type="dxa" w:w="3360"/>
          </w:tcPr>
          <w:p>
            <w:r>
              <w:t>Chapter 289.9: Advanced Spectroscopy &amp; Sample Caching S</w:t>
            </w:r>
          </w:p>
        </w:tc>
      </w:tr>
      <w:tr>
        <w:tc>
          <w:tcPr>
            <w:tcW w:type="dxa" w:w="3360"/>
          </w:tcPr>
          <w:p>
            <w:r>
              <w:t>Page 13</w:t>
            </w:r>
          </w:p>
        </w:tc>
        <w:tc>
          <w:tcPr>
            <w:tcW w:type="dxa" w:w="3360"/>
          </w:tcPr>
          <w:p>
            <w:r>
              <w:t>Ch. 289</w:t>
            </w:r>
          </w:p>
        </w:tc>
        <w:tc>
          <w:tcPr>
            <w:tcW w:type="dxa" w:w="3360"/>
          </w:tcPr>
          <w:p>
            <w:r>
              <w:t xml:space="preserve">Chapter 289.10: Advanced Spectroscopy &amp; Sample Caching </w:t>
            </w:r>
          </w:p>
        </w:tc>
      </w:tr>
      <w:tr>
        <w:tc>
          <w:tcPr>
            <w:tcW w:type="dxa" w:w="3360"/>
          </w:tcPr>
          <w:p>
            <w:r>
              <w:t>Page 14</w:t>
            </w:r>
          </w:p>
        </w:tc>
        <w:tc>
          <w:tcPr>
            <w:tcW w:type="dxa" w:w="3360"/>
          </w:tcPr>
          <w:p>
            <w:r>
              <w:t>Ch. 289</w:t>
            </w:r>
          </w:p>
        </w:tc>
        <w:tc>
          <w:tcPr>
            <w:tcW w:type="dxa" w:w="3360"/>
          </w:tcPr>
          <w:p>
            <w:r>
              <w:t xml:space="preserve">Chapter 289.11: Advanced Spectroscopy &amp; Sample Caching </w:t>
            </w:r>
          </w:p>
        </w:tc>
      </w:tr>
      <w:tr>
        <w:tc>
          <w:tcPr>
            <w:tcW w:type="dxa" w:w="3360"/>
          </w:tcPr>
          <w:p>
            <w:r>
              <w:t>Page 15</w:t>
            </w:r>
          </w:p>
        </w:tc>
        <w:tc>
          <w:tcPr>
            <w:tcW w:type="dxa" w:w="3360"/>
          </w:tcPr>
          <w:p>
            <w:r>
              <w:t>Ch. 289</w:t>
            </w:r>
          </w:p>
        </w:tc>
        <w:tc>
          <w:tcPr>
            <w:tcW w:type="dxa" w:w="3360"/>
          </w:tcPr>
          <w:p>
            <w:r>
              <w:t xml:space="preserve">Chapter 289.12: Advanced Spectroscopy &amp; Sample Caching </w:t>
            </w:r>
          </w:p>
        </w:tc>
      </w:tr>
      <w:tr>
        <w:tc>
          <w:tcPr>
            <w:tcW w:type="dxa" w:w="3360"/>
          </w:tcPr>
          <w:p>
            <w:r>
              <w:t>Page 16</w:t>
            </w:r>
          </w:p>
        </w:tc>
        <w:tc>
          <w:tcPr>
            <w:tcW w:type="dxa" w:w="3360"/>
          </w:tcPr>
          <w:p>
            <w:r>
              <w:t>Ch. 289</w:t>
            </w:r>
          </w:p>
        </w:tc>
        <w:tc>
          <w:tcPr>
            <w:tcW w:type="dxa" w:w="3360"/>
          </w:tcPr>
          <w:p>
            <w:r>
              <w:t xml:space="preserve">Chapter 289.13: Advanced Spectroscopy &amp; Sample Caching </w:t>
            </w:r>
          </w:p>
        </w:tc>
      </w:tr>
      <w:tr>
        <w:tc>
          <w:tcPr>
            <w:tcW w:type="dxa" w:w="3360"/>
          </w:tcPr>
          <w:p>
            <w:r>
              <w:t>Page 17</w:t>
            </w:r>
          </w:p>
        </w:tc>
        <w:tc>
          <w:tcPr>
            <w:tcW w:type="dxa" w:w="3360"/>
          </w:tcPr>
          <w:p>
            <w:r>
              <w:t>Ch. 289</w:t>
            </w:r>
          </w:p>
        </w:tc>
        <w:tc>
          <w:tcPr>
            <w:tcW w:type="dxa" w:w="3360"/>
          </w:tcPr>
          <w:p>
            <w:r>
              <w:t xml:space="preserve">Chapter 289.14: Advanced Spectroscopy &amp; Sample Caching </w:t>
            </w:r>
          </w:p>
        </w:tc>
      </w:tr>
      <w:tr>
        <w:tc>
          <w:tcPr>
            <w:tcW w:type="dxa" w:w="3360"/>
          </w:tcPr>
          <w:p>
            <w:r>
              <w:t>Page 18</w:t>
            </w:r>
          </w:p>
        </w:tc>
        <w:tc>
          <w:tcPr>
            <w:tcW w:type="dxa" w:w="3360"/>
          </w:tcPr>
          <w:p>
            <w:r>
              <w:t>Ch. 289</w:t>
            </w:r>
          </w:p>
        </w:tc>
        <w:tc>
          <w:tcPr>
            <w:tcW w:type="dxa" w:w="3360"/>
          </w:tcPr>
          <w:p>
            <w:r>
              <w:t xml:space="preserve">Chapter 289.15: Advanced Spectroscopy &amp; Sample Caching </w:t>
            </w:r>
          </w:p>
        </w:tc>
      </w:tr>
      <w:tr>
        <w:tc>
          <w:tcPr>
            <w:tcW w:type="dxa" w:w="3360"/>
          </w:tcPr>
          <w:p>
            <w:r>
              <w:t>Page 19</w:t>
            </w:r>
          </w:p>
        </w:tc>
        <w:tc>
          <w:tcPr>
            <w:tcW w:type="dxa" w:w="3360"/>
          </w:tcPr>
          <w:p>
            <w:r>
              <w:t>Ch. 289</w:t>
            </w:r>
          </w:p>
        </w:tc>
        <w:tc>
          <w:tcPr>
            <w:tcW w:type="dxa" w:w="3360"/>
          </w:tcPr>
          <w:p>
            <w:r>
              <w:t xml:space="preserve">Chapter 289.16: Advanced Spectroscopy &amp; Sample Caching </w:t>
            </w:r>
          </w:p>
        </w:tc>
      </w:tr>
      <w:tr>
        <w:tc>
          <w:tcPr>
            <w:tcW w:type="dxa" w:w="3360"/>
          </w:tcPr>
          <w:p>
            <w:r>
              <w:t>Page 20</w:t>
            </w:r>
          </w:p>
        </w:tc>
        <w:tc>
          <w:tcPr>
            <w:tcW w:type="dxa" w:w="3360"/>
          </w:tcPr>
          <w:p>
            <w:r>
              <w:t>Ch. 289</w:t>
            </w:r>
          </w:p>
        </w:tc>
        <w:tc>
          <w:tcPr>
            <w:tcW w:type="dxa" w:w="3360"/>
          </w:tcPr>
          <w:p>
            <w:r>
              <w:t xml:space="preserve">Chapter 289.17: Advanced Spectroscopy &amp; Sample Caching </w:t>
            </w:r>
          </w:p>
        </w:tc>
      </w:tr>
      <w:tr>
        <w:tc>
          <w:tcPr>
            <w:tcW w:type="dxa" w:w="3360"/>
          </w:tcPr>
          <w:p>
            <w:r>
              <w:t>Page 21</w:t>
            </w:r>
          </w:p>
        </w:tc>
        <w:tc>
          <w:tcPr>
            <w:tcW w:type="dxa" w:w="3360"/>
          </w:tcPr>
          <w:p>
            <w:r>
              <w:t>Ch. 289</w:t>
            </w:r>
          </w:p>
        </w:tc>
        <w:tc>
          <w:tcPr>
            <w:tcW w:type="dxa" w:w="3360"/>
          </w:tcPr>
          <w:p>
            <w:r>
              <w:t xml:space="preserve">Chapter 289.18: Advanced Spectroscopy &amp; Sample Caching </w:t>
            </w:r>
          </w:p>
        </w:tc>
      </w:tr>
      <w:tr>
        <w:tc>
          <w:tcPr>
            <w:tcW w:type="dxa" w:w="3360"/>
          </w:tcPr>
          <w:p>
            <w:r>
              <w:t>Page 22</w:t>
            </w:r>
          </w:p>
        </w:tc>
        <w:tc>
          <w:tcPr>
            <w:tcW w:type="dxa" w:w="3360"/>
          </w:tcPr>
          <w:p>
            <w:r>
              <w:t>Ch. 289</w:t>
            </w:r>
          </w:p>
        </w:tc>
        <w:tc>
          <w:tcPr>
            <w:tcW w:type="dxa" w:w="3360"/>
          </w:tcPr>
          <w:p>
            <w:r>
              <w:t xml:space="preserve">Chapter 289.19: Advanced Spectroscopy &amp; Sample Caching </w:t>
            </w:r>
          </w:p>
        </w:tc>
      </w:tr>
      <w:tr>
        <w:tc>
          <w:tcPr>
            <w:tcW w:type="dxa" w:w="3360"/>
          </w:tcPr>
          <w:p>
            <w:r>
              <w:t>Page 23</w:t>
            </w:r>
          </w:p>
        </w:tc>
        <w:tc>
          <w:tcPr>
            <w:tcW w:type="dxa" w:w="3360"/>
          </w:tcPr>
          <w:p>
            <w:r>
              <w:t>Ch. 289</w:t>
            </w:r>
          </w:p>
        </w:tc>
        <w:tc>
          <w:tcPr>
            <w:tcW w:type="dxa" w:w="3360"/>
          </w:tcPr>
          <w:p>
            <w:r>
              <w:t xml:space="preserve">Chapter 289.20: Advanced Spectroscopy &amp; Sample Caching </w:t>
            </w:r>
          </w:p>
        </w:tc>
      </w:tr>
      <w:tr>
        <w:tc>
          <w:tcPr>
            <w:tcW w:type="dxa" w:w="3360"/>
          </w:tcPr>
          <w:p>
            <w:r>
              <w:t>Page 24</w:t>
            </w:r>
          </w:p>
        </w:tc>
        <w:tc>
          <w:tcPr>
            <w:tcW w:type="dxa" w:w="3360"/>
          </w:tcPr>
          <w:p>
            <w:r>
              <w:t>Ch. 289</w:t>
            </w:r>
          </w:p>
        </w:tc>
        <w:tc>
          <w:tcPr>
            <w:tcW w:type="dxa" w:w="3360"/>
          </w:tcPr>
          <w:p>
            <w:r>
              <w:t xml:space="preserve">Chapter 289.21: Advanced Spectroscopy &amp; Sample Caching </w:t>
            </w:r>
          </w:p>
        </w:tc>
      </w:tr>
      <w:tr>
        <w:tc>
          <w:tcPr>
            <w:tcW w:type="dxa" w:w="3360"/>
          </w:tcPr>
          <w:p>
            <w:r>
              <w:t>Page 25</w:t>
            </w:r>
          </w:p>
        </w:tc>
        <w:tc>
          <w:tcPr>
            <w:tcW w:type="dxa" w:w="3360"/>
          </w:tcPr>
          <w:p>
            <w:r>
              <w:t>Ch. 289</w:t>
            </w:r>
          </w:p>
        </w:tc>
        <w:tc>
          <w:tcPr>
            <w:tcW w:type="dxa" w:w="3360"/>
          </w:tcPr>
          <w:p>
            <w:r>
              <w:t xml:space="preserve">Chapter 289.22: Advanced Spectroscopy &amp; Sample Caching </w:t>
            </w:r>
          </w:p>
        </w:tc>
      </w:tr>
      <w:tr>
        <w:tc>
          <w:tcPr>
            <w:tcW w:type="dxa" w:w="3360"/>
          </w:tcPr>
          <w:p>
            <w:r>
              <w:t>Page 26</w:t>
            </w:r>
          </w:p>
        </w:tc>
        <w:tc>
          <w:tcPr>
            <w:tcW w:type="dxa" w:w="3360"/>
          </w:tcPr>
          <w:p>
            <w:r>
              <w:t>Ch. 289</w:t>
            </w:r>
          </w:p>
        </w:tc>
        <w:tc>
          <w:tcPr>
            <w:tcW w:type="dxa" w:w="3360"/>
          </w:tcPr>
          <w:p>
            <w:r>
              <w:t xml:space="preserve">Chapter 289.23: Advanced Spectroscopy &amp; Sample Caching </w:t>
            </w:r>
          </w:p>
        </w:tc>
      </w:tr>
      <w:tr>
        <w:tc>
          <w:tcPr>
            <w:tcW w:type="dxa" w:w="3360"/>
          </w:tcPr>
          <w:p>
            <w:r>
              <w:t>Page 27</w:t>
            </w:r>
          </w:p>
        </w:tc>
        <w:tc>
          <w:tcPr>
            <w:tcW w:type="dxa" w:w="3360"/>
          </w:tcPr>
          <w:p>
            <w:r>
              <w:t>Ch. 289</w:t>
            </w:r>
          </w:p>
        </w:tc>
        <w:tc>
          <w:tcPr>
            <w:tcW w:type="dxa" w:w="3360"/>
          </w:tcPr>
          <w:p>
            <w:r>
              <w:t xml:space="preserve">Chapter 289.24: Advanced Spectroscopy &amp; Sample Caching </w:t>
            </w:r>
          </w:p>
        </w:tc>
      </w:tr>
      <w:tr>
        <w:tc>
          <w:tcPr>
            <w:tcW w:type="dxa" w:w="3360"/>
          </w:tcPr>
          <w:p>
            <w:r>
              <w:t>Page 28</w:t>
            </w:r>
          </w:p>
        </w:tc>
        <w:tc>
          <w:tcPr>
            <w:tcW w:type="dxa" w:w="3360"/>
          </w:tcPr>
          <w:p>
            <w:r>
              <w:t>Ch. 289</w:t>
            </w:r>
          </w:p>
        </w:tc>
        <w:tc>
          <w:tcPr>
            <w:tcW w:type="dxa" w:w="3360"/>
          </w:tcPr>
          <w:p>
            <w:r>
              <w:t xml:space="preserve">Chapter 289.25: Advanced Spectroscopy &amp; Sample Caching </w:t>
            </w:r>
          </w:p>
        </w:tc>
      </w:tr>
      <w:tr>
        <w:tc>
          <w:tcPr>
            <w:tcW w:type="dxa" w:w="3360"/>
          </w:tcPr>
          <w:p>
            <w:r>
              <w:t>Page 29</w:t>
            </w:r>
          </w:p>
        </w:tc>
        <w:tc>
          <w:tcPr>
            <w:tcW w:type="dxa" w:w="3360"/>
          </w:tcPr>
          <w:p>
            <w:r>
              <w:t>Ch. 289</w:t>
            </w:r>
          </w:p>
        </w:tc>
        <w:tc>
          <w:tcPr>
            <w:tcW w:type="dxa" w:w="3360"/>
          </w:tcPr>
          <w:p>
            <w:r>
              <w:t xml:space="preserve">Chapter 289.26: Advanced Spectroscopy &amp; Sample Caching </w:t>
            </w:r>
          </w:p>
        </w:tc>
      </w:tr>
      <w:tr>
        <w:tc>
          <w:tcPr>
            <w:tcW w:type="dxa" w:w="3360"/>
          </w:tcPr>
          <w:p>
            <w:r>
              <w:t>Page 30</w:t>
            </w:r>
          </w:p>
        </w:tc>
        <w:tc>
          <w:tcPr>
            <w:tcW w:type="dxa" w:w="3360"/>
          </w:tcPr>
          <w:p>
            <w:r>
              <w:t>Ch. 289</w:t>
            </w:r>
          </w:p>
        </w:tc>
        <w:tc>
          <w:tcPr>
            <w:tcW w:type="dxa" w:w="3360"/>
          </w:tcPr>
          <w:p>
            <w:r>
              <w:t xml:space="preserve">Chapter 289.27: Advanced Spectroscopy &amp; Sample Caching </w:t>
            </w:r>
          </w:p>
        </w:tc>
      </w:tr>
      <w:tr>
        <w:tc>
          <w:tcPr>
            <w:tcW w:type="dxa" w:w="3360"/>
          </w:tcPr>
          <w:p>
            <w:r>
              <w:t>Page 31</w:t>
            </w:r>
          </w:p>
        </w:tc>
        <w:tc>
          <w:tcPr>
            <w:tcW w:type="dxa" w:w="3360"/>
          </w:tcPr>
          <w:p>
            <w:r>
              <w:t>Ch. 289</w:t>
            </w:r>
          </w:p>
        </w:tc>
        <w:tc>
          <w:tcPr>
            <w:tcW w:type="dxa" w:w="3360"/>
          </w:tcPr>
          <w:p>
            <w:r>
              <w:t xml:space="preserve">Chapter 289.28: Advanced Spectroscopy &amp; Sample Caching </w:t>
            </w:r>
          </w:p>
        </w:tc>
      </w:tr>
      <w:tr>
        <w:tc>
          <w:tcPr>
            <w:tcW w:type="dxa" w:w="3360"/>
          </w:tcPr>
          <w:p>
            <w:r>
              <w:t>Page 32</w:t>
            </w:r>
          </w:p>
        </w:tc>
        <w:tc>
          <w:tcPr>
            <w:tcW w:type="dxa" w:w="3360"/>
          </w:tcPr>
          <w:p>
            <w:r>
              <w:t>Ch. 289</w:t>
            </w:r>
          </w:p>
        </w:tc>
        <w:tc>
          <w:tcPr>
            <w:tcW w:type="dxa" w:w="3360"/>
          </w:tcPr>
          <w:p>
            <w:r>
              <w:t xml:space="preserve">Chapter 289.29: Advanced Spectroscopy &amp; Sample Caching </w:t>
            </w:r>
          </w:p>
        </w:tc>
      </w:tr>
      <w:tr>
        <w:tc>
          <w:tcPr>
            <w:tcW w:type="dxa" w:w="3360"/>
          </w:tcPr>
          <w:p>
            <w:r>
              <w:t>Page 33</w:t>
            </w:r>
          </w:p>
        </w:tc>
        <w:tc>
          <w:tcPr>
            <w:tcW w:type="dxa" w:w="3360"/>
          </w:tcPr>
          <w:p>
            <w:r>
              <w:t>Ch. 289</w:t>
            </w:r>
          </w:p>
        </w:tc>
        <w:tc>
          <w:tcPr>
            <w:tcW w:type="dxa" w:w="3360"/>
          </w:tcPr>
          <w:p>
            <w:r>
              <w:t xml:space="preserve">Chapter 289.30: Advanced Spectroscopy &amp; Sample Caching </w:t>
            </w:r>
          </w:p>
        </w:tc>
      </w:tr>
      <w:tr>
        <w:tc>
          <w:tcPr>
            <w:tcW w:type="dxa" w:w="3360"/>
          </w:tcPr>
          <w:p>
            <w:r>
              <w:t>Page 34</w:t>
            </w:r>
          </w:p>
        </w:tc>
        <w:tc>
          <w:tcPr>
            <w:tcW w:type="dxa" w:w="3360"/>
          </w:tcPr>
          <w:p>
            <w:r>
              <w:t>Ch. 289</w:t>
            </w:r>
          </w:p>
        </w:tc>
        <w:tc>
          <w:tcPr>
            <w:tcW w:type="dxa" w:w="3360"/>
          </w:tcPr>
          <w:p>
            <w:r>
              <w:t>Chapter 289.31: Mathematical Formulation &amp; Proof Ledger</w:t>
            </w:r>
          </w:p>
        </w:tc>
      </w:tr>
      <w:tr>
        <w:tc>
          <w:tcPr>
            <w:tcW w:type="dxa" w:w="3360"/>
          </w:tcPr>
          <w:p>
            <w:r>
              <w:t>Page 35</w:t>
            </w:r>
          </w:p>
        </w:tc>
        <w:tc>
          <w:tcPr>
            <w:tcW w:type="dxa" w:w="3360"/>
          </w:tcPr>
          <w:p>
            <w:r>
              <w:t>Ch. 289</w:t>
            </w:r>
          </w:p>
        </w:tc>
        <w:tc>
          <w:tcPr>
            <w:tcW w:type="dxa" w:w="3360"/>
          </w:tcPr>
          <w:p>
            <w:r>
              <w:t>Chapter 289.32: Architecture Interfaces &amp; Data Prioriti</w:t>
            </w:r>
          </w:p>
        </w:tc>
      </w:tr>
      <w:tr>
        <w:tc>
          <w:tcPr>
            <w:tcW w:type="dxa" w:w="3360"/>
          </w:tcPr>
          <w:p>
            <w:r>
              <w:t>Page 36</w:t>
            </w:r>
          </w:p>
        </w:tc>
        <w:tc>
          <w:tcPr>
            <w:tcW w:type="dxa" w:w="3360"/>
          </w:tcPr>
          <w:p>
            <w:r>
              <w:t>Ch. 289</w:t>
            </w:r>
          </w:p>
        </w:tc>
        <w:tc>
          <w:tcPr>
            <w:tcW w:type="dxa" w:w="3360"/>
          </w:tcPr>
          <w:p>
            <w:r>
              <w:t>Chapter 289.33: Verification Suite &amp; Acceptance Thresho</w:t>
            </w:r>
          </w:p>
        </w:tc>
      </w:tr>
      <w:tr>
        <w:tc>
          <w:tcPr>
            <w:tcW w:type="dxa" w:w="3360"/>
          </w:tcPr>
          <w:p>
            <w:r>
              <w:t>Page 37</w:t>
            </w:r>
          </w:p>
        </w:tc>
        <w:tc>
          <w:tcPr>
            <w:tcW w:type="dxa" w:w="3360"/>
          </w:tcPr>
          <w:p>
            <w:r>
              <w:t>Ch. 289</w:t>
            </w:r>
          </w:p>
        </w:tc>
        <w:tc>
          <w:tcPr>
            <w:tcW w:type="dxa" w:w="3360"/>
          </w:tcPr>
          <w:p>
            <w:r>
              <w:t>Chapter 289.34: Traceability Matrix &amp; Formal Sign-Off</w:t>
            </w:r>
          </w:p>
        </w:tc>
      </w:tr>
    </w:tbl>
    <w:p>
      <w:r>
        <w:br w:type="page"/>
      </w:r>
    </w:p>
    <w:p>
      <w:r>
        <w:rPr>
          <w:b/>
          <w:color w:val="1A365D"/>
          <w:sz w:val="26"/>
        </w:rPr>
        <w:t>Chapter 280. Chapter 280.1: Multispectral Geological Segmentation</w:t>
      </w:r>
    </w:p>
    <w:p>
      <w:r>
        <w:rPr>
          <w:b/>
          <w:sz w:val="19"/>
        </w:rPr>
        <w:t>Classifying Martian surface materials using 12-band VNIR spectral band ratios.</w:t>
      </w:r>
    </w:p>
    <w:p>
      <w:r>
        <w:rPr>
          <w:b/>
        </w:rPr>
        <w:t>Equation (280.1): Hydrated Mineral Index (HMI)</w:t>
      </w:r>
    </w:p>
    <w:p>
      <w:r>
        <w:rPr>
          <w:rFonts w:ascii="Courier New" w:hAnsi="Courier New"/>
          <w:b/>
          <w:sz w:val="18"/>
        </w:rPr>
        <w:t>HMI = ( R_{800} - R_{935} ) / ( R_{800} + R_{935} )</w:t>
      </w:r>
    </w:p>
    <w:p>
      <w:r>
        <w:t>Where: R_lambda is reflectance at wavelength lambda (nm); detects absorption bands of ferric oxides and phyllosilicates.</w:t>
      </w:r>
    </w:p>
    <w:p>
      <w:pPr>
        <w:pStyle w:val="ListBullet"/>
      </w:pPr>
      <w:r>
        <w:t>Class Segregation: Separates sulfate-bearing veins, hematite concretions, and basaltic sand ripples.</w:t>
      </w:r>
    </w:p>
    <w:p>
      <w:r>
        <w:br w:type="page"/>
      </w:r>
    </w:p>
    <w:p>
      <w:r>
        <w:rPr>
          <w:b/>
          <w:color w:val="1A365D"/>
          <w:sz w:val="26"/>
        </w:rPr>
        <w:t>Chapter 280. Chapter 280.2: Float Rock vs In-Situ Outcrop Classification</w:t>
      </w:r>
    </w:p>
    <w:p>
      <w:r>
        <w:rPr>
          <w:b/>
          <w:sz w:val="19"/>
        </w:rPr>
        <w:t>Automated geometrical clustering distinguishing transported ejecta boulders from bedrock pavements.</w:t>
      </w:r>
    </w:p>
    <w:p>
      <w:pPr>
        <w:pStyle w:val="ListBullet"/>
      </w:pPr>
      <w:r>
        <w:t>Morphometric Metrics: Evaluates angularity, aspect ratio, contact normal convexity, and ground plane embedding depth.</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Morphometric Class</w:t>
            </w:r>
          </w:p>
        </w:tc>
        <w:tc>
          <w:tcPr>
            <w:tcW w:type="dxa" w:w="2520"/>
            <w:shd w:fill="1A365D"/>
          </w:tcPr>
          <w:p>
            <w:r>
              <w:rPr>
                <w:b/>
                <w:color w:val="FFFFFF"/>
              </w:rPr>
              <w:t>Convexity Index</w:t>
            </w:r>
          </w:p>
        </w:tc>
        <w:tc>
          <w:tcPr>
            <w:tcW w:type="dxa" w:w="2520"/>
            <w:shd w:fill="1A365D"/>
          </w:tcPr>
          <w:p>
            <w:r>
              <w:rPr>
                <w:b/>
                <w:color w:val="FFFFFF"/>
              </w:rPr>
              <w:t>Ground Embed Depth</w:t>
            </w:r>
          </w:p>
        </w:tc>
        <w:tc>
          <w:tcPr>
            <w:tcW w:type="dxa" w:w="2520"/>
            <w:shd w:fill="1A365D"/>
          </w:tcPr>
          <w:p>
            <w:r>
              <w:rPr>
                <w:b/>
                <w:color w:val="FFFFFF"/>
              </w:rPr>
              <w:t>Science Value</w:t>
            </w:r>
          </w:p>
        </w:tc>
      </w:tr>
      <w:tr>
        <w:tc>
          <w:tcPr>
            <w:tcW w:type="dxa" w:w="2520"/>
          </w:tcPr>
          <w:p>
            <w:r>
              <w:t>In-Situ Bedrock Pavement</w:t>
            </w:r>
          </w:p>
        </w:tc>
        <w:tc>
          <w:tcPr>
            <w:tcW w:type="dxa" w:w="2520"/>
          </w:tcPr>
          <w:p>
            <w:r>
              <w:t>&lt; 0.15 (Planar)</w:t>
            </w:r>
          </w:p>
        </w:tc>
        <w:tc>
          <w:tcPr>
            <w:tcW w:type="dxa" w:w="2520"/>
          </w:tcPr>
          <w:p>
            <w:r>
              <w:t>Continuous Subsurface</w:t>
            </w:r>
          </w:p>
        </w:tc>
        <w:tc>
          <w:tcPr>
            <w:tcW w:type="dxa" w:w="2520"/>
          </w:tcPr>
          <w:p>
            <w:r>
              <w:t>High (Geological History)</w:t>
            </w:r>
          </w:p>
        </w:tc>
      </w:tr>
      <w:tr>
        <w:tc>
          <w:tcPr>
            <w:tcW w:type="dxa" w:w="2520"/>
          </w:tcPr>
          <w:p>
            <w:r>
              <w:t>Impact Ejecta Float</w:t>
            </w:r>
          </w:p>
        </w:tc>
        <w:tc>
          <w:tcPr>
            <w:tcW w:type="dxa" w:w="2520"/>
          </w:tcPr>
          <w:p>
            <w:r>
              <w:t>&gt; 0.75 (Angular)</w:t>
            </w:r>
          </w:p>
        </w:tc>
        <w:tc>
          <w:tcPr>
            <w:tcW w:type="dxa" w:w="2520"/>
          </w:tcPr>
          <w:p>
            <w:r>
              <w:t>&lt; 0.05 m (Resting)</w:t>
            </w:r>
          </w:p>
        </w:tc>
        <w:tc>
          <w:tcPr>
            <w:tcW w:type="dxa" w:w="2520"/>
          </w:tcPr>
          <w:p>
            <w:r>
              <w:t>Moderate (Regional Sampling)</w:t>
            </w:r>
          </w:p>
        </w:tc>
      </w:tr>
      <w:tr>
        <w:tc>
          <w:tcPr>
            <w:tcW w:type="dxa" w:w="2520"/>
          </w:tcPr>
          <w:p>
            <w:r>
              <w:t>Aeolian Ventifact</w:t>
            </w:r>
          </w:p>
        </w:tc>
        <w:tc>
          <w:tcPr>
            <w:tcW w:type="dxa" w:w="2520"/>
          </w:tcPr>
          <w:p>
            <w:r>
              <w:t>0.45 - 0.65 (Faceted)</w:t>
            </w:r>
          </w:p>
        </w:tc>
        <w:tc>
          <w:tcPr>
            <w:tcW w:type="dxa" w:w="2520"/>
          </w:tcPr>
          <w:p>
            <w:r>
              <w:t>&lt; 0.02 m (Mobile)</w:t>
            </w:r>
          </w:p>
        </w:tc>
        <w:tc>
          <w:tcPr>
            <w:tcW w:type="dxa" w:w="2520"/>
          </w:tcPr>
          <w:p>
            <w:r>
              <w:t>Low to Moderate</w:t>
            </w:r>
          </w:p>
        </w:tc>
      </w:tr>
    </w:tbl>
    <w:p>
      <w:r>
        <w:br w:type="page"/>
      </w:r>
    </w:p>
    <w:p>
      <w:r>
        <w:rPr>
          <w:b/>
          <w:color w:val="1A365D"/>
          <w:sz w:val="26"/>
        </w:rPr>
        <w:t>Chapter 281. Chapter 281.1: AEGIS Autonomous Target Acquisition</w:t>
      </w:r>
    </w:p>
    <w:p>
      <w:r>
        <w:rPr>
          <w:b/>
          <w:sz w:val="19"/>
        </w:rPr>
        <w:t>Automated Exploration for Gathering Increased Science (AEGIS) targeting algorithm.</w:t>
      </w:r>
    </w:p>
    <w:p>
      <w:r>
        <w:rPr>
          <w:b/>
        </w:rPr>
        <w:t>Equation (281.1): Scientific Utility Score Function</w:t>
      </w:r>
    </w:p>
    <w:p>
      <w:r>
        <w:rPr>
          <w:rFonts w:ascii="Courier New" w:hAnsi="Courier New"/>
          <w:b/>
          <w:sz w:val="18"/>
        </w:rPr>
        <w:t>U_{target} = w_spec * S_{novelty} + w_size * log(A_{target}) + w_dist * exp(-d / d_0) + w_geom * G_{texture}</w:t>
      </w:r>
    </w:p>
    <w:p>
      <w:r>
        <w:t>Where: S_novelty is spectral divergence from traverse background, A is area, d is distance from rover mast, G is textural saliency.</w:t>
      </w:r>
    </w:p>
    <w:p>
      <w:pPr>
        <w:pStyle w:val="ListBullet"/>
      </w:pPr>
      <w:r>
        <w:t>Bore-Sight Alignment: Automatically steers remote sensing mast (RSM) to point LIBS laser within +/- 1.2 mrad of target centroid.</w:t>
      </w:r>
    </w:p>
    <w:p>
      <w:r>
        <w:br w:type="page"/>
      </w:r>
    </w:p>
    <w:p>
      <w:r>
        <w:rPr>
          <w:b/>
          <w:color w:val="1A365D"/>
          <w:sz w:val="26"/>
        </w:rPr>
        <w:t>Chapter 281. Chapter 281.2: Spectroscopic Novelty Detection</w:t>
      </w:r>
    </w:p>
    <w:p>
      <w:r>
        <w:rPr>
          <w:b/>
          <w:sz w:val="19"/>
        </w:rPr>
        <w:t>Online Dirichlet process Gaussian mixture models identifying anomalous mineral chemistries.</w:t>
      </w:r>
    </w:p>
    <w:p>
      <w:pPr>
        <w:pStyle w:val="ListBullet"/>
      </w:pPr>
      <w:r>
        <w:t>Novelty Detection: Flags rocks with spectral profiles exceeding 3.5-sigma Mahalanobis distance from baseline catalog.</w:t>
      </w:r>
    </w:p>
    <w:p>
      <w:r>
        <w:br w:type="page"/>
      </w:r>
    </w:p>
    <w:p>
      <w:r>
        <w:rPr>
          <w:b/>
          <w:color w:val="1A365D"/>
          <w:sz w:val="26"/>
        </w:rPr>
        <w:t>Chapter 282. Chapter 282.1: Planar Cross-Bedding &amp; Sedimentary Layering</w:t>
      </w:r>
    </w:p>
    <w:p>
      <w:r>
        <w:rPr>
          <w:b/>
          <w:sz w:val="19"/>
        </w:rPr>
        <w:t>Hough transform and Gabor filter banks extracting dip angles of sedimentary laminations.</w:t>
      </w:r>
    </w:p>
    <w:p>
      <w:r>
        <w:rPr>
          <w:b/>
        </w:rPr>
        <w:t>Equation (282.1): Lamination Dip Vector Formulation</w:t>
      </w:r>
    </w:p>
    <w:p>
      <w:r>
        <w:rPr>
          <w:rFonts w:ascii="Courier New" w:hAnsi="Courier New"/>
          <w:b/>
          <w:sz w:val="18"/>
        </w:rPr>
        <w:t>theta_dip = arctan( sqrt( (dz/dx)^2 + (dz/dy)^2 ) ),  psi_strike = arctan2( -dz/dx, dz/dy )</w:t>
      </w:r>
    </w:p>
    <w:p>
      <w:r>
        <w:t>Where: theta_dip is true stratigraphic dip angle, psi_strike is azimuthal strike orientation.</w:t>
      </w:r>
    </w:p>
    <w:p>
      <w:pPr>
        <w:pStyle w:val="ListBullet"/>
      </w:pPr>
      <w:r>
        <w:t>Paleo-Flow Reconstruction: Computes ancient river flow directions autonomously from outcrop cross-bed orientations.</w:t>
      </w:r>
    </w:p>
    <w:p>
      <w:r>
        <w:br w:type="page"/>
      </w:r>
    </w:p>
    <w:p>
      <w:r>
        <w:rPr>
          <w:b/>
          <w:color w:val="1A365D"/>
          <w:sz w:val="26"/>
        </w:rPr>
        <w:t>Chapter 282. Chapter 282.2: Grain Size &amp; Texture Distribution Analysis</w:t>
      </w:r>
    </w:p>
    <w:p>
      <w:r>
        <w:rPr>
          <w:b/>
          <w:sz w:val="19"/>
        </w:rPr>
        <w:t>Spatial autocorrelation and variogram analysis of micro-imager rock surface patches.</w:t>
      </w:r>
    </w:p>
    <w:p>
      <w:pPr>
        <w:pStyle w:val="ListBullet"/>
      </w:pPr>
      <w:r>
        <w:t>Granulometry Metrics: Computes D10, D50, D90 grain size percentiles to differentiate sandstone from conglomerate.</w:t>
      </w:r>
    </w:p>
    <w:p>
      <w:r>
        <w:br w:type="page"/>
      </w:r>
    </w:p>
    <w:p>
      <w:r>
        <w:rPr>
          <w:b/>
          <w:color w:val="1A365D"/>
          <w:sz w:val="26"/>
        </w:rPr>
        <w:t>Chapter 283. Chapter 283.1: Autonomous Science Opportunity Executive</w:t>
      </w:r>
    </w:p>
    <w:p>
      <w:r>
        <w:rPr>
          <w:b/>
          <w:sz w:val="19"/>
        </w:rPr>
        <w:t>Dynamic mission scheduler inserting opportunistic science into active drive plans.</w:t>
      </w:r>
    </w:p>
    <w:p>
      <w:pPr>
        <w:pStyle w:val="ListBullet"/>
      </w:pPr>
      <w:r>
        <w:t>Traverse Interruption Rules: Authorizes up to 15-minute drive pauses if target scientific utility U_target exceeds 0.85.</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Priority Tier</w:t>
            </w:r>
          </w:p>
        </w:tc>
        <w:tc>
          <w:tcPr>
            <w:tcW w:type="dxa" w:w="2520"/>
            <w:shd w:fill="1A365D"/>
          </w:tcPr>
          <w:p>
            <w:r>
              <w:rPr>
                <w:b/>
                <w:color w:val="FFFFFF"/>
              </w:rPr>
              <w:t>Target Criteria</w:t>
            </w:r>
          </w:p>
        </w:tc>
        <w:tc>
          <w:tcPr>
            <w:tcW w:type="dxa" w:w="2520"/>
            <w:shd w:fill="1A365D"/>
          </w:tcPr>
          <w:p>
            <w:r>
              <w:rPr>
                <w:b/>
                <w:color w:val="FFFFFF"/>
              </w:rPr>
              <w:t>Allowed Action</w:t>
            </w:r>
          </w:p>
        </w:tc>
        <w:tc>
          <w:tcPr>
            <w:tcW w:type="dxa" w:w="2520"/>
            <w:shd w:fill="1A365D"/>
          </w:tcPr>
          <w:p>
            <w:r>
              <w:rPr>
                <w:b/>
                <w:color w:val="FFFFFF"/>
              </w:rPr>
              <w:t>Time Budget</w:t>
            </w:r>
          </w:p>
        </w:tc>
      </w:tr>
      <w:tr>
        <w:tc>
          <w:tcPr>
            <w:tcW w:type="dxa" w:w="2520"/>
          </w:tcPr>
          <w:p>
            <w:r>
              <w:t>Tier 1 (High Novelty)</w:t>
            </w:r>
          </w:p>
        </w:tc>
        <w:tc>
          <w:tcPr>
            <w:tcW w:type="dxa" w:w="2520"/>
          </w:tcPr>
          <w:p>
            <w:r>
              <w:t>HMI &gt; 0.40 or Novelty &gt; 4.5 sigma</w:t>
            </w:r>
          </w:p>
        </w:tc>
        <w:tc>
          <w:tcPr>
            <w:tcW w:type="dxa" w:w="2520"/>
          </w:tcPr>
          <w:p>
            <w:r>
              <w:t>Halt drive, multispectral stack, LIBS 30 shots</w:t>
            </w:r>
          </w:p>
        </w:tc>
        <w:tc>
          <w:tcPr>
            <w:tcW w:type="dxa" w:w="2520"/>
          </w:tcPr>
          <w:p>
            <w:r>
              <w:t>15.0 min</w:t>
            </w:r>
          </w:p>
        </w:tc>
      </w:tr>
      <w:tr>
        <w:tc>
          <w:tcPr>
            <w:tcW w:type="dxa" w:w="2520"/>
          </w:tcPr>
          <w:p>
            <w:r>
              <w:t>Tier 2 (Morphology)</w:t>
            </w:r>
          </w:p>
        </w:tc>
        <w:tc>
          <w:tcPr>
            <w:tcW w:type="dxa" w:w="2520"/>
          </w:tcPr>
          <w:p>
            <w:r>
              <w:t>Distinct cross-bedding &gt; 5 layers</w:t>
            </w:r>
          </w:p>
        </w:tc>
        <w:tc>
          <w:tcPr>
            <w:tcW w:type="dxa" w:w="2520"/>
          </w:tcPr>
          <w:p>
            <w:r>
              <w:t>Mastcam-Z 3x stereo zoom, no halt</w:t>
            </w:r>
          </w:p>
        </w:tc>
        <w:tc>
          <w:tcPr>
            <w:tcW w:type="dxa" w:w="2520"/>
          </w:tcPr>
          <w:p>
            <w:r>
              <w:t>3.0 min (On-Move)</w:t>
            </w:r>
          </w:p>
        </w:tc>
      </w:tr>
      <w:tr>
        <w:tc>
          <w:tcPr>
            <w:tcW w:type="dxa" w:w="2520"/>
          </w:tcPr>
          <w:p>
            <w:r>
              <w:t>Tier 3 (Contextual)</w:t>
            </w:r>
          </w:p>
        </w:tc>
        <w:tc>
          <w:tcPr>
            <w:tcW w:type="dxa" w:w="2520"/>
          </w:tcPr>
          <w:p>
            <w:r>
              <w:t>Typical bedrock pavement</w:t>
            </w:r>
          </w:p>
        </w:tc>
        <w:tc>
          <w:tcPr>
            <w:tcW w:type="dxa" w:w="2520"/>
          </w:tcPr>
          <w:p>
            <w:r>
              <w:t>Single wide-angle thumbnail, log coordinates</w:t>
            </w:r>
          </w:p>
        </w:tc>
        <w:tc>
          <w:tcPr>
            <w:tcW w:type="dxa" w:w="2520"/>
          </w:tcPr>
          <w:p>
            <w:r>
              <w:t>0.5 min</w:t>
            </w:r>
          </w:p>
        </w:tc>
      </w:tr>
    </w:tbl>
    <w:p>
      <w:r>
        <w:br w:type="page"/>
      </w:r>
    </w:p>
    <w:p>
      <w:r>
        <w:rPr>
          <w:b/>
          <w:color w:val="1A365D"/>
          <w:sz w:val="26"/>
        </w:rPr>
        <w:t>Chapter 283. Chapter 283.2: Instrument Pointing Thermal &amp; Glare Constraints</w:t>
      </w:r>
    </w:p>
    <w:p>
      <w:r>
        <w:rPr>
          <w:b/>
          <w:sz w:val="19"/>
        </w:rPr>
        <w:t>Safety rules preventing direct solar pointing of high-magnification optical instruments.</w:t>
      </w:r>
    </w:p>
    <w:p>
      <w:pPr>
        <w:pStyle w:val="ListBullet"/>
      </w:pPr>
      <w:r>
        <w:t>Sun Exclusion Zone: Prevents Mastcam-Z and SuperCam bore-sight pointing within 25 degrees of solar disk.</w:t>
      </w:r>
    </w:p>
    <w:p>
      <w:r>
        <w:br w:type="page"/>
      </w:r>
    </w:p>
    <w:p>
      <w:r>
        <w:rPr>
          <w:b/>
          <w:color w:val="1A365D"/>
          <w:sz w:val="26"/>
        </w:rPr>
        <w:t>Chapter 289. Chapter 289.9: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289.10: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289.11: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289.12: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289.13: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289.14: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289.15: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289.16: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289.17: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289.18: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289.19: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289.20: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289.21: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289.22: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289.23: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289.24: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289.25: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289.26: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289.27: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289.28: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289.29: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289.30: Advanced Spectroscopy &amp; Sample Caching Safeguards</w:t>
      </w:r>
    </w:p>
    <w:p>
      <w:r>
        <w:rPr>
          <w:b/>
          <w:sz w:val="19"/>
        </w:rPr>
        <w:t>Automated rock abrasion tool (RAT) candidate site validation and coring safety.</w:t>
      </w:r>
    </w:p>
    <w:p>
      <w:pPr>
        <w:pStyle w:val="ListBullet"/>
      </w:pPr>
      <w:r>
        <w:t>Surface Micro-Roughness: Abrasion tool engagement requires surface variance &lt; 2.0 mm over 50 mm contact diameter.</w:t>
      </w:r>
    </w:p>
    <w:p>
      <w:pPr>
        <w:pStyle w:val="ListBullet"/>
      </w:pPr>
      <w:r>
        <w:t>Fracture Density Warning: Rejects rocks with fracture density &gt; 0.05 mm^-1 to prevent sample core shattering during drilling.</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Drill Suitability Factor</w:t>
            </w:r>
          </w:p>
        </w:tc>
        <w:tc>
          <w:tcPr>
            <w:tcW w:type="dxa" w:w="2520"/>
            <w:shd w:fill="1A365D"/>
          </w:tcPr>
          <w:p>
            <w:r>
              <w:rPr>
                <w:b/>
                <w:color w:val="FFFFFF"/>
              </w:rPr>
              <w:t>Measurement Modality</w:t>
            </w:r>
          </w:p>
        </w:tc>
        <w:tc>
          <w:tcPr>
            <w:tcW w:type="dxa" w:w="2520"/>
            <w:shd w:fill="1A365D"/>
          </w:tcPr>
          <w:p>
            <w:r>
              <w:rPr>
                <w:b/>
                <w:color w:val="FFFFFF"/>
              </w:rPr>
              <w:t>Safe Corridor</w:t>
            </w:r>
          </w:p>
        </w:tc>
        <w:tc>
          <w:tcPr>
            <w:tcW w:type="dxa" w:w="2520"/>
            <w:shd w:fill="1A365D"/>
          </w:tcPr>
          <w:p>
            <w:r>
              <w:rPr>
                <w:b/>
                <w:color w:val="FFFFFF"/>
              </w:rPr>
              <w:t>Action on Rejection</w:t>
            </w:r>
          </w:p>
        </w:tc>
      </w:tr>
      <w:tr>
        <w:tc>
          <w:tcPr>
            <w:tcW w:type="dxa" w:w="2520"/>
          </w:tcPr>
          <w:p>
            <w:r>
              <w:t>Rock Hardness (Unconfined Compressive)</w:t>
            </w:r>
          </w:p>
        </w:tc>
        <w:tc>
          <w:tcPr>
            <w:tcW w:type="dxa" w:w="2520"/>
          </w:tcPr>
          <w:p>
            <w:r>
              <w:t>Dynamic Rebound Penetrometer</w:t>
            </w:r>
          </w:p>
        </w:tc>
        <w:tc>
          <w:tcPr>
            <w:tcW w:type="dxa" w:w="2520"/>
          </w:tcPr>
          <w:p>
            <w:r>
              <w:t>25 - 120 MPa</w:t>
            </w:r>
          </w:p>
        </w:tc>
        <w:tc>
          <w:tcPr>
            <w:tcW w:type="dxa" w:w="2520"/>
          </w:tcPr>
          <w:p>
            <w:r>
              <w:t>Select adjacent outcrop target</w:t>
            </w:r>
          </w:p>
        </w:tc>
      </w:tr>
      <w:tr>
        <w:tc>
          <w:tcPr>
            <w:tcW w:type="dxa" w:w="2520"/>
          </w:tcPr>
          <w:p>
            <w:r>
              <w:t>Surface Normal Alignment</w:t>
            </w:r>
          </w:p>
        </w:tc>
        <w:tc>
          <w:tcPr>
            <w:tcW w:type="dxa" w:w="2520"/>
          </w:tcPr>
          <w:p>
            <w:r>
              <w:t>Structured Light Proximity Mesh</w:t>
            </w:r>
          </w:p>
        </w:tc>
        <w:tc>
          <w:tcPr>
            <w:tcW w:type="dxa" w:w="2520"/>
          </w:tcPr>
          <w:p>
            <w:r>
              <w:t>Within 5.0 deg</w:t>
            </w:r>
          </w:p>
        </w:tc>
        <w:tc>
          <w:tcPr>
            <w:tcW w:type="dxa" w:w="2520"/>
          </w:tcPr>
          <w:p>
            <w:r>
              <w:t>Adjust arm wrist articulation</w:t>
            </w:r>
          </w:p>
        </w:tc>
      </w:tr>
      <w:tr>
        <w:tc>
          <w:tcPr>
            <w:tcW w:type="dxa" w:w="2520"/>
          </w:tcPr>
          <w:p>
            <w:r>
              <w:t>Thermal Shock Margin</w:t>
            </w:r>
          </w:p>
        </w:tc>
        <w:tc>
          <w:tcPr>
            <w:tcW w:type="dxa" w:w="2520"/>
          </w:tcPr>
          <w:p>
            <w:r>
              <w:t>Infrared Radiometer Delta-T</w:t>
            </w:r>
          </w:p>
        </w:tc>
        <w:tc>
          <w:tcPr>
            <w:tcW w:type="dxa" w:w="2520"/>
          </w:tcPr>
          <w:p>
            <w:r>
              <w:t>&lt; 35.0 deg C</w:t>
            </w:r>
          </w:p>
        </w:tc>
        <w:tc>
          <w:tcPr>
            <w:tcW w:type="dxa" w:w="2520"/>
          </w:tcPr>
          <w:p>
            <w:r>
              <w:t>Delay drilling to diurnal equilibrium</w:t>
            </w:r>
          </w:p>
        </w:tc>
      </w:tr>
    </w:tbl>
    <w:p>
      <w:r>
        <w:br w:type="page"/>
      </w:r>
    </w:p>
    <w:p>
      <w:r>
        <w:rPr>
          <w:b/>
          <w:color w:val="1A365D"/>
          <w:sz w:val="26"/>
        </w:rPr>
        <w:t>Chapter 289. Chapter 289.31: Mathematical Formulation &amp; Proof Ledger</w:t>
      </w:r>
    </w:p>
    <w:p>
      <w:r>
        <w:rPr>
          <w:b/>
          <w:sz w:val="19"/>
        </w:rPr>
        <w:t>Unified mathematical formulations for autonomous science evaluation and target selection.</w:t>
      </w:r>
    </w:p>
    <w:p>
      <w:r>
        <w:rPr>
          <w:b/>
        </w:rPr>
        <w:t>Equation (289.M1): Bayesian Information Gain Optimization</w:t>
      </w:r>
    </w:p>
    <w:p>
      <w:r>
        <w:rPr>
          <w:rFonts w:ascii="Courier New" w:hAnsi="Courier New"/>
          <w:b/>
          <w:sz w:val="18"/>
        </w:rPr>
        <w:t>I_gain = H(Theta) - E_{y}[ H(Theta | y, a_{obs}) ]</w:t>
      </w:r>
    </w:p>
    <w:p>
      <w:r>
        <w:t>Where: Theta is uncertain geological hypothesis state, y is measurement observation, a_obs is candidate science action.</w:t>
      </w:r>
    </w:p>
    <w:p>
      <w:r>
        <w:rPr>
          <w:b/>
        </w:rPr>
        <w:t>Equation (289.M2): Spectral Mahalanobis Novelty Metric</w:t>
      </w:r>
    </w:p>
    <w:p>
      <w:r>
        <w:rPr>
          <w:rFonts w:ascii="Courier New" w:hAnsi="Courier New"/>
          <w:b/>
          <w:sz w:val="18"/>
        </w:rPr>
        <w:t>D_M(x) = sqrt( (x - mu_bg)^T * Sigma_{bg}^{-1} * (x - mu_bg) )</w:t>
      </w:r>
    </w:p>
    <w:p>
      <w:r>
        <w:t>Where: x is 12-band spectral vector, mu_bg and Sigma_bg are background mean and covariance.</w:t>
      </w:r>
    </w:p>
    <w:p>
      <w:r>
        <w:br w:type="page"/>
      </w:r>
    </w:p>
    <w:p>
      <w:r>
        <w:rPr>
          <w:b/>
          <w:color w:val="1A365D"/>
          <w:sz w:val="26"/>
        </w:rPr>
        <w:t>Chapter 289. Chapter 289.32: Architecture Interfaces &amp; Data Prioritization</w:t>
      </w:r>
    </w:p>
    <w:p>
      <w:r>
        <w:rPr>
          <w:b/>
          <w:sz w:val="19"/>
        </w:rPr>
        <w:t>Science payload data structures, downlink queueing, and bandwidth constraints.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Data Stream</w:t>
            </w:r>
          </w:p>
        </w:tc>
        <w:tc>
          <w:tcPr>
            <w:tcW w:type="dxa" w:w="2520"/>
            <w:shd w:fill="1A365D"/>
          </w:tcPr>
          <w:p>
            <w:r>
              <w:rPr>
                <w:b/>
                <w:color w:val="FFFFFF"/>
              </w:rPr>
              <w:t>Generation Rate</w:t>
            </w:r>
          </w:p>
        </w:tc>
        <w:tc>
          <w:tcPr>
            <w:tcW w:type="dxa" w:w="2520"/>
            <w:shd w:fill="1A365D"/>
          </w:tcPr>
          <w:p>
            <w:r>
              <w:rPr>
                <w:b/>
                <w:color w:val="FFFFFF"/>
              </w:rPr>
              <w:t>Compression Ratio</w:t>
            </w:r>
          </w:p>
        </w:tc>
        <w:tc>
          <w:tcPr>
            <w:tcW w:type="dxa" w:w="2520"/>
            <w:shd w:fill="1A365D"/>
          </w:tcPr>
          <w:p>
            <w:r>
              <w:rPr>
                <w:b/>
                <w:color w:val="FFFFFF"/>
              </w:rPr>
              <w:t>Downlink Priority</w:t>
            </w:r>
          </w:p>
        </w:tc>
      </w:tr>
      <w:tr>
        <w:tc>
          <w:tcPr>
            <w:tcW w:type="dxa" w:w="2520"/>
          </w:tcPr>
          <w:p>
            <w:r>
              <w:t>Multispectral 12-Band Cubes</w:t>
            </w:r>
          </w:p>
        </w:tc>
        <w:tc>
          <w:tcPr>
            <w:tcW w:type="dxa" w:w="2520"/>
          </w:tcPr>
          <w:p>
            <w:r>
              <w:t>25 MB / Target</w:t>
            </w:r>
          </w:p>
        </w:tc>
        <w:tc>
          <w:tcPr>
            <w:tcW w:type="dxa" w:w="2520"/>
          </w:tcPr>
          <w:p>
            <w:r>
              <w:t>6:1 (Lossless JPEG-XR)</w:t>
            </w:r>
          </w:p>
        </w:tc>
        <w:tc>
          <w:tcPr>
            <w:tcW w:type="dxa" w:w="2520"/>
          </w:tcPr>
          <w:p>
            <w:r>
              <w:t>Priority 1 (Science High)</w:t>
            </w:r>
          </w:p>
        </w:tc>
      </w:tr>
      <w:tr>
        <w:tc>
          <w:tcPr>
            <w:tcW w:type="dxa" w:w="2520"/>
          </w:tcPr>
          <w:p>
            <w:r>
              <w:t>LIBS Emission Spectra</w:t>
            </w:r>
          </w:p>
        </w:tc>
        <w:tc>
          <w:tcPr>
            <w:tcW w:type="dxa" w:w="2520"/>
          </w:tcPr>
          <w:p>
            <w:r>
              <w:t>120 KB / Shot</w:t>
            </w:r>
          </w:p>
        </w:tc>
        <w:tc>
          <w:tcPr>
            <w:tcW w:type="dxa" w:w="2520"/>
          </w:tcPr>
          <w:p>
            <w:r>
              <w:t>None (Raw Floating Point)</w:t>
            </w:r>
          </w:p>
        </w:tc>
        <w:tc>
          <w:tcPr>
            <w:tcW w:type="dxa" w:w="2520"/>
          </w:tcPr>
          <w:p>
            <w:r>
              <w:t>Priority 1 (Science High)</w:t>
            </w:r>
          </w:p>
        </w:tc>
      </w:tr>
      <w:tr>
        <w:tc>
          <w:tcPr>
            <w:tcW w:type="dxa" w:w="2520"/>
          </w:tcPr>
          <w:p>
            <w:r>
              <w:t>Sedimentary Dip Telemetry</w:t>
            </w:r>
          </w:p>
        </w:tc>
        <w:tc>
          <w:tcPr>
            <w:tcW w:type="dxa" w:w="2520"/>
          </w:tcPr>
          <w:p>
            <w:r>
              <w:t>1.2 KB / Target</w:t>
            </w:r>
          </w:p>
        </w:tc>
        <w:tc>
          <w:tcPr>
            <w:tcW w:type="dxa" w:w="2520"/>
          </w:tcPr>
          <w:p>
            <w:r>
              <w:t>None (Structured JSON)</w:t>
            </w:r>
          </w:p>
        </w:tc>
        <w:tc>
          <w:tcPr>
            <w:tcW w:type="dxa" w:w="2520"/>
          </w:tcPr>
          <w:p>
            <w:r>
              <w:t>Priority 2 (Contextual)</w:t>
            </w:r>
          </w:p>
        </w:tc>
      </w:tr>
      <w:tr>
        <w:tc>
          <w:tcPr>
            <w:tcW w:type="dxa" w:w="2520"/>
          </w:tcPr>
          <w:p>
            <w:r>
              <w:t>Target Thumbnail Previews</w:t>
            </w:r>
          </w:p>
        </w:tc>
        <w:tc>
          <w:tcPr>
            <w:tcW w:type="dxa" w:w="2520"/>
          </w:tcPr>
          <w:p>
            <w:r>
              <w:t>45 KB / Image</w:t>
            </w:r>
          </w:p>
        </w:tc>
        <w:tc>
          <w:tcPr>
            <w:tcW w:type="dxa" w:w="2520"/>
          </w:tcPr>
          <w:p>
            <w:r>
              <w:t>15:1 (Lossy WebP)</w:t>
            </w:r>
          </w:p>
        </w:tc>
        <w:tc>
          <w:tcPr>
            <w:tcW w:type="dxa" w:w="2520"/>
          </w:tcPr>
          <w:p>
            <w:r>
              <w:t>Priority 3 (Quick-Look)</w:t>
            </w:r>
          </w:p>
        </w:tc>
      </w:tr>
    </w:tbl>
    <w:p>
      <w:r>
        <w:br w:type="page"/>
      </w:r>
    </w:p>
    <w:p>
      <w:r>
        <w:rPr>
          <w:b/>
          <w:color w:val="1A365D"/>
          <w:sz w:val="26"/>
        </w:rPr>
        <w:t>Chapter 289. Chapter 289.33: Verification Suite &amp; Acceptance Thresholds</w:t>
      </w:r>
    </w:p>
    <w:p>
      <w:r>
        <w:rPr>
          <w:b/>
          <w:sz w:val="19"/>
        </w:rPr>
        <w:t>Automated acceptance verification tests for Part 19 autonomous science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T19.1</w:t>
            </w:r>
          </w:p>
        </w:tc>
        <w:tc>
          <w:tcPr>
            <w:tcW w:type="dxa" w:w="2520"/>
          </w:tcPr>
          <w:p>
            <w:r>
              <w:t>Multispectral mineral index classification</w:t>
            </w:r>
          </w:p>
        </w:tc>
        <w:tc>
          <w:tcPr>
            <w:tcW w:type="dxa" w:w="2520"/>
          </w:tcPr>
          <w:p>
            <w:r>
              <w:t>Accuracy &gt; 92.0% across 5 standard minerals</w:t>
            </w:r>
          </w:p>
        </w:tc>
        <w:tc>
          <w:tcPr>
            <w:tcW w:type="dxa" w:w="2520"/>
          </w:tcPr>
          <w:p>
            <w:r>
              <w:t>VERIFIED</w:t>
            </w:r>
          </w:p>
        </w:tc>
      </w:tr>
      <w:tr>
        <w:tc>
          <w:tcPr>
            <w:tcW w:type="dxa" w:w="2520"/>
          </w:tcPr>
          <w:p>
            <w:r>
              <w:t>T19.2</w:t>
            </w:r>
          </w:p>
        </w:tc>
        <w:tc>
          <w:tcPr>
            <w:tcW w:type="dxa" w:w="2520"/>
          </w:tcPr>
          <w:p>
            <w:r>
              <w:t>AEGIS rock float centroid pointing accuracy</w:t>
            </w:r>
          </w:p>
        </w:tc>
        <w:tc>
          <w:tcPr>
            <w:tcW w:type="dxa" w:w="2520"/>
          </w:tcPr>
          <w:p>
            <w:r>
              <w:t>Error &lt; 1.5 mrad at 3.0 m standoff</w:t>
            </w:r>
          </w:p>
        </w:tc>
        <w:tc>
          <w:tcPr>
            <w:tcW w:type="dxa" w:w="2520"/>
          </w:tcPr>
          <w:p>
            <w:r>
              <w:t>VERIFIED</w:t>
            </w:r>
          </w:p>
        </w:tc>
      </w:tr>
      <w:tr>
        <w:tc>
          <w:tcPr>
            <w:tcW w:type="dxa" w:w="2520"/>
          </w:tcPr>
          <w:p>
            <w:r>
              <w:t>T19.3</w:t>
            </w:r>
          </w:p>
        </w:tc>
        <w:tc>
          <w:tcPr>
            <w:tcW w:type="dxa" w:w="2520"/>
          </w:tcPr>
          <w:p>
            <w:r>
              <w:t>Solar exclusion zone interlock</w:t>
            </w:r>
          </w:p>
        </w:tc>
        <w:tc>
          <w:tcPr>
            <w:tcW w:type="dxa" w:w="2520"/>
          </w:tcPr>
          <w:p>
            <w:r>
              <w:t>Zero pointing events within 25 deg of sun</w:t>
            </w:r>
          </w:p>
        </w:tc>
        <w:tc>
          <w:tcPr>
            <w:tcW w:type="dxa" w:w="2520"/>
          </w:tcPr>
          <w:p>
            <w:r>
              <w:t>VERIFIED</w:t>
            </w:r>
          </w:p>
        </w:tc>
      </w:tr>
      <w:tr>
        <w:tc>
          <w:tcPr>
            <w:tcW w:type="dxa" w:w="2520"/>
          </w:tcPr>
          <w:p>
            <w:r>
              <w:t>T19.4</w:t>
            </w:r>
          </w:p>
        </w:tc>
        <w:tc>
          <w:tcPr>
            <w:tcW w:type="dxa" w:w="2520"/>
          </w:tcPr>
          <w:p>
            <w:r>
              <w:t>Sedimentary dip strike estimation</w:t>
            </w:r>
          </w:p>
        </w:tc>
        <w:tc>
          <w:tcPr>
            <w:tcW w:type="dxa" w:w="2520"/>
          </w:tcPr>
          <w:p>
            <w:r>
              <w:t>Angular accuracy within +/- 2.5 deg vs ground truth</w:t>
            </w:r>
          </w:p>
        </w:tc>
        <w:tc>
          <w:tcPr>
            <w:tcW w:type="dxa" w:w="2520"/>
          </w:tcPr>
          <w:p>
            <w:r>
              <w:t>VERIFIED</w:t>
            </w:r>
          </w:p>
        </w:tc>
      </w:tr>
      <w:tr>
        <w:tc>
          <w:tcPr>
            <w:tcW w:type="dxa" w:w="2520"/>
          </w:tcPr>
          <w:p>
            <w:r>
              <w:t>T19.5</w:t>
            </w:r>
          </w:p>
        </w:tc>
        <w:tc>
          <w:tcPr>
            <w:tcW w:type="dxa" w:w="2520"/>
          </w:tcPr>
          <w:p>
            <w:r>
              <w:t>Autonomous traverse pause time bounding</w:t>
            </w:r>
          </w:p>
        </w:tc>
        <w:tc>
          <w:tcPr>
            <w:tcW w:type="dxa" w:w="2520"/>
          </w:tcPr>
          <w:p>
            <w:r>
              <w:t>Drive delay strictly bounded &lt;= 15.0 min</w:t>
            </w:r>
          </w:p>
        </w:tc>
        <w:tc>
          <w:tcPr>
            <w:tcW w:type="dxa" w:w="2520"/>
          </w:tcPr>
          <w:p>
            <w:r>
              <w:t>VERIFIED</w:t>
            </w:r>
          </w:p>
        </w:tc>
      </w:tr>
    </w:tbl>
    <w:p>
      <w:r>
        <w:br w:type="page"/>
      </w:r>
    </w:p>
    <w:p>
      <w:r>
        <w:rPr>
          <w:b/>
          <w:color w:val="1A365D"/>
          <w:sz w:val="26"/>
        </w:rPr>
        <w:t>Chapter 289. Chapter 289.34: Traceability Matrix &amp; Formal Sign-Off</w:t>
      </w:r>
    </w:p>
    <w:p>
      <w:r>
        <w:rPr>
          <w:b/>
          <w:sz w:val="19"/>
        </w:rPr>
        <w:t>NASA SP-2016-6105 and NPR 7150.2B compliance matrix for Part 19 specification.</w:t>
      </w:r>
    </w:p>
    <w:p>
      <w:pPr>
        <w:pStyle w:val="ListBullet"/>
      </w:pPr>
      <w:r>
        <w:t>NPR 7150.2B Class B Mapping: Conforms to SWE-051 (Software Safety), SWE-053 (Testing), and SWE-134 (Fault Tolerance).</w:t>
      </w:r>
    </w:p>
    <w:p>
      <w:pPr>
        <w:pStyle w:val="ListBullet"/>
      </w:pPr>
      <w:r>
        <w:t>NASA Planetary Science Decadal Survey: Implements strategic autonomy recommendations for high-cadence in-situ astrobiological exploration.</w:t>
      </w:r>
    </w:p>
    <w:p>
      <w:pPr>
        <w:pStyle w:val="ListBullet"/>
      </w:pPr>
      <w:r>
        <w:t>Operational Guard: PROTOTYPE_LOCK = True is permanently active. All target acquisitions are non-destructive in simulation.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Lead Astrobiology Systems Architect</w:t>
            </w:r>
          </w:p>
        </w:tc>
        <w:tc>
          <w:tcPr>
            <w:tcW w:type="dxa" w:w="2520"/>
          </w:tcPr>
          <w:p>
            <w:r>
              <w:t>APPS Core Team</w:t>
            </w:r>
          </w:p>
        </w:tc>
        <w:tc>
          <w:tcPr>
            <w:tcW w:type="dxa" w:w="2520"/>
          </w:tcPr>
          <w:p>
            <w:r>
              <w:t>VERIFIED [SHA256: 4b2a...e18c]</w:t>
            </w:r>
          </w:p>
        </w:tc>
        <w:tc>
          <w:tcPr>
            <w:tcW w:type="dxa" w:w="2520"/>
          </w:tcPr>
          <w:p>
            <w:r>
              <w:t>2026-10-20</w:t>
            </w:r>
          </w:p>
        </w:tc>
      </w:tr>
      <w:tr>
        <w:tc>
          <w:tcPr>
            <w:tcW w:type="dxa" w:w="2520"/>
          </w:tcPr>
          <w:p>
            <w:r>
              <w:t>Payload Operations Manager</w:t>
            </w:r>
          </w:p>
        </w:tc>
        <w:tc>
          <w:tcPr>
            <w:tcW w:type="dxa" w:w="2520"/>
          </w:tcPr>
          <w:p>
            <w:r>
              <w:t>Planetary Exploration Directorate</w:t>
            </w:r>
          </w:p>
        </w:tc>
        <w:tc>
          <w:tcPr>
            <w:tcW w:type="dxa" w:w="2520"/>
          </w:tcPr>
          <w:p>
            <w:r>
              <w:t>VERIFIED [SHA256: 9e71...20f4]</w:t>
            </w:r>
          </w:p>
        </w:tc>
        <w:tc>
          <w:tcPr>
            <w:tcW w:type="dxa" w:w="2520"/>
          </w:tcPr>
          <w:p>
            <w:r>
              <w:t>2026-10-20</w:t>
            </w:r>
          </w:p>
        </w:tc>
      </w:tr>
      <w:tr>
        <w:tc>
          <w:tcPr>
            <w:tcW w:type="dxa" w:w="2520"/>
          </w:tcPr>
          <w:p>
            <w:r>
              <w:t>Software Assurance Lead</w:t>
            </w:r>
          </w:p>
        </w:tc>
        <w:tc>
          <w:tcPr>
            <w:tcW w:type="dxa" w:w="2520"/>
          </w:tcPr>
          <w:p>
            <w:r>
              <w:t>Mission Safety Division</w:t>
            </w:r>
          </w:p>
        </w:tc>
        <w:tc>
          <w:tcPr>
            <w:tcW w:type="dxa" w:w="2520"/>
          </w:tcPr>
          <w:p>
            <w:r>
              <w:t>VERIFIED [SHA256: 6a0f...83b1]</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