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11</w:t>
        <w:br/>
        <w:t>LEVEL 3 • HYPERSPECTRAL UNMIXING VIA NON-NEGATIVE MATRIX FACTORIZATION REGRESSION</w:t>
      </w:r>
    </w:p>
    <w:p>
      <w:pPr>
        <w:pStyle w:val="Heading2"/>
      </w:pPr>
      <w:r>
        <w:t>Page 1: Section 11.1: Executive Overview &amp; Abstract</w:t>
      </w:r>
    </w:p>
    <w:p>
      <w:r>
        <w:t>Computer Vision, High-Dimensional Regression, and Level 3 Charter</w:t>
      </w:r>
    </w:p>
    <w:p>
      <w:r>
        <w:t>Volume 11 of the Multigalaxial Life Research Programme establishes advanced mathematical and computational foundations for 'Hyperspectral Unmixing via Non-Negative Matrix Factorization Regression' within Part II: Multi-Spectral &amp; Hyperspectral Computer Vision Inversion.</w:t>
      </w:r>
    </w:p>
    <w:p>
      <w:r>
        <w:t>This volume investigates the core computer vision challenge: Decomposition of pixel spectra into pure endmember minerals and abundance fractions. We formalize this through Non-Negative Matrix Factorization (NMF) to guarantee robust feature extraction and statistical convergence.</w:t>
      </w:r>
    </w:p>
    <w:p>
      <w:r>
        <w:t>Equation (11.1): \min_{\mathbf{W}, \mathbf{H} \ge 0} \frac{1}{2} \|\mathbf{Y} - \mathbf{W} \mathbf{H}\|_F^2 + \alpha \|\mathbf{H}\|_1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11.3: Foundational Computer Vision &amp; Regression Literature</w:t>
      </w:r>
    </w:p>
    <w:p>
      <w:r>
        <w:t>Peer-Reviewed Citations and Historical Development</w:t>
      </w:r>
    </w:p>
    <w:p>
      <w:r>
        <w:t>The analytical framework of Hyperspectral Unmixing via Non-Negative Matrix Factorization Regression synthesizes established peer-reviewed literature across computer vision, deep learning, and statistical regression.</w:t>
      </w:r>
    </w:p>
    <w:p>
      <w:r>
        <w:t>• Foundational Literature Benchmark: Lee, D. D., &amp; Seung, H. S. (1999). Learning the parts of objects by non-negative matrix factorization. Nature, 401, 788-791.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Hyperspectral Unmixing via Non-Negative Matrix Factorization Regression are formalized as optimization over high-dimensional parameter spaces.</w:t>
      </w:r>
    </w:p>
    <w:p>
      <w:r>
        <w:t>Equation (11.4a):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11.38: Comprehensive Bibliographic References</w:t>
      </w:r>
    </w:p>
    <w:p>
      <w:r>
        <w:t>Peer-Reviewed Citations and Computer Vision Standards</w:t>
      </w:r>
    </w:p>
    <w:p>
      <w:r>
        <w:t>The conclusions of Hyperspectral Unmixing via Non-Negative Matrix Factorization Regression are grounded in established academic literature:</w:t>
      </w:r>
    </w:p>
    <w:p>
      <w:r>
        <w:t>• Lee, D. D., &amp; Seung, H. S. (1999). Learning the parts of objects by non-negative matrix factorization. Nature, 401, 788-791.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11 establishes detailed analytical formulations for Hyperspectral Unmixing via Non-Negative Matrix Factorization Regression within Part II: Multi-Spectral &amp; Hyperspectral Computer Vision Inversion.</w:t>
      </w:r>
    </w:p>
    <w:p>
      <w:r>
        <w:t>Equation (11.39):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11.40: Formal Volume Certification &amp; Acceptance</w:t>
      </w:r>
    </w:p>
    <w:p>
      <w:r>
        <w:t>Final Quality Review, Page Budget Sign-Off, and Archival Deposit</w:t>
      </w:r>
    </w:p>
    <w:p>
      <w:r>
        <w:t>This page completes Volume 11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