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59</w:t>
        <w:br/>
        <w:t>LEVEL 3 • CLASS ACTIVATION MAPPING (GRAD-CAM) FOR VISUAL ANOMALY INTERPRETABILITY</w:t>
      </w:r>
    </w:p>
    <w:p>
      <w:pPr>
        <w:pStyle w:val="Heading2"/>
      </w:pPr>
      <w:r>
        <w:t>Page 1: Section 59.1: Executive Overview &amp; Abstract</w:t>
      </w:r>
    </w:p>
    <w:p>
      <w:r>
        <w:t>Computer Vision, High-Dimensional Regression, and Level 3 Charter</w:t>
      </w:r>
    </w:p>
    <w:p>
      <w:r>
        <w:t>Volume 59 of the Multigalaxial Life Research Programme establishes advanced mathematical and computational foundations for 'Class Activation Mapping (Grad-CAM) for Visual Anomaly Interpretability' within Part VI: Self-Supervised Vision Transformers &amp; Morphological Anomalies.</w:t>
      </w:r>
    </w:p>
    <w:p>
      <w:r>
        <w:t>This volume investigates the core computer vision challenge: Visual attribution heatmaps highlighting localized non-axisymmetric anomalies. We formalize this through Grad-CAM Feature Gradient Weighting to guarantee robust feature extraction and statistical convergence.</w:t>
      </w:r>
    </w:p>
    <w:p>
      <w:r>
        <w:t>Equation (59.1): L_{Grad-CAM}^c = \text{ReLU}\left( \sum_k \alpha_k^c \mathbf{A}^k \right), \quad \alpha_k^c = \frac{1}{Z} \sum_i \sum_j \frac{\partial y^c}{\partial A_{i,j}^k}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59.2: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59.3: Foundational Computer Vision &amp; Regression Literature</w:t>
      </w:r>
    </w:p>
    <w:p>
      <w:r>
        <w:t>Peer-Reviewed Citations and Historical Development</w:t>
      </w:r>
    </w:p>
    <w:p>
      <w:r>
        <w:t>The analytical framework of Class Activation Mapping (Grad-CAM) for Visual Anomaly Interpretability synthesizes established peer-reviewed literature across computer vision, deep learning, and statistical regression.</w:t>
      </w:r>
    </w:p>
    <w:p>
      <w:r>
        <w:t>• Foundational Literature Benchmark: Selvaraju, R. R., et al. (2017). Grad-CAM: Visual explanations from deep networks. ICCV, 618-626.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59.4: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Class Activation Mapping (Grad-CAM) for Visual Anomaly Interpretability are formalized as optimization over high-dimensional parameter spaces.</w:t>
      </w:r>
    </w:p>
    <w:p>
      <w:r>
        <w:t>Equation (59.4a):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(59.4b):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59.5: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59.6: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59.7: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59.8: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59.9: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59.10: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59.11: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59.12: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(59.12):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59.13: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59.14: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59.15: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59.16: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59.17: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59.18: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59.19: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59.20: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59.21: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59.22: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(59.22):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59.23: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59.24: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59.25: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59.26: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59.27: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59.28: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59.29: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59.30: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59.31: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59.32: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59.33: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59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59.34: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59.35: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59.36: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59.37: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59.38: Comprehensive Bibliographic References</w:t>
      </w:r>
    </w:p>
    <w:p>
      <w:r>
        <w:t>Peer-Reviewed Citations and Computer Vision Standards</w:t>
      </w:r>
    </w:p>
    <w:p>
      <w:r>
        <w:t>The conclusions of Class Activation Mapping (Grad-CAM) for Visual Anomaly Interpretability are grounded in established academic literature:</w:t>
      </w:r>
    </w:p>
    <w:p>
      <w:r>
        <w:t>• Selvaraju, R. R., et al. (2017). Grad-CAM: Visual explanations from deep networks. ICCV, 618-626.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59.39: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59 establishes detailed analytical formulations for Class Activation Mapping (Grad-CAM) for Visual Anomaly Interpretability within Part VI: Self-Supervised Vision Transformers &amp; Morphological Anomalies.</w:t>
      </w:r>
    </w:p>
    <w:p>
      <w:r>
        <w:t>Equation (59.39):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59.40: Formal Volume Certification &amp; Acceptance</w:t>
      </w:r>
    </w:p>
    <w:p>
      <w:r>
        <w:t>Final Quality Review, Page Budget Sign-Off, and Archival Deposit</w:t>
      </w:r>
    </w:p>
    <w:p>
      <w:r>
        <w:t>This page completes Volume 59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