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17</w:t>
        <w:br/>
        <w:t>LEVEL 2 • INFRARED, THERMAL, AND SPECTRAL SENSORS</w:t>
      </w:r>
    </w:p>
    <w:p>
      <w:pPr>
        <w:pStyle w:val="Heading2"/>
      </w:pPr>
      <w:r>
        <w:t>Page 1: Section 17.1: 1.1 Executive Overview &amp; Abstract</w:t>
      </w:r>
    </w:p>
    <w:p>
      <w:r>
        <w:t>Cosmic Scaling, Scope, and Architectural Mission</w:t>
      </w:r>
    </w:p>
    <w:p>
      <w:r>
        <w:t>Volume 17 establishes the rigorous engineering foundations for 'Infrared, Thermal, and Spectral Sensors' within Part IV of the Multigalaxial Life Level 2 Research Programme.</w:t>
      </w:r>
    </w:p>
    <w:p>
      <w:r>
        <w:t>The core scientific inquiry addressed in this volume asks: 'How do organisms detect thermal radiation gradients in zero-lux environments?' To answer this rigorously, we formalize the mathematical mapping between simulated sensory percepts, virtual microprocessor cycle costs, and spatial kinematic locomotion.</w:t>
      </w:r>
    </w:p>
    <w:p>
      <w:r>
        <w:t>Equation (17.1): B_\lambda(T) = \frac{2 h c^2}{\lambda^5 \left( \exp\left( \frac{h c}{\lambda k_B T} \right) - 1 \right)}</w:t>
      </w:r>
    </w:p>
    <w:p>
      <w:r>
        <w:t>Equation 17.1 governs the core operational dynamics. Primary technical focus is directed towards Stefan-Boltzmann Radiometry, Blackbody Radiance, Spectral Bands, and Thermal Drift,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17.2: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17.3: 1.3 Foundational Literature Survey</w:t>
      </w:r>
    </w:p>
    <w:p>
      <w:r>
        <w:t>Historical Trajectory and Peer-Reviewed Works</w:t>
      </w:r>
    </w:p>
    <w:p>
      <w:r>
        <w:t>The theoretical architecture of Infrared, Thermal, and Spectral Sensors synthesizes classical paradigms across robotics, computational biology, control theory, and astrobiology.</w:t>
      </w:r>
    </w:p>
    <w:p>
      <w:r>
        <w:t>• Foundational Literature Benchmark: Planck, M. (1901). On the law of distribution of energy in the normal spectrum. Ann. Phys., 4, 553.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17.4: 1.4 Mathematical Formulation</w:t>
      </w:r>
    </w:p>
    <w:p>
      <w:r>
        <w:t>Continuous Governing Differential Equations</w:t>
      </w:r>
    </w:p>
    <w:p>
      <w:r>
        <w:t>Continuous-time physical dynamics for Stefan-Boltzmann Radiometry, Blackbody Radiance, Spectral Bands, and Thermal Drift are formalized through coupled differential equations governing state trajectories in phase space.</w:t>
      </w:r>
    </w:p>
    <w:p>
      <w:r>
        <w:t>Equation (17.4a):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(17.4b): \mathbf{u}(t) = \mathbf{\pi}_{ctrl}(\mathbf{y}(t - \tau_{latency}))</w:t>
      </w:r>
    </w:p>
    <w:p>
      <w:r>
        <w:t>Here tau_latency represents the simulated execution delay introduced by the virtual microprocessor executing Stefan-Boltzmann Radiometry, Blackbody Radiance, Spectral Bands, and Thermal Drift routines.</w:t>
      </w:r>
    </w:p>
    <w:p>
      <w:r>
        <w:br w:type="page"/>
      </w:r>
    </w:p>
    <w:p>
      <w:pPr>
        <w:pStyle w:val="Heading2"/>
      </w:pPr>
      <w:r>
        <w:t>Page 5: Section 17.5: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17.6: 2.1 System Architecture &amp; Dataflow</w:t>
      </w:r>
    </w:p>
    <w:p>
      <w:r>
        <w:t>Subsystem Modular Decomposition &amp; Directed Acyclic Graph</w:t>
      </w:r>
    </w:p>
    <w:p>
      <w:r>
        <w:t>The software architecture supporting Infrared, Thermal, and Spectral Sensors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17.7: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Infrared, Thermal, and Spectral Sensors.</w:t>
      </w:r>
    </w:p>
    <w:p>
      <w:r>
        <w:t>Equation (17.7):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17.8: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Infrared, Thermal, and Spectral Sensors.</w:t>
      </w:r>
    </w:p>
    <w:p>
      <w:r>
        <w:t>Equation (17.8):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17.9: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Infrared, Thermal, and Spectral Sensors.</w:t>
      </w:r>
    </w:p>
    <w:p>
      <w:r>
        <w:t>Equation (17.9):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17.10: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Infrared, Thermal, and Spectral Sensors.</w:t>
      </w:r>
    </w:p>
    <w:p>
      <w:r>
        <w:t>Equation (17.10):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17.11: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Infrared, Thermal, and Spectral Sensors.</w:t>
      </w:r>
    </w:p>
    <w:p>
      <w:r>
        <w:t>Equation (17.11):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17.12: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(17.12):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17.13: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Infrared, Thermal, and Spectral Sensors.</w:t>
      </w:r>
    </w:p>
    <w:p>
      <w:r>
        <w:t>Equation (17.13):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17.14: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Infrared, Thermal, and Spectral Sensors.</w:t>
      </w:r>
    </w:p>
    <w:p>
      <w:r>
        <w:t>Equation (17.14):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17.15: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Infrared, Thermal, and Spectral Sensors.</w:t>
      </w:r>
    </w:p>
    <w:p>
      <w:r>
        <w:t>Equation (17.15):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17.16: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Infrared, Thermal, and Spectral Sensors.</w:t>
      </w:r>
    </w:p>
    <w:p>
      <w:r>
        <w:t>Equation (17.16):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17.17: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Infrared, Thermal, and Spectral Sensors.</w:t>
      </w:r>
    </w:p>
    <w:p>
      <w:r>
        <w:t>Equation (17.17):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17.18: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Infrared, Thermal, and Spectral Sensors.</w:t>
      </w:r>
    </w:p>
    <w:p>
      <w:r>
        <w:t>Equation (17.18):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17.19: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Infrared, Thermal, and Spectral Sensors.</w:t>
      </w:r>
    </w:p>
    <w:p>
      <w:r>
        <w:t>Equation (17.19):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17.20: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Infrared, Thermal, and Spectral Sensors.</w:t>
      </w:r>
    </w:p>
    <w:p>
      <w:r>
        <w:t>Equation (17.20):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17.21: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(17.21):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17.22: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(17.22):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17.23: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Infrared, Thermal, and Spectral Sensors.</w:t>
      </w:r>
    </w:p>
    <w:p>
      <w:r>
        <w:t>Equation (17.23):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17.24: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Infrared, Thermal, and Spectral Sensors.</w:t>
      </w:r>
    </w:p>
    <w:p>
      <w:r>
        <w:t>Equation (17.24):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17.25: 5.5 Experimental Protocol Definition</w:t>
      </w:r>
    </w:p>
    <w:p>
      <w:r>
        <w:t>Operationalized Hypotheses and Controlled Variables</w:t>
      </w:r>
    </w:p>
    <w:p>
      <w:r>
        <w:t>To rigorously evaluate Stefan-Boltzmann Radiometry, Blackbody Radiance, Spectral Bands, and Thermal Drift,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17.26: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Infrared, Thermal, and Spectral Sensors.</w:t>
      </w:r>
    </w:p>
    <w:p>
      <w:r>
        <w:t>Equation (17.26):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17.27: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Infrared, Thermal, and Spectral Sensors.</w:t>
      </w:r>
    </w:p>
    <w:p>
      <w:r>
        <w:t>Equation (17.27):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17.28: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Infrared, Thermal, and Spectral Sensors.</w:t>
      </w:r>
    </w:p>
    <w:p>
      <w:r>
        <w:t>Equation (17.28):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17.29: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Infrared, Thermal, and Spectral Sensors.</w:t>
      </w:r>
    </w:p>
    <w:p>
      <w:r>
        <w:t>Equation (17.29):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17.30: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(17.30):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17.31: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Infrared, Thermal, and Spectral Sensors.</w:t>
      </w:r>
    </w:p>
    <w:p>
      <w:r>
        <w:t>Equation (17.31):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17.32: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Infrared, Thermal, and Spectral Sensors.</w:t>
      </w:r>
    </w:p>
    <w:p>
      <w:r>
        <w:t>Equation (17.32):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17.33: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Infrared, Thermal, and Spectral Sensors.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17.34: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17.35: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Infrared, Thermal, and Spectral Sensors.</w:t>
      </w:r>
    </w:p>
    <w:p>
      <w:r>
        <w:t>Equation (17.35):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17.36: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Infrared, Thermal, and Spectral Sensors.</w:t>
      </w:r>
    </w:p>
    <w:p>
      <w:r>
        <w:t>Equation (17.36):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17.37: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Infrared, Thermal, and Spectral Sensors.</w:t>
      </w:r>
    </w:p>
    <w:p>
      <w:r>
        <w:t>Equation (17.37):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17.38: 8.3 Comprehensive Bibliographic Corpus</w:t>
      </w:r>
    </w:p>
    <w:p>
      <w:r>
        <w:t>Peer-Reviewed Literature and Standards Citations</w:t>
      </w:r>
    </w:p>
    <w:p>
      <w:r>
        <w:t>The theoretical and empirical conclusions of Infrared, Thermal, and Spectral Sensors are grounded in the peer-reviewed scientific literature.</w:t>
      </w:r>
    </w:p>
    <w:p>
      <w:r>
        <w:t>• Planck, M. (1901). On the law of distribution of energy in the normal spectrum. Ann. Phys., 4, 553.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17.39: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Infrared, Thermal, and Spectral Sensors.</w:t>
      </w:r>
    </w:p>
    <w:p>
      <w:r>
        <w:t>Equation (17.39):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17.40: 8.5 Formal Certification &amp; Acceptance</w:t>
      </w:r>
    </w:p>
    <w:p>
      <w:r>
        <w:t>Final Scientific Review Sign-off and Programme Manifest</w:t>
      </w:r>
    </w:p>
    <w:p>
      <w:r>
        <w:t>This document completes Volume 17 ('Infrared, Thermal, and Spectral Sensors')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