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2E4F8A"/>
          <w:sz w:val="56"/>
          <w:szCs w:val="56"/>
        </w:rPr>
        <w:t xml:space="preserve">Drift Detection Report</w:t>
      </w:r>
    </w:p>
    <w:p>
      <w:pPr>
        <w:spacing w:after="80"/>
        <w:jc w:val="center"/>
      </w:pPr>
      <w:r>
        <w:rPr>
          <w:rFonts w:ascii="Arial" w:cs="Arial" w:eastAsia="Arial" w:hAnsi="Arial"/>
          <w:color w:val="555555"/>
          <w:sz w:val="28"/>
          <w:szCs w:val="28"/>
        </w:rPr>
        <w:t xml:space="preserve">Week 4 — Monitoring, Drift Detection &amp; Retraining Strategy</w:t>
      </w:r>
    </w:p>
    <w:p>
      <w:pPr>
        <w:spacing w:after="480"/>
        <w:jc w:val="center"/>
      </w:pPr>
      <w:r>
        <w:rPr>
          <w:rFonts w:ascii="Arial" w:cs="Arial" w:eastAsia="Arial" w:hAnsi="Arial"/>
          <w:color w:val="888888"/>
          <w:sz w:val="24"/>
          <w:szCs w:val="24"/>
        </w:rPr>
        <w:t xml:space="preserve">NYC Taxi Demand Forecasting System  |  Analysis Period: February 2–28, 2026</w:t>
      </w:r>
    </w:p>
    <w:p>
      <w:pPr>
        <w:pStyle w:val="Heading1"/>
      </w:pPr>
      <w:r>
        <w:t xml:space="preserve">1. Executive Summary</w:t>
      </w:r>
    </w:p>
    <w:p>
      <w:pPr>
        <w:spacing w:after="120"/>
      </w:pPr>
      <w:r>
        <w:t xml:space="preserve">Following the resolution of Week 3 data quality issues, the taxi demand forecasting system resumed operation on February 2, 2026. Analysis of incoming data for February 2-28, 2026 against the training baseline (data through January 15, 2026) reveals four distinct and co-occurring drift patterns causing significant model performance degradation.</w:t>
      </w:r>
    </w:p>
    <w:p>
      <w:pPr>
        <w:spacing w:after="120"/>
      </w:pPr>
      <w:r>
        <w:t xml:space="preserve">Two patterns are data drift (changes in feature distributions) and two are concept drift (a change in the feature-target relationship). The Population Stability Index for rolling-average lag features in Manhattan exceeds 1.0, well above the 0.20 critical threshold. Feature-to-target correlation for zone_slot_baseline in outer boroughs has collapsed from ~0.50 to near zero. The morning peak demand ratio has inverted completely. Manhattan weekend demand is systematically 17% lower than the model expects.</w:t>
      </w:r>
    </w:p>
    <w:p>
      <w:pPr>
        <w:spacing w:after="120"/>
      </w:pPr>
      <w:r>
        <w:t xml:space="preserve">Retraining is recommended immediately. Running check_drift_thresholds.py on the current metrics returns exit code 1, with 9 of 10 monitored metrics breaching critical thresholds.</w:t>
      </w:r>
    </w:p>
    <w:p>
      <w:r>
        <w:t xml:space="preserve"/>
      </w:r>
    </w:p>
    <w:p>
      <w:pPr>
        <w:pStyle w:val="Heading1"/>
      </w:pPr>
      <w:r>
        <w:t xml:space="preserve">2. Data Overview</w:t>
      </w:r>
    </w:p>
    <w:p>
      <w:pPr>
        <w:spacing w:after="120"/>
      </w:pPr>
      <w:r>
        <w:t xml:space="preserve">The analysis uses demand_enriched_week4.parquet, which contains 15-minute aggregated trip counts per NYC taxi pickup zone from January 1, 2023 through February 28, 2026. The dataset covers 57 unique zones across three boroughs: Manhattan (borough_id=0), Queens (borough_id=1), and Brooklyn (borough_id=2).</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00"/>
        <w:gridCol w:w="2100"/>
        <w:gridCol w:w="2160"/>
      </w:tblGrid>
      <w:tr>
        <w:tc>
          <w:tcPr>
            <w:tcW w:type="dxa" w:w="300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tcPr>
          <w:p>
            <w:r>
              <w:rPr>
                <w:rFonts w:ascii="Arial" w:cs="Arial" w:eastAsia="Arial" w:hAnsi="Arial"/>
                <w:b/>
                <w:bCs/>
                <w:color w:val="FFFFFF"/>
                <w:sz w:val="20"/>
                <w:szCs w:val="20"/>
              </w:rPr>
              <w:t xml:space="preserve">Period</w:t>
            </w:r>
          </w:p>
        </w:tc>
        <w:tc>
          <w:tcPr>
            <w:tcW w:type="dxa" w:w="210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tcPr>
          <w:p>
            <w:r>
              <w:rPr>
                <w:rFonts w:ascii="Arial" w:cs="Arial" w:eastAsia="Arial" w:hAnsi="Arial"/>
                <w:b/>
                <w:bCs/>
                <w:color w:val="FFFFFF"/>
                <w:sz w:val="20"/>
                <w:szCs w:val="20"/>
              </w:rPr>
              <w:t xml:space="preserve">Rows</w:t>
            </w:r>
          </w:p>
        </w:tc>
        <w:tc>
          <w:tcPr>
            <w:tcW w:type="dxa" w:w="210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tcPr>
          <w:p>
            <w:r>
              <w:rPr>
                <w:rFonts w:ascii="Arial" w:cs="Arial" w:eastAsia="Arial" w:hAnsi="Arial"/>
                <w:b/>
                <w:bCs/>
                <w:color w:val="FFFFFF"/>
                <w:sz w:val="20"/>
                <w:szCs w:val="20"/>
              </w:rPr>
              <w:t xml:space="preserve">Zones</w:t>
            </w:r>
          </w:p>
        </w:tc>
        <w:tc>
          <w:tcPr>
            <w:tcW w:type="dxa" w:w="216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2023-01-01 to 2026-01-15</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6,073,977</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57</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Training baseline</w:t>
            </w:r>
          </w:p>
        </w:tc>
      </w:tr>
      <w:tr>
        <w:tc>
          <w:tcPr>
            <w:tcW w:type="dxa" w:w="30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val="false"/>
                <w:bCs w:val="false"/>
                <w:sz w:val="20"/>
                <w:szCs w:val="20"/>
              </w:rPr>
              <w:t xml:space="preserve">2026-02-02 to 2026-02-28</w:t>
            </w:r>
          </w:p>
        </w:tc>
        <w:tc>
          <w:tcPr>
            <w:tcW w:type="dxa" w:w="21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val="false"/>
                <w:bCs w:val="false"/>
                <w:sz w:val="20"/>
                <w:szCs w:val="20"/>
              </w:rPr>
              <w:t xml:space="preserve">157,829</w:t>
            </w:r>
          </w:p>
        </w:tc>
        <w:tc>
          <w:tcPr>
            <w:tcW w:type="dxa" w:w="21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val="false"/>
                <w:bCs w:val="false"/>
                <w:sz w:val="20"/>
                <w:szCs w:val="20"/>
              </w:rPr>
              <w:t xml:space="preserve">57</w:t>
            </w:r>
          </w:p>
        </w:tc>
        <w:tc>
          <w:tcPr>
            <w:tcW w:type="dxa" w:w="216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bCs/>
                <w:sz w:val="20"/>
                <w:szCs w:val="20"/>
              </w:rPr>
              <w:t xml:space="preserve">Drift analysis window</w:t>
            </w:r>
          </w:p>
        </w:tc>
      </w:tr>
    </w:tbl>
    <w:p>
      <w:r>
        <w:t xml:space="preserve"/>
      </w:r>
    </w:p>
    <w:p>
      <w:pPr>
        <w:spacing w:after="120"/>
      </w:pPr>
      <w:r>
        <w:t xml:space="preserve">The operational start date is January 15, 2026. The Week 3 data quality incident (Jan 16 - Feb 1) is excluded from this analysis to isolate genuine model-environment mismatch.</w:t>
      </w:r>
    </w:p>
    <w:p>
      <w:r>
        <w:t xml:space="preserve"/>
      </w:r>
    </w:p>
    <w:p>
      <w:pPr>
        <w:pStyle w:val="Heading1"/>
      </w:pPr>
      <w:r>
        <w:t xml:space="preserve">3. Drift Pattern 1: Temporal Peak Shift</w:t>
      </w:r>
    </w:p>
    <w:p>
      <w:pPr>
        <w:pStyle w:val="Heading2"/>
      </w:pPr>
      <w:r>
        <w:t xml:space="preserve">What Drifted</w:t>
      </w:r>
    </w:p>
    <w:p>
      <w:pPr>
        <w:spacing w:after="120"/>
      </w:pPr>
      <w:r>
        <w:t xml:space="preserve">The hourly distribution of trip counts shifted dramatically earlier in the day. In the training baseline, the 5-7 AM window (slot_of_day 20-27) averaged 3.51 trips per zone per slot while the 9-11 AM window (slots 36-43) averaged 18.04 — a ratio of 0.195. In the drift period this ratio is 2.150, meaning the 5-7 AM window now has more than twice the demand of the 9-11 AM window.</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00"/>
        <w:gridCol w:w="2100"/>
        <w:gridCol w:w="2160"/>
      </w:tblGrid>
      <w:tr>
        <w:tc>
          <w:tcPr>
            <w:tcW w:type="dxa" w:w="300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tcPr>
          <w:p>
            <w:r>
              <w:rPr>
                <w:rFonts w:ascii="Arial" w:cs="Arial" w:eastAsia="Arial" w:hAnsi="Arial"/>
                <w:b/>
                <w:bCs/>
                <w:color w:val="FFFFFF"/>
                <w:sz w:val="20"/>
                <w:szCs w:val="20"/>
              </w:rPr>
              <w:t xml:space="preserve">Time Window</w:t>
            </w:r>
          </w:p>
        </w:tc>
        <w:tc>
          <w:tcPr>
            <w:tcW w:type="dxa" w:w="210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tcPr>
          <w:p>
            <w:r>
              <w:rPr>
                <w:rFonts w:ascii="Arial" w:cs="Arial" w:eastAsia="Arial" w:hAnsi="Arial"/>
                <w:b/>
                <w:bCs/>
                <w:color w:val="FFFFFF"/>
                <w:sz w:val="20"/>
                <w:szCs w:val="20"/>
              </w:rPr>
              <w:t xml:space="preserve">Baseline Avg Trips</w:t>
            </w:r>
          </w:p>
        </w:tc>
        <w:tc>
          <w:tcPr>
            <w:tcW w:type="dxa" w:w="210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tcPr>
          <w:p>
            <w:r>
              <w:rPr>
                <w:rFonts w:ascii="Arial" w:cs="Arial" w:eastAsia="Arial" w:hAnsi="Arial"/>
                <w:b/>
                <w:bCs/>
                <w:color w:val="FFFFFF"/>
                <w:sz w:val="20"/>
                <w:szCs w:val="20"/>
              </w:rPr>
              <w:t xml:space="preserve">Drift Avg Trips</w:t>
            </w:r>
          </w:p>
        </w:tc>
        <w:tc>
          <w:tcPr>
            <w:tcW w:type="dxa" w:w="216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tcPr>
          <w:p>
            <w:r>
              <w:rPr>
                <w:rFonts w:ascii="Arial" w:cs="Arial" w:eastAsia="Arial" w:hAnsi="Arial"/>
                <w:b/>
                <w:bCs/>
                <w:color w:val="FFFFFF"/>
                <w:sz w:val="20"/>
                <w:szCs w:val="20"/>
              </w:rPr>
              <w:t xml:space="preserve">% Change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5-7 AM (slots 20-27)</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3.51</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93.30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+2,558%</w:t>
            </w:r>
          </w:p>
        </w:tc>
      </w:tr>
      <w:tr>
        <w:tc>
          <w:tcPr>
            <w:tcW w:type="dxa" w:w="30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val="false"/>
                <w:bCs w:val="false"/>
                <w:sz w:val="20"/>
                <w:szCs w:val="20"/>
              </w:rPr>
              <w:t xml:space="preserve">9-11 AM (slots 36-43)</w:t>
            </w:r>
          </w:p>
        </w:tc>
        <w:tc>
          <w:tcPr>
            <w:tcW w:type="dxa" w:w="21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val="false"/>
                <w:bCs w:val="false"/>
                <w:sz w:val="20"/>
                <w:szCs w:val="20"/>
              </w:rPr>
              <w:t xml:space="preserve">18.04</w:t>
            </w:r>
          </w:p>
        </w:tc>
        <w:tc>
          <w:tcPr>
            <w:tcW w:type="dxa" w:w="21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val="false"/>
                <w:bCs w:val="false"/>
                <w:sz w:val="20"/>
                <w:szCs w:val="20"/>
              </w:rPr>
              <w:t xml:space="preserve">43.40</w:t>
            </w:r>
          </w:p>
        </w:tc>
        <w:tc>
          <w:tcPr>
            <w:tcW w:type="dxa" w:w="216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bCs/>
                <w:sz w:val="20"/>
                <w:szCs w:val="20"/>
              </w:rPr>
              <w:t xml:space="preserve">+141%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Early/Late ratio</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0.195</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2.150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+1.955 (inverted)</w:t>
            </w:r>
          </w:p>
        </w:tc>
      </w:tr>
    </w:tbl>
    <w:p>
      <w:r>
        <w:t xml:space="preserve"/>
      </w:r>
    </w:p>
    <w:p>
      <w:pPr>
        <w:pStyle w:val="Heading2"/>
      </w:pPr>
      <w:r>
        <w:t xml:space="preserve">When It Started</w:t>
      </w:r>
    </w:p>
    <w:p>
      <w:pPr>
        <w:spacing w:after="120"/>
      </w:pPr>
      <w:r>
        <w:t xml:space="preserve">February 2, 2026 — immediately at the start of the post-Week 3 operational window, affecting all zones globally.</w:t>
      </w:r>
    </w:p>
    <w:p>
      <w:pPr>
        <w:pStyle w:val="Heading2"/>
      </w:pPr>
      <w:r>
        <w:t xml:space="preserve">Segments Affected</w:t>
      </w:r>
    </w:p>
    <w:p>
      <w:pPr>
        <w:spacing w:after="120"/>
      </w:pPr>
      <w:r>
        <w:t xml:space="preserve">All boroughs and all zones. This is a global temporal shift, not segment-specific.</w:t>
      </w:r>
    </w:p>
    <w:p>
      <w:pPr>
        <w:pStyle w:val="Heading2"/>
      </w:pPr>
      <w:r>
        <w:t xml:space="preserve">Why It Matters</w:t>
      </w:r>
    </w:p>
    <w:p>
      <w:pPr>
        <w:spacing w:after="120"/>
      </w:pPr>
      <w:r>
        <w:t xml:space="preserve">The model's time-of-day features (hour_sin, hour_cos, slot_of_day) are calibrated to the historical daily demand curve. With the curve inverted, the model will systematically over-predict 9-11 AM demand and severely under-predict 5-7 AM demand. This is data drift — the joint distribution of slot_of_day and trip_count has changed structurally — likely reflecting a real behavioral shift in commuter patterns.</w:t>
      </w:r>
    </w:p>
    <w:p>
      <w:r>
        <w:t xml:space="preserve"/>
      </w:r>
    </w:p>
    <w:p>
      <w:pPr>
        <w:pStyle w:val="Heading1"/>
      </w:pPr>
      <w:r>
        <w:t xml:space="preserve">4. Drift Pattern 2: Manhattan Lag Feature Deflation</w:t>
      </w:r>
    </w:p>
    <w:p>
      <w:pPr>
        <w:pStyle w:val="Heading2"/>
      </w:pPr>
      <w:r>
        <w:t xml:space="preserve">What Drifted</w:t>
      </w:r>
    </w:p>
    <w:p>
      <w:pPr>
        <w:spacing w:after="120"/>
      </w:pPr>
      <w:r>
        <w:t xml:space="preserve">Lag and rolling-average features for Manhattan zones have been systematically deflated to approximately 44% of their baseline values. The features lag_1day, lag_1week, and roll_mean_1day all show mean ratios (current/baseline) of 0.436-0.457 for Manhattan. PSI values confirm this is a severe distributional shift, with roll_mean_1day reaching PSI = 1.017 in Manhattan — over 50 times the warning threshold.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00"/>
        <w:gridCol w:w="2100"/>
        <w:gridCol w:w="2160"/>
      </w:tblGrid>
      <w:tr>
        <w:tc>
          <w:tcPr>
            <w:tcW w:type="dxa" w:w="300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10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tcPr>
          <w:p>
            <w:r>
              <w:rPr>
                <w:rFonts w:ascii="Arial" w:cs="Arial" w:eastAsia="Arial" w:hAnsi="Arial"/>
                <w:b/>
                <w:bCs/>
                <w:color w:val="FFFFFF"/>
                <w:sz w:val="20"/>
                <w:szCs w:val="20"/>
              </w:rPr>
              <w:t xml:space="preserve">Manhattan Baseline Mean</w:t>
            </w:r>
          </w:p>
        </w:tc>
        <w:tc>
          <w:tcPr>
            <w:tcW w:type="dxa" w:w="210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tcPr>
          <w:p>
            <w:r>
              <w:rPr>
                <w:rFonts w:ascii="Arial" w:cs="Arial" w:eastAsia="Arial" w:hAnsi="Arial"/>
                <w:b/>
                <w:bCs/>
                <w:color w:val="FFFFFF"/>
                <w:sz w:val="20"/>
                <w:szCs w:val="20"/>
              </w:rPr>
              <w:t xml:space="preserve">Manhattan Drift Mean</w:t>
            </w:r>
          </w:p>
        </w:tc>
        <w:tc>
          <w:tcPr>
            <w:tcW w:type="dxa" w:w="216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tcPr>
          <w:p>
            <w:r>
              <w:rPr>
                <w:rFonts w:ascii="Arial" w:cs="Arial" w:eastAsia="Arial" w:hAnsi="Arial"/>
                <w:b/>
                <w:bCs/>
                <w:color w:val="FFFFFF"/>
                <w:sz w:val="20"/>
                <w:szCs w:val="20"/>
              </w:rPr>
              <w:t xml:space="preserve">Ratio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lag_1day</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16.94</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7.39</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0.436</w:t>
            </w:r>
          </w:p>
        </w:tc>
      </w:tr>
      <w:tr>
        <w:tc>
          <w:tcPr>
            <w:tcW w:type="dxa" w:w="30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val="false"/>
                <w:bCs w:val="false"/>
                <w:sz w:val="20"/>
                <w:szCs w:val="20"/>
              </w:rPr>
              <w:t xml:space="preserve">lag_1week</w:t>
            </w:r>
          </w:p>
        </w:tc>
        <w:tc>
          <w:tcPr>
            <w:tcW w:type="dxa" w:w="21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val="false"/>
                <w:bCs w:val="false"/>
                <w:sz w:val="20"/>
                <w:szCs w:val="20"/>
              </w:rPr>
              <w:t xml:space="preserve">17.50</w:t>
            </w:r>
          </w:p>
        </w:tc>
        <w:tc>
          <w:tcPr>
            <w:tcW w:type="dxa" w:w="21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val="false"/>
                <w:bCs w:val="false"/>
                <w:sz w:val="20"/>
                <w:szCs w:val="20"/>
              </w:rPr>
              <w:t xml:space="preserve">7.99</w:t>
            </w:r>
          </w:p>
        </w:tc>
        <w:tc>
          <w:tcPr>
            <w:tcW w:type="dxa" w:w="216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bCs/>
                <w:sz w:val="20"/>
                <w:szCs w:val="20"/>
              </w:rPr>
              <w:t xml:space="preserve">0.457</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roll_mean_1day</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16.93</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7.41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0.437</w:t>
            </w:r>
          </w:p>
        </w:tc>
      </w:tr>
      <w:tr>
        <w:tc>
          <w:tcPr>
            <w:tcW w:type="dxa" w:w="30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val="false"/>
                <w:bCs w:val="false"/>
                <w:sz w:val="20"/>
                <w:szCs w:val="20"/>
              </w:rPr>
              <w:t xml:space="preserve">PSI lag_1day (global)</w:t>
            </w:r>
          </w:p>
        </w:tc>
        <w:tc>
          <w:tcPr>
            <w:tcW w:type="dxa" w:w="21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21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216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bCs/>
                <w:sz w:val="20"/>
                <w:szCs w:val="20"/>
              </w:rPr>
              <w:t xml:space="preserve">0.289 (CRITICAL)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PSI roll_mean_1day (Manhattan)</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1.017 (CRITICAL)</w:t>
            </w:r>
          </w:p>
        </w:tc>
      </w:tr>
    </w:tbl>
    <w:p>
      <w:r>
        <w:t xml:space="preserve"/>
      </w:r>
    </w:p>
    <w:p>
      <w:pPr>
        <w:pStyle w:val="Heading2"/>
      </w:pPr>
      <w:r>
        <w:t xml:space="preserve">When It Started</w:t>
      </w:r>
    </w:p>
    <w:p>
      <w:pPr>
        <w:spacing w:after="120"/>
      </w:pPr>
      <w:r>
        <w:t xml:space="preserve">February 2, 2026. The deflation is consistent throughout the drift window with no recovery trend.</w:t>
      </w:r>
    </w:p>
    <w:p>
      <w:pPr>
        <w:pStyle w:val="Heading2"/>
      </w:pPr>
      <w:r>
        <w:t xml:space="preserve">Segments Affected</w:t>
      </w:r>
    </w:p>
    <w:p>
      <w:pPr>
        <w:spacing w:after="120"/>
      </w:pPr>
      <w:r>
        <w:t xml:space="preserve">Manhattan exclusively (borough_id = 0). Outer borough lag features are unaffected by this pattern.</w:t>
      </w:r>
    </w:p>
    <w:p>
      <w:pPr>
        <w:pStyle w:val="Heading2"/>
      </w:pPr>
      <w:r>
        <w:t xml:space="preserve">Why It Matters</w:t>
      </w:r>
    </w:p>
    <w:p>
      <w:pPr>
        <w:spacing w:after="120"/>
      </w:pPr>
      <w:r>
        <w:t xml:space="preserve">Lag features are the strongest predictors in the LightGBM model, as taxi demand is highly autocorrelated. A ~56% reduction means the model's primary input signals for Manhattan are operating at roughly half their true magnitude. Since the model was trained expecting lag values near 17 trips/slot, it will systematically under-predict Manhattan demand across all hours.</w:t>
      </w:r>
    </w:p>
    <w:p>
      <w:r>
        <w:t xml:space="preserve"/>
      </w:r>
    </w:p>
    <w:p>
      <w:pPr>
        <w:pStyle w:val="Heading1"/>
      </w:pPr>
      <w:r>
        <w:t xml:space="preserve">5. Drift Pattern 3: Outer Borough Baseline Scramble</w:t>
      </w:r>
    </w:p>
    <w:p>
      <w:pPr>
        <w:pStyle w:val="Heading2"/>
      </w:pPr>
      <w:r>
        <w:t xml:space="preserve">What Drifted</w:t>
      </w:r>
    </w:p>
    <w:p>
      <w:pPr>
        <w:spacing w:after="120"/>
      </w:pPr>
      <w:r>
        <w:t xml:space="preserve">The zone_slot_baseline feature — a historical average of trips per (zone, time_slot) used as a demand anchor — has become uncorrelated with actual trip_count in Queens and Brooklyn. Pearson correlation dropped from 0.48 (Queens) and 0.53 (Brooklyn) at baseline to essentially zero in the drift period. The scramble applies alternating zone-level multipliers (0.22x and 3.8x by zone ID order), breaking the feature-target relationship without visibly shifting the overall distribution — hence the near-zero PSI despite near-zero correlation.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00"/>
        <w:gridCol w:w="2100"/>
        <w:gridCol w:w="2160"/>
      </w:tblGrid>
      <w:tr>
        <w:tc>
          <w:tcPr>
            <w:tcW w:type="dxa" w:w="300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tcPr>
          <w:p>
            <w:r>
              <w:rPr>
                <w:rFonts w:ascii="Arial" w:cs="Arial" w:eastAsia="Arial" w:hAnsi="Arial"/>
                <w:b/>
                <w:bCs/>
                <w:color w:val="FFFFFF"/>
                <w:sz w:val="20"/>
                <w:szCs w:val="20"/>
              </w:rPr>
              <w:t xml:space="preserve">Borough</w:t>
            </w:r>
          </w:p>
        </w:tc>
        <w:tc>
          <w:tcPr>
            <w:tcW w:type="dxa" w:w="210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tcPr>
          <w:p>
            <w:r>
              <w:rPr>
                <w:rFonts w:ascii="Arial" w:cs="Arial" w:eastAsia="Arial" w:hAnsi="Arial"/>
                <w:b/>
                <w:bCs/>
                <w:color w:val="FFFFFF"/>
                <w:sz w:val="20"/>
                <w:szCs w:val="20"/>
              </w:rPr>
              <w:t xml:space="preserve">Baseline Correlation</w:t>
            </w:r>
          </w:p>
        </w:tc>
        <w:tc>
          <w:tcPr>
            <w:tcW w:type="dxa" w:w="210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tcPr>
          <w:p>
            <w:r>
              <w:rPr>
                <w:rFonts w:ascii="Arial" w:cs="Arial" w:eastAsia="Arial" w:hAnsi="Arial"/>
                <w:b/>
                <w:bCs/>
                <w:color w:val="FFFFFF"/>
                <w:sz w:val="20"/>
                <w:szCs w:val="20"/>
              </w:rPr>
              <w:t xml:space="preserve">Drift Correlation</w:t>
            </w:r>
          </w:p>
        </w:tc>
        <w:tc>
          <w:tcPr>
            <w:tcW w:type="dxa" w:w="216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tcPr>
          <w:p>
            <w:r>
              <w:rPr>
                <w:rFonts w:ascii="Arial" w:cs="Arial" w:eastAsia="Arial" w:hAnsi="Arial"/>
                <w:b/>
                <w:bCs/>
                <w:color w:val="FFFFFF"/>
                <w:sz w:val="20"/>
                <w:szCs w:val="20"/>
              </w:rPr>
              <w:t xml:space="preserve">Drop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Manhattan</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0.9353</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0.0094</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-0.926</w:t>
            </w:r>
          </w:p>
        </w:tc>
      </w:tr>
      <w:tr>
        <w:tc>
          <w:tcPr>
            <w:tcW w:type="dxa" w:w="30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val="false"/>
                <w:bCs w:val="false"/>
                <w:sz w:val="20"/>
                <w:szCs w:val="20"/>
              </w:rPr>
              <w:t xml:space="preserve">Queens</w:t>
            </w:r>
          </w:p>
        </w:tc>
        <w:tc>
          <w:tcPr>
            <w:tcW w:type="dxa" w:w="21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val="false"/>
                <w:bCs w:val="false"/>
                <w:sz w:val="20"/>
                <w:szCs w:val="20"/>
              </w:rPr>
              <w:t xml:space="preserve">0.4825</w:t>
            </w:r>
          </w:p>
        </w:tc>
        <w:tc>
          <w:tcPr>
            <w:tcW w:type="dxa" w:w="21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val="false"/>
                <w:bCs w:val="false"/>
                <w:sz w:val="20"/>
                <w:szCs w:val="20"/>
              </w:rPr>
              <w:t xml:space="preserve">0.0052</w:t>
            </w:r>
          </w:p>
        </w:tc>
        <w:tc>
          <w:tcPr>
            <w:tcW w:type="dxa" w:w="216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bCs/>
                <w:sz w:val="20"/>
                <w:szCs w:val="20"/>
              </w:rPr>
              <w:t xml:space="preserve">-0.477</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Brooklyn</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0.5263</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0.0930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-0.433</w:t>
            </w:r>
          </w:p>
        </w:tc>
      </w:tr>
    </w:tbl>
    <w:p>
      <w:r>
        <w:t xml:space="preserve"/>
      </w:r>
    </w:p>
    <w:p>
      <w:pPr>
        <w:pStyle w:val="Heading2"/>
      </w:pPr>
      <w:r>
        <w:t xml:space="preserve">When It Started</w:t>
      </w:r>
    </w:p>
    <w:p>
      <w:pPr>
        <w:spacing w:after="120"/>
      </w:pPr>
      <w:r>
        <w:t xml:space="preserve">The scramble is applied at the zone level across the full dataset — it is not time-gated. This represents a persistent feature corruption rather than a recent onset.</w:t>
      </w:r>
    </w:p>
    <w:p>
      <w:pPr>
        <w:pStyle w:val="Heading2"/>
      </w:pPr>
      <w:r>
        <w:t xml:space="preserve">Segments Affected</w:t>
      </w:r>
    </w:p>
    <w:p>
      <w:pPr>
        <w:spacing w:after="120"/>
      </w:pPr>
      <w:r>
        <w:t xml:space="preserve">Queens (borough_id = 1) and Brooklyn (borough_id = 2). Manhattan is not affected by this specific pattern.</w:t>
      </w:r>
    </w:p>
    <w:p>
      <w:pPr>
        <w:pStyle w:val="Heading2"/>
      </w:pPr>
      <w:r>
        <w:t xml:space="preserve">Why It Matters</w:t>
      </w:r>
    </w:p>
    <w:p>
      <w:pPr>
        <w:spacing w:after="120"/>
      </w:pPr>
      <w:r>
        <w:t xml:space="preserve">zone_slot_baseline is used to anchor predictions to stable historical patterns. When it is decorrelated from actuals, it contributes noise to every prediction for outer borough zones. The model will produce erratic zone-level forecasts, and post-deployment feature importance scores will misleadingly suggest the baseline feature is uninformative, masking the true issue.</w:t>
      </w:r>
    </w:p>
    <w:p>
      <w:r>
        <w:t xml:space="preserve"/>
      </w:r>
    </w:p>
    <w:p>
      <w:pPr>
        <w:pStyle w:val="Heading1"/>
      </w:pPr>
      <w:r>
        <w:t xml:space="preserve">6. Drift Pattern 4: Manhattan Weekend Concept Drift</w:t>
      </w:r>
    </w:p>
    <w:p>
      <w:pPr>
        <w:pStyle w:val="Heading2"/>
      </w:pPr>
      <w:r>
        <w:t xml:space="preserve">What Drifted</w:t>
      </w:r>
    </w:p>
    <w:p>
      <w:pPr>
        <w:spacing w:after="120"/>
      </w:pPr>
      <w:r>
        <w:t xml:space="preserve">In the training baseline, Manhattan weekends had a weekend/weekday trip ratio of 0.924 — weekends were slightly quieter but broadly similar to weekdays. In the February 2-28 drift period, this ratio is 0.757. Manhattan weekends are now 24% quieter relative to weekdays, a 17 percentage-point shift in the weekend/weekday relationship. This is concept drift: the is_weekend feature now implies a different level of demand than the model learned.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00"/>
        <w:gridCol w:w="2100"/>
        <w:gridCol w:w="2160"/>
      </w:tblGrid>
      <w:tr>
        <w:tc>
          <w:tcPr>
            <w:tcW w:type="dxa" w:w="300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tcPr>
          <w:p>
            <w:r>
              <w:rPr>
                <w:rFonts w:ascii="Arial" w:cs="Arial" w:eastAsia="Arial" w:hAnsi="Arial"/>
                <w:b/>
                <w:bCs/>
                <w:color w:val="FFFFFF"/>
                <w:sz w:val="20"/>
                <w:szCs w:val="20"/>
              </w:rPr>
              <w:t xml:space="preserve">Period</w:t>
            </w:r>
          </w:p>
        </w:tc>
        <w:tc>
          <w:tcPr>
            <w:tcW w:type="dxa" w:w="210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tcPr>
          <w:p>
            <w:r>
              <w:rPr>
                <w:rFonts w:ascii="Arial" w:cs="Arial" w:eastAsia="Arial" w:hAnsi="Arial"/>
                <w:b/>
                <w:bCs/>
                <w:color w:val="FFFFFF"/>
                <w:sz w:val="20"/>
                <w:szCs w:val="20"/>
              </w:rPr>
              <w:t xml:space="preserve">Weekend Avg Trips</w:t>
            </w:r>
          </w:p>
        </w:tc>
        <w:tc>
          <w:tcPr>
            <w:tcW w:type="dxa" w:w="210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tcPr>
          <w:p>
            <w:r>
              <w:rPr>
                <w:rFonts w:ascii="Arial" w:cs="Arial" w:eastAsia="Arial" w:hAnsi="Arial"/>
                <w:b/>
                <w:bCs/>
                <w:color w:val="FFFFFF"/>
                <w:sz w:val="20"/>
                <w:szCs w:val="20"/>
              </w:rPr>
              <w:t xml:space="preserve">Weekday Avg Trips</w:t>
            </w:r>
          </w:p>
        </w:tc>
        <w:tc>
          <w:tcPr>
            <w:tcW w:type="dxa" w:w="216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tcPr>
          <w:p>
            <w:r>
              <w:rPr>
                <w:rFonts w:ascii="Arial" w:cs="Arial" w:eastAsia="Arial" w:hAnsi="Arial"/>
                <w:b/>
                <w:bCs/>
                <w:color w:val="FFFFFF"/>
                <w:sz w:val="20"/>
                <w:szCs w:val="20"/>
              </w:rPr>
              <w:t xml:space="preserve">Ratio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Baseline (to Jan 15, 2026)</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15.99</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17.31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0.924</w:t>
            </w:r>
          </w:p>
        </w:tc>
      </w:tr>
      <w:tr>
        <w:tc>
          <w:tcPr>
            <w:tcW w:type="dxa" w:w="30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val="false"/>
                <w:bCs w:val="false"/>
                <w:sz w:val="20"/>
                <w:szCs w:val="20"/>
              </w:rPr>
              <w:t xml:space="preserve">Drift (Feb 2-28, 2026)</w:t>
            </w:r>
          </w:p>
        </w:tc>
        <w:tc>
          <w:tcPr>
            <w:tcW w:type="dxa" w:w="21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val="false"/>
                <w:bCs w:val="false"/>
                <w:sz w:val="20"/>
                <w:szCs w:val="20"/>
              </w:rPr>
              <w:t xml:space="preserve">68.58</w:t>
            </w:r>
          </w:p>
        </w:tc>
        <w:tc>
          <w:tcPr>
            <w:tcW w:type="dxa" w:w="21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val="false"/>
                <w:bCs w:val="false"/>
                <w:sz w:val="20"/>
                <w:szCs w:val="20"/>
              </w:rPr>
              <w:t xml:space="preserve">90.60</w:t>
            </w:r>
          </w:p>
        </w:tc>
        <w:tc>
          <w:tcPr>
            <w:tcW w:type="dxa" w:w="216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bCs/>
                <w:sz w:val="20"/>
                <w:szCs w:val="20"/>
              </w:rPr>
              <w:t xml:space="preserve">0.757</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Shift</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-0.167 (CRITICAL)</w:t>
            </w:r>
          </w:p>
        </w:tc>
      </w:tr>
    </w:tbl>
    <w:p>
      <w:r>
        <w:t xml:space="preserve"/>
      </w:r>
    </w:p>
    <w:p>
      <w:pPr>
        <w:pStyle w:val="Heading2"/>
      </w:pPr>
      <w:r>
        <w:t xml:space="preserve">When It Started</w:t>
      </w:r>
    </w:p>
    <w:p>
      <w:pPr>
        <w:spacing w:after="120"/>
      </w:pPr>
      <w:r>
        <w:t xml:space="preserve">February 2, 2026. The pattern is stable and consistent throughout the drift window.</w:t>
      </w:r>
    </w:p>
    <w:p>
      <w:pPr>
        <w:pStyle w:val="Heading2"/>
      </w:pPr>
      <w:r>
        <w:t xml:space="preserve">Segments Affected</w:t>
      </w:r>
    </w:p>
    <w:p>
      <w:pPr>
        <w:spacing w:after="120"/>
      </w:pPr>
      <w:r>
        <w:t xml:space="preserve">Manhattan (borough_id = 0) on weekends (is_weekend = 1) only. Outer boroughs and weekday Manhattan are not affected.</w:t>
      </w:r>
    </w:p>
    <w:p>
      <w:pPr>
        <w:pStyle w:val="Heading2"/>
      </w:pPr>
      <w:r>
        <w:t xml:space="preserve">Why It Matters</w:t>
      </w:r>
    </w:p>
    <w:p>
      <w:pPr>
        <w:spacing w:after="120"/>
      </w:pPr>
      <w:r>
        <w:t xml:space="preserve">This is a concept drift — the conditional distribution P(trip_count | is_weekend=1, borough=Manhattan) has changed. The model will consistently over-predict weekend Manhattan demand because its learned relationship between is_weekend and trip_count no longer holds. Likely causes include reduced weekend tourism, changing hybrid work patterns, or competitive substitution on weekends. No feature re-engineering fixes this; the model must be retrained on data reflecting the new relationship.</w:t>
      </w:r>
    </w:p>
    <w:p>
      <w:r>
        <w:t xml:space="preserve"/>
      </w:r>
    </w:p>
    <w:p>
      <w:pPr>
        <w:pStyle w:val="Heading1"/>
      </w:pPr>
      <w:r>
        <w:t xml:space="preserve">7. Summary of Detected Drifts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00"/>
        <w:gridCol w:w="2100"/>
        <w:gridCol w:w="2160"/>
      </w:tblGrid>
      <w:tr>
        <w:tc>
          <w:tcPr>
            <w:tcW w:type="dxa" w:w="300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tcPr>
          <w:p>
            <w:r>
              <w:rPr>
                <w:rFonts w:ascii="Arial" w:cs="Arial" w:eastAsia="Arial" w:hAnsi="Arial"/>
                <w:b/>
                <w:bCs/>
                <w:color w:val="FFFFFF"/>
                <w:sz w:val="20"/>
                <w:szCs w:val="20"/>
              </w:rPr>
              <w:t xml:space="preserve">Drift Pattern</w:t>
            </w:r>
          </w:p>
        </w:tc>
        <w:tc>
          <w:tcPr>
            <w:tcW w:type="dxa" w:w="210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10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tcPr>
          <w:p>
            <w:r>
              <w:rPr>
                <w:rFonts w:ascii="Arial" w:cs="Arial" w:eastAsia="Arial" w:hAnsi="Arial"/>
                <w:b/>
                <w:bCs/>
                <w:color w:val="FFFFFF"/>
                <w:sz w:val="20"/>
                <w:szCs w:val="20"/>
              </w:rPr>
              <w:t xml:space="preserve">Segments</w:t>
            </w:r>
          </w:p>
        </w:tc>
        <w:tc>
          <w:tcPr>
            <w:tcW w:type="dxa" w:w="216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tcPr>
          <w:p>
            <w:r>
              <w:rPr>
                <w:rFonts w:ascii="Arial" w:cs="Arial" w:eastAsia="Arial" w:hAnsi="Arial"/>
                <w:b/>
                <w:bCs/>
                <w:color w:val="FFFFFF"/>
                <w:sz w:val="20"/>
                <w:szCs w:val="20"/>
              </w:rPr>
              <w:t xml:space="preserve">Key Metric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 Temporal peak shift</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Data drift</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 zones/boroughs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Peak ratio shift: +1.955</w:t>
            </w:r>
          </w:p>
        </w:tc>
      </w:tr>
      <w:tr>
        <w:tc>
          <w:tcPr>
            <w:tcW w:type="dxa" w:w="30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val="false"/>
                <w:bCs w:val="false"/>
                <w:sz w:val="20"/>
                <w:szCs w:val="20"/>
              </w:rPr>
              <w:t xml:space="preserve">2. Manhattan lag deflation</w:t>
            </w:r>
          </w:p>
        </w:tc>
        <w:tc>
          <w:tcPr>
            <w:tcW w:type="dxa" w:w="21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val="false"/>
                <w:bCs w:val="false"/>
                <w:sz w:val="20"/>
                <w:szCs w:val="20"/>
              </w:rPr>
              <w:t xml:space="preserve">Data drift</w:t>
            </w:r>
          </w:p>
        </w:tc>
        <w:tc>
          <w:tcPr>
            <w:tcW w:type="dxa" w:w="21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val="false"/>
                <w:bCs w:val="false"/>
                <w:sz w:val="20"/>
                <w:szCs w:val="20"/>
              </w:rPr>
              <w:t xml:space="preserve">Manhattan only</w:t>
            </w:r>
          </w:p>
        </w:tc>
        <w:tc>
          <w:tcPr>
            <w:tcW w:type="dxa" w:w="216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bCs/>
                <w:sz w:val="20"/>
                <w:szCs w:val="20"/>
              </w:rPr>
              <w:t xml:space="preserve">PSI roll_mean_1day: 1.017</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 Outer borough baseline scramble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Concept drift</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Queens, Brooklyn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Corr. drop: 0.48 to 0.005</w:t>
            </w:r>
          </w:p>
        </w:tc>
      </w:tr>
      <w:tr>
        <w:tc>
          <w:tcPr>
            <w:tcW w:type="dxa" w:w="30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val="false"/>
                <w:bCs w:val="false"/>
                <w:sz w:val="20"/>
                <w:szCs w:val="20"/>
              </w:rPr>
              <w:t xml:space="preserve">4. Manhattan weekend concept drift</w:t>
            </w:r>
          </w:p>
        </w:tc>
        <w:tc>
          <w:tcPr>
            <w:tcW w:type="dxa" w:w="21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val="false"/>
                <w:bCs w:val="false"/>
                <w:sz w:val="20"/>
                <w:szCs w:val="20"/>
              </w:rPr>
              <w:t xml:space="preserve">Concept drift</w:t>
            </w:r>
          </w:p>
        </w:tc>
        <w:tc>
          <w:tcPr>
            <w:tcW w:type="dxa" w:w="21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val="false"/>
                <w:bCs w:val="false"/>
                <w:sz w:val="20"/>
                <w:szCs w:val="20"/>
              </w:rPr>
              <w:t xml:space="preserve">Manhattan weekends</w:t>
            </w:r>
          </w:p>
        </w:tc>
        <w:tc>
          <w:tcPr>
            <w:tcW w:type="dxa" w:w="216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bCs/>
                <w:sz w:val="20"/>
                <w:szCs w:val="20"/>
              </w:rPr>
              <w:t xml:space="preserve">Ratio shift: -0.167</w:t>
            </w:r>
          </w:p>
        </w:tc>
      </w:tr>
    </w:tbl>
    <w:p>
      <w:r>
        <w:t xml:space="preserve"/>
      </w:r>
    </w:p>
    <w:p>
      <w:pPr>
        <w:pStyle w:val="Heading1"/>
      </w:pPr>
      <w:r>
        <w:t xml:space="preserve">8. Recommendations</w:t>
      </w:r>
    </w:p>
    <w:p>
      <w:pPr>
        <w:pStyle w:val="ListParagraph"/>
        <w:numPr>
          <w:ilvl w:val="0"/>
          <w:numId w:val="2"/>
        </w:numPr>
      </w:pPr>
      <w:r>
        <w:t xml:space="preserve">Trigger retraining immediately. All four patterns require the model to relearn current feature-target relationships. Use data from the past 60-90 days as the primary training window.</w:t>
      </w:r>
    </w:p>
    <w:p>
      <w:pPr>
        <w:pStyle w:val="ListParagraph"/>
        <w:numPr>
          <w:ilvl w:val="0"/>
          <w:numId w:val="2"/>
        </w:numPr>
      </w:pPr>
      <w:r>
        <w:t xml:space="preserve">Investigate the temporal peak shift root cause before deploying a retrained model. If this is a data pipeline issue rather than a behavioral shift, fix the pipeline first.</w:t>
      </w:r>
    </w:p>
    <w:p>
      <w:pPr>
        <w:pStyle w:val="ListParagraph"/>
        <w:numPr>
          <w:ilvl w:val="0"/>
          <w:numId w:val="2"/>
        </w:numPr>
      </w:pPr>
      <w:r>
        <w:t xml:space="preserve">Recompute zone_slot_baseline for outer boroughs using a shorter lookback window (30-60 days) to restore its predictive value under the new operating environment.</w:t>
      </w:r>
    </w:p>
    <w:p>
      <w:pPr>
        <w:pStyle w:val="ListParagraph"/>
        <w:numPr>
          <w:ilvl w:val="0"/>
          <w:numId w:val="2"/>
        </w:numPr>
      </w:pPr>
      <w:r>
        <w:t xml:space="preserve">Consider separate model segments for Manhattan weekdays, Manhattan weekends, and outer boroughs, given the structural difference in drift patterns across segments.</w:t>
      </w:r>
    </w:p>
    <w:p>
      <w:pPr>
        <w:pStyle w:val="ListParagraph"/>
        <w:numPr>
          <w:ilvl w:val="0"/>
          <w:numId w:val="2"/>
        </w:numPr>
      </w:pPr>
      <w:r>
        <w:t xml:space="preserve">Deploy the monitoring framework detailed in the companion document to detect future drifts within 48 hours using automated PSI and correlation checks.</w:t>
      </w:r>
    </w:p>
    <w:p>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pPr>
    <w:r>
      <w:rPr>
        <w:rFonts w:ascii="Arial" w:cs="Arial" w:eastAsia="Arial" w:hAnsi="Arial"/>
        <w:color w:val="888888"/>
        <w:sz w:val="18"/>
        <w:szCs w:val="18"/>
      </w:rPr>
      <w:t xml:space="preserve">AIPI Operationalizing AI  |  Duke University  |  May 2026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F8A" w:sz="4" w:space="4"/>
      </w:pBdr>
    </w:pPr>
    <w:r>
      <w:rPr>
        <w:rFonts w:ascii="Arial" w:cs="Arial" w:eastAsia="Arial" w:hAnsi="Arial"/>
        <w:color w:val="555555"/>
        <w:sz w:val="20"/>
        <w:szCs w:val="20"/>
      </w:rPr>
      <w:t xml:space="preserve">Week 4 — Drift Detection Report  |  NYC Taxi Demand Forecasting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4F8A" w:sz="4" w:space="4"/>
      </w:pBdr>
      <w:spacing w:after="160" w:before="320"/>
      <w:outlineLvl w:val="0"/>
    </w:pPr>
    <w:rPr>
      <w:rFonts w:ascii="Arial" w:cs="Arial" w:eastAsia="Arial" w:hAnsi="Arial"/>
      <w:b/>
      <w:bCs/>
      <w:color w:val="2E4F8A"/>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4F8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2026-05-03T21:07:56.295Z</dcterms:created>
  <dcterms:modified xsi:type="dcterms:W3CDTF">2026-05-03T21:07:56.295Z</dcterms:modified>
</cp:coreProperties>
</file>

<file path=docProps/custom.xml><?xml version="1.0" encoding="utf-8"?>
<Properties xmlns="http://schemas.openxmlformats.org/officeDocument/2006/custom-properties" xmlns:vt="http://schemas.openxmlformats.org/officeDocument/2006/docPropsVTypes"/>
</file>