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C3E3A"/>
          <w:sz w:val="44"/>
          <w:szCs w:val="44"/>
        </w:rPr>
        <w:t xml:space="preserve">G3 Recruitment Automation</w:t>
      </w:r>
    </w:p>
    <w:p>
      <w:pPr>
        <w:spacing w:after="60"/>
      </w:pPr>
      <w:r>
        <w:rPr>
          <w:i/>
          <w:iCs/>
          <w:color w:val="6B6B66"/>
          <w:sz w:val="24"/>
          <w:szCs w:val="24"/>
        </w:rPr>
        <w:t xml:space="preserve">Project reference document — architecture, data model, milestones, and UI design</w:t>
      </w:r>
    </w:p>
    <w:p>
      <w:pPr>
        <w:spacing w:after="400"/>
      </w:pPr>
      <w:r>
        <w:rPr>
          <w:color w:val="6B6B66"/>
          <w:sz w:val="20"/>
          <w:szCs w:val="20"/>
        </w:rPr>
        <w:t xml:space="preserve">Consolidated from: implementation proposal v1.1, Meeting 1 &amp; 2 handoff notes, Project Beacon check-in (16/07/2026), and the Recruitment Dashboard kickoff with Akhil's team.</w:t>
      </w:r>
    </w:p>
    <w:p>
      <w:pPr>
        <w:pStyle w:val="Heading1"/>
        <w:spacing w:after="160" w:before="360"/>
      </w:pPr>
      <w:r>
        <w:t xml:space="preserve">1. Executive summary</w:t>
      </w:r>
    </w:p>
    <w:p>
      <w:pPr>
        <w:spacing w:after="160"/>
      </w:pPr>
      <w:r>
        <w:t xml:space="preserve">G3 is replacing a manual, spreadsheet-fragmented freelancer recruitment process with a centralized, purpose-built system. The work spans two connected threads: (1) the core recruitment automation build — data consolidation, AI-assisted outreach, and enrichment, delivered across three milestones over roughly 10 weeks — and (2) a role-based dashboard and UI layer, being built with Akhil's team, that gives the owner (Sundar), full-access recruiters, and contractor recruiters differentiated views into the same underlying system.</w:t>
      </w:r>
    </w:p>
    <w:p>
      <w:pPr>
        <w:spacing w:after="160"/>
      </w:pPr>
      <w:r>
        <w:t xml:space="preserve">The single throughline across every document and meeting is this: the client judges success operationally, not by feature completion. Sundar wants to see who is in the system, who has been contacted, whether outreach is personalized, and whether enrichment is actually improving reachability — not just a list of shipped features.</w:t>
      </w:r>
    </w:p>
    <w:p>
      <w:pPr>
        <w:pStyle w:val="Heading1"/>
        <w:spacing w:after="160" w:before="360"/>
      </w:pPr>
      <w:r>
        <w:t xml:space="preserve">2. Background</w:t>
      </w:r>
    </w:p>
    <w:p>
      <w:pPr>
        <w:pStyle w:val="Heading2"/>
        <w:spacing w:after="120" w:before="260"/>
      </w:pPr>
      <w:r>
        <w:t xml:space="preserve">2.1 Current state</w:t>
      </w:r>
    </w:p>
    <w:p>
      <w:pPr>
        <w:pStyle w:val="ListParagraph"/>
        <w:numPr>
          <w:ilvl w:val="0"/>
          <w:numId w:val="2"/>
        </w:numPr>
        <w:spacing w:after="80"/>
      </w:pPr>
      <w:r>
        <w:t xml:space="preserve">5–6 recruiter-maintained tracker files with no standard schema and no DNC/opt-out column.</w:t>
      </w:r>
    </w:p>
    <w:p>
      <w:pPr>
        <w:pStyle w:val="ListParagraph"/>
        <w:numPr>
          <w:ilvl w:val="0"/>
          <w:numId w:val="2"/>
        </w:numPr>
        <w:spacing w:after="80"/>
      </w:pPr>
      <w:r>
        <w:t xml:space="preserve">LinkedIn outreach history lives inside individual recruiters' personal accounts — not centrally visible.</w:t>
      </w:r>
    </w:p>
    <w:p>
      <w:pPr>
        <w:pStyle w:val="ListParagraph"/>
        <w:numPr>
          <w:ilvl w:val="0"/>
          <w:numId w:val="2"/>
        </w:numPr>
        <w:spacing w:after="80"/>
      </w:pPr>
      <w:r>
        <w:t xml:space="preserve">No structured rate card; rate guidance is shared verbally as a band range and doesn't surface at first contact.</w:t>
      </w:r>
    </w:p>
    <w:p>
      <w:pPr>
        <w:pStyle w:val="ListParagraph"/>
        <w:numPr>
          <w:ilvl w:val="0"/>
          <w:numId w:val="2"/>
        </w:numPr>
        <w:spacing w:after="80"/>
      </w:pPr>
      <w:r>
        <w:t xml:space="preserve">Management reporting currently shows only onboarded candidates, masking full funnel/conversion context.</w:t>
      </w:r>
    </w:p>
    <w:p>
      <w:pPr>
        <w:pStyle w:val="ListParagraph"/>
        <w:numPr>
          <w:ilvl w:val="0"/>
          <w:numId w:val="2"/>
        </w:numPr>
        <w:spacing w:after="80"/>
      </w:pPr>
      <w:r>
        <w:t xml:space="preserve">Capacity tracking is manual — no live view of whether an existing freelancer is already assigned to a client.</w:t>
      </w:r>
    </w:p>
    <w:p>
      <w:pPr>
        <w:pStyle w:val="ListParagraph"/>
        <w:numPr>
          <w:ilvl w:val="0"/>
          <w:numId w:val="2"/>
        </w:numPr>
        <w:spacing w:after="80"/>
      </w:pPr>
      <w:r>
        <w:t xml:space="preserve">A 2,000+ lead import is expected and is the single highest-risk data task in the build.</w:t>
      </w:r>
    </w:p>
    <w:p>
      <w:pPr>
        <w:pStyle w:val="Heading2"/>
        <w:spacing w:after="120" w:before="260"/>
      </w:pPr>
      <w:r>
        <w:t xml:space="preserve">2.2 Core objective</w:t>
      </w:r>
    </w:p>
    <w:p>
      <w:pPr>
        <w:spacing w:after="160"/>
      </w:pPr>
      <w:r>
        <w:t xml:space="preserve">Build a live, centralized system that replaces spreadsheet sprawl with a CRM-style internal workflow — one that can consolidate fragmented sources, normalize messy inputs, make missing or ambiguous data visible rather than silently guessed, and let recruiters (and Sundar) act on outreach with full context and traceability.</w:t>
      </w:r>
    </w:p>
    <w:p>
      <w:pPr>
        <w:pStyle w:val="Heading1"/>
        <w:spacing w:after="160" w:before="360"/>
      </w:pPr>
      <w:r>
        <w:t xml:space="preserve">3. System architecture</w:t>
      </w:r>
    </w:p>
    <w:p>
      <w:pPr>
        <w:spacing w:after="160"/>
      </w:pPr>
      <w:r>
        <w:t xml:space="preserve">The build is a fully custom application rather than an established CRM (HubSpot/Salesforce) or a no-code tool (Airtable). CRMs are built for sales pipelines, not linguist recruitment, and no-code tools break down under real automation complexity — they get a project roughly 60% of the way and charge ongoing per-seat cost for staying stuck there.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600"/>
      </w:tblGrid>
      <w:tr>
        <w:trPr>
          <w:tblHeader/>
        </w:trPr>
        <w:tc>
          <w:tcPr>
            <w:tcW w:type="dxa" w:w="2400"/>
            <w:shd w:fill="2C3E3A" w:val="clear"/>
            <w:tcMar>
              <w:top w:type="dxa" w:w="80"/>
              <w:left w:type="dxa" w:w="120"/>
              <w:bottom w:type="dxa" w:w="80"/>
              <w:right w:type="dxa" w:w="120"/>
            </w:tcMar>
            <w:vAlign w:val="center"/>
          </w:tcPr>
          <w:p>
            <w:r>
              <w:rPr>
                <w:b/>
                <w:bCs/>
                <w:color w:val="FFFFFF"/>
              </w:rPr>
              <w:t xml:space="preserve">Layer</w:t>
            </w:r>
          </w:p>
        </w:tc>
        <w:tc>
          <w:tcPr>
            <w:tcW w:type="dxa" w:w="3600"/>
            <w:shd w:fill="2C3E3A" w:val="clear"/>
            <w:tcMar>
              <w:top w:type="dxa" w:w="80"/>
              <w:left w:type="dxa" w:w="120"/>
              <w:bottom w:type="dxa" w:w="80"/>
              <w:right w:type="dxa" w:w="120"/>
            </w:tcMar>
            <w:vAlign w:val="center"/>
          </w:tcPr>
          <w:p>
            <w:r>
              <w:rPr>
                <w:b/>
                <w:bCs/>
                <w:color w:val="FFFFFF"/>
              </w:rPr>
              <w:t xml:space="preserve">Tool</w:t>
            </w:r>
          </w:p>
        </w:tc>
        <w:tc>
          <w:tcPr>
            <w:tcW w:type="dxa" w:w="4600"/>
            <w:shd w:fill="2C3E3A" w:val="clear"/>
            <w:tcMar>
              <w:top w:type="dxa" w:w="80"/>
              <w:left w:type="dxa" w:w="120"/>
              <w:bottom w:type="dxa" w:w="80"/>
              <w:right w:type="dxa" w:w="120"/>
            </w:tcMar>
            <w:vAlign w:val="center"/>
          </w:tcPr>
          <w:p>
            <w:r>
              <w:rPr>
                <w:b/>
                <w:bCs/>
                <w:color w:val="FFFFFF"/>
              </w:rPr>
              <w:t xml:space="preserve">Why</w:t>
            </w:r>
          </w:p>
        </w:tc>
      </w:tr>
      <w:tr>
        <w:tc>
          <w:tcPr>
            <w:tcW w:type="dxa" w:w="2400"/>
            <w:shd w:fill="FFFFFF" w:val="clear"/>
            <w:tcMar>
              <w:top w:type="dxa" w:w="80"/>
              <w:left w:type="dxa" w:w="120"/>
              <w:bottom w:type="dxa" w:w="80"/>
              <w:right w:type="dxa" w:w="120"/>
            </w:tcMar>
            <w:vAlign w:val="center"/>
          </w:tcPr>
          <w:p>
            <w:r>
              <w:rPr>
                <w:b w:val="false"/>
                <w:bCs w:val="false"/>
              </w:rPr>
              <w:t xml:space="preserve">Database</w:t>
            </w:r>
          </w:p>
        </w:tc>
        <w:tc>
          <w:tcPr>
            <w:tcW w:type="dxa" w:w="3600"/>
            <w:shd w:fill="FFFFFF" w:val="clear"/>
            <w:tcMar>
              <w:top w:type="dxa" w:w="80"/>
              <w:left w:type="dxa" w:w="120"/>
              <w:bottom w:type="dxa" w:w="80"/>
              <w:right w:type="dxa" w:w="120"/>
            </w:tcMar>
            <w:vAlign w:val="center"/>
          </w:tcPr>
          <w:p>
            <w:r>
              <w:rPr>
                <w:b w:val="false"/>
                <w:bCs w:val="false"/>
              </w:rPr>
              <w:t xml:space="preserve">Supabase (PostgreSQL)</w:t>
            </w:r>
          </w:p>
        </w:tc>
        <w:tc>
          <w:tcPr>
            <w:tcW w:type="dxa" w:w="4600"/>
            <w:shd w:fill="FFFFFF" w:val="clear"/>
            <w:tcMar>
              <w:top w:type="dxa" w:w="80"/>
              <w:left w:type="dxa" w:w="120"/>
              <w:bottom w:type="dxa" w:w="80"/>
              <w:right w:type="dxa" w:w="120"/>
            </w:tcMar>
            <w:vAlign w:val="center"/>
          </w:tcPr>
          <w:p>
            <w:r>
              <w:rPr>
                <w:b w:val="false"/>
                <w:bCs w:val="false"/>
              </w:rPr>
              <w:t xml:space="preserve">Structured, queryable, GDPR/DPDP-compliant, scales cleanly</w:t>
            </w:r>
          </w:p>
        </w:tc>
      </w:tr>
      <w:tr>
        <w:tc>
          <w:tcPr>
            <w:tcW w:type="dxa" w:w="2400"/>
            <w:shd w:fill="F3F1EA" w:val="clear"/>
            <w:tcMar>
              <w:top w:type="dxa" w:w="80"/>
              <w:left w:type="dxa" w:w="120"/>
              <w:bottom w:type="dxa" w:w="80"/>
              <w:right w:type="dxa" w:w="120"/>
            </w:tcMar>
            <w:vAlign w:val="center"/>
          </w:tcPr>
          <w:p>
            <w:r>
              <w:rPr>
                <w:b w:val="false"/>
                <w:bCs w:val="false"/>
              </w:rPr>
              <w:t xml:space="preserve">Frontend</w:t>
            </w:r>
          </w:p>
        </w:tc>
        <w:tc>
          <w:tcPr>
            <w:tcW w:type="dxa" w:w="3600"/>
            <w:shd w:fill="F3F1EA" w:val="clear"/>
            <w:tcMar>
              <w:top w:type="dxa" w:w="80"/>
              <w:left w:type="dxa" w:w="120"/>
              <w:bottom w:type="dxa" w:w="80"/>
              <w:right w:type="dxa" w:w="120"/>
            </w:tcMar>
            <w:vAlign w:val="center"/>
          </w:tcPr>
          <w:p>
            <w:r>
              <w:rPr>
                <w:b w:val="false"/>
                <w:bCs w:val="false"/>
              </w:rPr>
              <w:t xml:space="preserve">Next.js + shadcn/ui</w:t>
            </w:r>
          </w:p>
        </w:tc>
        <w:tc>
          <w:tcPr>
            <w:tcW w:type="dxa" w:w="4600"/>
            <w:shd w:fill="F3F1EA" w:val="clear"/>
            <w:tcMar>
              <w:top w:type="dxa" w:w="80"/>
              <w:left w:type="dxa" w:w="120"/>
              <w:bottom w:type="dxa" w:w="80"/>
              <w:right w:type="dxa" w:w="120"/>
            </w:tcMar>
            <w:vAlign w:val="center"/>
          </w:tcPr>
          <w:p>
            <w:r>
              <w:rPr>
                <w:b w:val="false"/>
                <w:bCs w:val="false"/>
              </w:rPr>
              <w:t xml:space="preserve">Production-quality components, full control, no per-seat licensing</w:t>
            </w:r>
          </w:p>
        </w:tc>
      </w:tr>
      <w:tr>
        <w:tc>
          <w:tcPr>
            <w:tcW w:type="dxa" w:w="2400"/>
            <w:shd w:fill="FFFFFF" w:val="clear"/>
            <w:tcMar>
              <w:top w:type="dxa" w:w="80"/>
              <w:left w:type="dxa" w:w="120"/>
              <w:bottom w:type="dxa" w:w="80"/>
              <w:right w:type="dxa" w:w="120"/>
            </w:tcMar>
            <w:vAlign w:val="center"/>
          </w:tcPr>
          <w:p>
            <w:r>
              <w:rPr>
                <w:b w:val="false"/>
                <w:bCs w:val="false"/>
              </w:rPr>
              <w:t xml:space="preserve">Automation engine</w:t>
            </w:r>
          </w:p>
        </w:tc>
        <w:tc>
          <w:tcPr>
            <w:tcW w:type="dxa" w:w="3600"/>
            <w:shd w:fill="FFFFFF" w:val="clear"/>
            <w:tcMar>
              <w:top w:type="dxa" w:w="80"/>
              <w:left w:type="dxa" w:w="120"/>
              <w:bottom w:type="dxa" w:w="80"/>
              <w:right w:type="dxa" w:w="120"/>
            </w:tcMar>
            <w:vAlign w:val="center"/>
          </w:tcPr>
          <w:p>
            <w:r>
              <w:rPr>
                <w:b w:val="false"/>
                <w:bCs w:val="false"/>
              </w:rPr>
              <w:t xml:space="preserve">n8n (self-hosted)</w:t>
            </w:r>
          </w:p>
        </w:tc>
        <w:tc>
          <w:tcPr>
            <w:tcW w:type="dxa" w:w="4600"/>
            <w:shd w:fill="FFFFFF" w:val="clear"/>
            <w:tcMar>
              <w:top w:type="dxa" w:w="80"/>
              <w:left w:type="dxa" w:w="120"/>
              <w:bottom w:type="dxa" w:w="80"/>
              <w:right w:type="dxa" w:w="120"/>
            </w:tcMar>
            <w:vAlign w:val="center"/>
          </w:tcPr>
          <w:p>
            <w:r>
              <w:rPr>
                <w:b w:val="false"/>
                <w:bCs w:val="false"/>
              </w:rPr>
              <w:t xml:space="preserve">Follow-up sequences, webhook handling, Slack notifications</w:t>
            </w:r>
          </w:p>
        </w:tc>
      </w:tr>
      <w:tr>
        <w:tc>
          <w:tcPr>
            <w:tcW w:type="dxa" w:w="2400"/>
            <w:shd w:fill="F3F1EA" w:val="clear"/>
            <w:tcMar>
              <w:top w:type="dxa" w:w="80"/>
              <w:left w:type="dxa" w:w="120"/>
              <w:bottom w:type="dxa" w:w="80"/>
              <w:right w:type="dxa" w:w="120"/>
            </w:tcMar>
            <w:vAlign w:val="center"/>
          </w:tcPr>
          <w:p>
            <w:r>
              <w:rPr>
                <w:b w:val="false"/>
                <w:bCs w:val="false"/>
              </w:rPr>
              <w:t xml:space="preserve">Email infrastructure</w:t>
            </w:r>
          </w:p>
        </w:tc>
        <w:tc>
          <w:tcPr>
            <w:tcW w:type="dxa" w:w="3600"/>
            <w:shd w:fill="F3F1EA" w:val="clear"/>
            <w:tcMar>
              <w:top w:type="dxa" w:w="80"/>
              <w:left w:type="dxa" w:w="120"/>
              <w:bottom w:type="dxa" w:w="80"/>
              <w:right w:type="dxa" w:w="120"/>
            </w:tcMar>
            <w:vAlign w:val="center"/>
          </w:tcPr>
          <w:p>
            <w:r>
              <w:rPr>
                <w:b w:val="false"/>
                <w:bCs w:val="false"/>
              </w:rPr>
              <w:t xml:space="preserve">Resend + recruit.global3.io</w:t>
            </w:r>
          </w:p>
        </w:tc>
        <w:tc>
          <w:tcPr>
            <w:tcW w:type="dxa" w:w="4600"/>
            <w:shd w:fill="F3F1EA" w:val="clear"/>
            <w:tcMar>
              <w:top w:type="dxa" w:w="80"/>
              <w:left w:type="dxa" w:w="120"/>
              <w:bottom w:type="dxa" w:w="80"/>
              <w:right w:type="dxa" w:w="120"/>
            </w:tcMar>
            <w:vAlign w:val="center"/>
          </w:tcPr>
          <w:p>
            <w:r>
              <w:rPr>
                <w:b w:val="false"/>
                <w:bCs w:val="false"/>
              </w:rPr>
              <w:t xml:space="preserve">Better deliverability than Gmail API, built-in analytics, clean audit trail</w:t>
            </w:r>
          </w:p>
        </w:tc>
      </w:tr>
      <w:tr>
        <w:tc>
          <w:tcPr>
            <w:tcW w:type="dxa" w:w="2400"/>
            <w:shd w:fill="FFFFFF" w:val="clear"/>
            <w:tcMar>
              <w:top w:type="dxa" w:w="80"/>
              <w:left w:type="dxa" w:w="120"/>
              <w:bottom w:type="dxa" w:w="80"/>
              <w:right w:type="dxa" w:w="120"/>
            </w:tcMar>
            <w:vAlign w:val="center"/>
          </w:tcPr>
          <w:p>
            <w:r>
              <w:rPr>
                <w:b w:val="false"/>
                <w:bCs w:val="false"/>
              </w:rPr>
              <w:t xml:space="preserve">AI layer</w:t>
            </w:r>
          </w:p>
        </w:tc>
        <w:tc>
          <w:tcPr>
            <w:tcW w:type="dxa" w:w="3600"/>
            <w:shd w:fill="FFFFFF" w:val="clear"/>
            <w:tcMar>
              <w:top w:type="dxa" w:w="80"/>
              <w:left w:type="dxa" w:w="120"/>
              <w:bottom w:type="dxa" w:w="80"/>
              <w:right w:type="dxa" w:w="120"/>
            </w:tcMar>
            <w:vAlign w:val="center"/>
          </w:tcPr>
          <w:p>
            <w:r>
              <w:rPr>
                <w:b w:val="false"/>
                <w:bCs w:val="false"/>
              </w:rPr>
              <w:t xml:space="preserve">Claude API via abstraction wrapper</w:t>
            </w:r>
          </w:p>
        </w:tc>
        <w:tc>
          <w:tcPr>
            <w:tcW w:type="dxa" w:w="4600"/>
            <w:shd w:fill="FFFFFF" w:val="clear"/>
            <w:tcMar>
              <w:top w:type="dxa" w:w="80"/>
              <w:left w:type="dxa" w:w="120"/>
              <w:bottom w:type="dxa" w:w="80"/>
              <w:right w:type="dxa" w:w="120"/>
            </w:tcMar>
            <w:vAlign w:val="center"/>
          </w:tcPr>
          <w:p>
            <w:r>
              <w:rPr>
                <w:b w:val="false"/>
                <w:bCs w:val="false"/>
              </w:rPr>
              <w:t xml:space="preserve">Swappable model, centralized prompt management</w:t>
            </w:r>
          </w:p>
        </w:tc>
      </w:tr>
      <w:tr>
        <w:tc>
          <w:tcPr>
            <w:tcW w:type="dxa" w:w="2400"/>
            <w:shd w:fill="F3F1EA" w:val="clear"/>
            <w:tcMar>
              <w:top w:type="dxa" w:w="80"/>
              <w:left w:type="dxa" w:w="120"/>
              <w:bottom w:type="dxa" w:w="80"/>
              <w:right w:type="dxa" w:w="120"/>
            </w:tcMar>
            <w:vAlign w:val="center"/>
          </w:tcPr>
          <w:p>
            <w:r>
              <w:rPr>
                <w:b w:val="false"/>
                <w:bCs w:val="false"/>
              </w:rPr>
              <w:t xml:space="preserve">LinkedIn</w:t>
            </w:r>
          </w:p>
        </w:tc>
        <w:tc>
          <w:tcPr>
            <w:tcW w:type="dxa" w:w="3600"/>
            <w:shd w:fill="F3F1EA" w:val="clear"/>
            <w:tcMar>
              <w:top w:type="dxa" w:w="80"/>
              <w:left w:type="dxa" w:w="120"/>
              <w:bottom w:type="dxa" w:w="80"/>
              <w:right w:type="dxa" w:w="120"/>
            </w:tcMar>
            <w:vAlign w:val="center"/>
          </w:tcPr>
          <w:p>
            <w:r>
              <w:rPr>
                <w:b w:val="false"/>
                <w:bCs w:val="false"/>
              </w:rPr>
              <w:t xml:space="preserve">Unipile</w:t>
            </w:r>
          </w:p>
        </w:tc>
        <w:tc>
          <w:tcPr>
            <w:tcW w:type="dxa" w:w="4600"/>
            <w:shd w:fill="F3F1EA" w:val="clear"/>
            <w:tcMar>
              <w:top w:type="dxa" w:w="80"/>
              <w:left w:type="dxa" w:w="120"/>
              <w:bottom w:type="dxa" w:w="80"/>
              <w:right w:type="dxa" w:w="120"/>
            </w:tcMar>
            <w:vAlign w:val="center"/>
          </w:tcPr>
          <w:p>
            <w:r>
              <w:rPr>
                <w:b w:val="false"/>
                <w:bCs w:val="false"/>
              </w:rPr>
              <w:t xml:space="preserve">Official session-based sync</w:t>
            </w:r>
          </w:p>
        </w:tc>
      </w:tr>
    </w:tbl>
    <w:p>
      <w:pPr>
        <w:spacing w:after="160"/>
      </w:pPr>
      <w:r>
        <w:rPr>
          <w:sz w:val="2"/>
          <w:szCs w:val="2"/>
        </w:rPr>
        <w:t xml:space="preserve"/>
      </w:r>
    </w:p>
    <w:p>
      <w:pPr>
        <w:spacing w:after="160"/>
      </w:pPr>
      <w:r>
        <w:t xml:space="preserve">Email runs on a dedicated subdomain (recruit.global3.io) via Resend rather than through the main Gmail mailbox, for better deliverability, a cleaner audit trail, and webhook-based inbound reply handling. This requires a one-time DNS record set up by G3's IT team.</w:t>
      </w:r>
    </w:p>
    <w:p>
      <w:pPr>
        <w:pStyle w:val="Heading1"/>
        <w:spacing w:after="160" w:before="360"/>
      </w:pPr>
      <w:r>
        <w:t xml:space="preserve">4. Data model</w:t>
      </w:r>
    </w:p>
    <w:p>
      <w:pPr>
        <w:pStyle w:val="Heading2"/>
        <w:spacing w:after="120" w:before="260"/>
      </w:pPr>
      <w:r>
        <w:t xml:space="preserve">4.1 Stage, Availability, and Flags — three separate fields</w:t>
      </w:r>
    </w:p>
    <w:p>
      <w:pPr>
        <w:spacing w:after="160"/>
      </w:pPr>
      <w:r>
        <w:t xml:space="preserve">A single stage field can't capture reality — a lead can be Replied and Not available until Q4 at the same time. The model splits this into three independent fields:</w:t>
      </w:r>
    </w:p>
    <w:p>
      <w:pPr>
        <w:pStyle w:val="ListParagraph"/>
        <w:numPr>
          <w:ilvl w:val="0"/>
          <w:numId w:val="2"/>
        </w:numPr>
        <w:spacing w:after="80"/>
      </w:pPr>
      <w:r>
        <w:rPr>
          <w:b/>
          <w:bCs/>
        </w:rPr>
        <w:t xml:space="preserve">Stage: </w:t>
      </w:r>
      <w:r>
        <w:t xml:space="preserve">New → Contacted → Replied → Negotiating → Invite Sent → Onboarded → Cold</w:t>
      </w:r>
    </w:p>
    <w:p>
      <w:pPr>
        <w:pStyle w:val="ListParagraph"/>
        <w:numPr>
          <w:ilvl w:val="0"/>
          <w:numId w:val="2"/>
        </w:numPr>
        <w:spacing w:after="80"/>
      </w:pPr>
      <w:r>
        <w:rPr>
          <w:b/>
          <w:bCs/>
        </w:rPr>
        <w:t xml:space="preserve">Availability: </w:t>
      </w:r>
      <w:r>
        <w:t xml:space="preserve">Available Now / Available from [date] / Unavailable / Unknown</w:t>
      </w:r>
    </w:p>
    <w:p>
      <w:pPr>
        <w:pStyle w:val="ListParagraph"/>
        <w:numPr>
          <w:ilvl w:val="0"/>
          <w:numId w:val="2"/>
        </w:numPr>
        <w:spacing w:after="80"/>
      </w:pPr>
      <w:r>
        <w:rPr>
          <w:b/>
          <w:bCs/>
        </w:rPr>
        <w:t xml:space="preserve">Flags (stackable): </w:t>
      </w:r>
      <w:r>
        <w:t xml:space="preserve">DNC | On Hold | Watching | High Priority</w:t>
      </w:r>
    </w:p>
    <w:p>
      <w:pPr>
        <w:spacing w:after="160"/>
      </w:pPr>
      <w:r>
        <w:t xml:space="preserve">This separates DNC (permanent) from Not available until Q4 (reminder-based, temporary) from Cold (no response — human decision to be made).</w:t>
      </w:r>
    </w:p>
    <w:p>
      <w:pPr>
        <w:pStyle w:val="Heading2"/>
        <w:spacing w:after="120" w:before="260"/>
      </w:pPr>
      <w:r>
        <w:t xml:space="preserve">4.2 Person → Service Profile</w:t>
      </w:r>
    </w:p>
    <w:p>
      <w:pPr>
        <w:spacing w:after="160"/>
      </w:pPr>
      <w:r>
        <w:t xml:space="preserve">Multi-language linguists are modeled as one person record linked to multiple service profiles — not duplicate leads. Base contact info (email, phone, DNC status) lives at the person level; language-specific detail (rate, experience, availability for that language) lives at the service level.</w:t>
      </w:r>
    </w:p>
    <w:p>
      <w:pPr>
        <w:pBdr>
          <w:left w:val="single" w:color="F0A868" w:sz="12" w:space="8"/>
        </w:pBdr>
        <w:spacing w:after="160" w:before="60"/>
        <w:ind w:left="100"/>
      </w:pPr>
      <w:r>
        <w:rPr>
          <w:b/>
          <w:bCs/>
          <w:color w:val="A3521A"/>
        </w:rPr>
        <w:t xml:space="preserve">Open question: </w:t>
      </w:r>
      <w:r>
        <w:rPr>
          <w:color w:val="A3521A"/>
        </w:rPr>
        <w:t xml:space="preserve">Deletion lifecycle for this model is not yet defined — specifically, whether removing one service profile cascades to the person record, and whether a full “right to be forgotten” request should hard-delete or soft-delete/anonymize linked records and outreach logs.</w:t>
      </w:r>
    </w:p>
    <w:p>
      <w:pPr>
        <w:pStyle w:val="Heading1"/>
        <w:spacing w:after="160" w:before="360"/>
      </w:pPr>
      <w:r>
        <w:t xml:space="preserve">5. Data import strategy</w:t>
      </w:r>
    </w:p>
    <w:p>
      <w:pPr>
        <w:pStyle w:val="Heading2"/>
        <w:spacing w:after="120" w:before="260"/>
      </w:pPr>
      <w:r>
        <w:t xml:space="preserve">5.1 The “Danny M” problem</w:t>
      </w:r>
    </w:p>
    <w:p>
      <w:pPr>
        <w:spacing w:after="160"/>
      </w:pPr>
      <w:r>
        <w:t xml:space="preserve">This is a data reconstruction problem, not a migration problem. “Danny M” — a partial name with no email and no way to confirm which LinkedIn profile it refers to — represents a real, already-observed pattern in the client's existing data, not a hypothetical edge case.</w:t>
      </w:r>
    </w:p>
    <w:p>
      <w:pPr>
        <w:pStyle w:val="Heading2"/>
        <w:spacing w:after="120" w:before="260"/>
      </w:pPr>
      <w:r>
        <w:t xml:space="preserve">5.2 Import approach</w:t>
      </w:r>
    </w:p>
    <w:p>
      <w:pPr>
        <w:pStyle w:val="ListParagraph"/>
        <w:numPr>
          <w:ilvl w:val="0"/>
          <w:numId w:val="2"/>
        </w:numPr>
        <w:spacing w:after="80"/>
      </w:pPr>
      <w:r>
        <w:t xml:space="preserve">Map every tracker's actual columns against the target schema.</w:t>
      </w:r>
    </w:p>
    <w:p>
      <w:pPr>
        <w:pStyle w:val="ListParagraph"/>
        <w:numPr>
          <w:ilvl w:val="0"/>
          <w:numId w:val="2"/>
        </w:numPr>
        <w:spacing w:after="80"/>
      </w:pPr>
      <w:r>
        <w:t xml:space="preserve">Use Claude to normalize inconsistent headers and flag ambiguous rows for human review.</w:t>
      </w:r>
    </w:p>
    <w:p>
      <w:pPr>
        <w:pStyle w:val="ListParagraph"/>
        <w:numPr>
          <w:ilvl w:val="0"/>
          <w:numId w:val="2"/>
        </w:numPr>
        <w:spacing w:after="80"/>
      </w:pPr>
      <w:r>
        <w:t xml:space="preserve">Mark anyone who has replied negatively as provisional DNC, confirmed by the owning recruiter.</w:t>
      </w:r>
    </w:p>
    <w:p>
      <w:pPr>
        <w:pStyle w:val="ListParagraph"/>
        <w:numPr>
          <w:ilvl w:val="0"/>
          <w:numId w:val="2"/>
        </w:numPr>
        <w:spacing w:after="80"/>
      </w:pPr>
      <w:r>
        <w:t xml:space="preserve">Flag ambiguous records explicitly as unresolved identity — never guess a LinkedIn match. These are queued for manual resolution or targeted re-enrichment in Milestone 3, rather than silently entering the system as a confirmed contact.</w:t>
      </w:r>
    </w:p>
    <w:p>
      <w:pPr>
        <w:spacing w:after="160"/>
      </w:pPr>
      <w:r>
        <w:t xml:space="preserve">The import report is treated as a risk document, not a formality — it shows what came in clean, what was inferred, and what needs a human decision before anything gets contacted.</w:t>
      </w:r>
    </w:p>
    <w:p>
      <w:pPr>
        <w:pBdr>
          <w:left w:val="single" w:color="F0A868" w:sz="12" w:space="8"/>
        </w:pBdr>
        <w:spacing w:after="160" w:before="60"/>
        <w:ind w:left="100"/>
      </w:pPr>
      <w:r>
        <w:rPr>
          <w:b/>
          <w:bCs/>
          <w:color w:val="A3521A"/>
        </w:rPr>
        <w:t xml:space="preserve">Open question: </w:t>
      </w:r>
      <w:r>
        <w:rPr>
          <w:color w:val="A3521A"/>
        </w:rPr>
        <w:t xml:space="preserve">No outreach filtration criteria are defined yet — i.e. whether every imported lead becomes outreach-eligible, or only those meeting a completeness/qualification threshold. “Qualified freelancer” is currently described directionally, not reduced to a field-level definition.</w:t>
      </w:r>
    </w:p>
    <w:p>
      <w:pPr>
        <w:pStyle w:val="Heading1"/>
        <w:spacing w:after="160" w:before="360"/>
      </w:pPr>
      <w:r>
        <w:t xml:space="preserve">6. Measurability philosophy</w:t>
      </w:r>
    </w:p>
    <w:p>
      <w:pPr>
        <w:spacing w:after="160"/>
      </w:pPr>
      <w:r>
        <w:t xml:space="preserve">The system deliberately does not commit to a conversion percentage. Some candidates decline for reasons no amount of enrichment or personalization can change — such as a principled refusal to do AI-assisted work — and owning a conversion number would mean owning outcomes outside the system's control. Instead, the system surfaces the signals that show whether it's working.</w:t>
      </w:r>
    </w:p>
    <w:p>
      <w:pPr>
        <w:pStyle w:val="Heading2"/>
        <w:spacing w:after="120" w:before="260"/>
      </w:pPr>
      <w:r>
        <w:t xml:space="preserve">6.1 Core metrics (live on the dashboard from Milestone 1)</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7400"/>
      </w:tblGrid>
      <w:tr>
        <w:trPr>
          <w:tblHeader/>
        </w:trPr>
        <w:tc>
          <w:tcPr>
            <w:tcW w:type="dxa" w:w="3200"/>
            <w:shd w:fill="2C3E3A" w:val="clear"/>
            <w:tcMar>
              <w:top w:type="dxa" w:w="80"/>
              <w:left w:type="dxa" w:w="120"/>
              <w:bottom w:type="dxa" w:w="80"/>
              <w:right w:type="dxa" w:w="120"/>
            </w:tcMar>
            <w:vAlign w:val="center"/>
          </w:tcPr>
          <w:p>
            <w:r>
              <w:rPr>
                <w:b/>
                <w:bCs/>
                <w:color w:val="FFFFFF"/>
              </w:rPr>
              <w:t xml:space="preserve">Metric</w:t>
            </w:r>
          </w:p>
        </w:tc>
        <w:tc>
          <w:tcPr>
            <w:tcW w:type="dxa" w:w="7400"/>
            <w:shd w:fill="2C3E3A" w:val="clear"/>
            <w:tcMar>
              <w:top w:type="dxa" w:w="80"/>
              <w:left w:type="dxa" w:w="120"/>
              <w:bottom w:type="dxa" w:w="80"/>
              <w:right w:type="dxa" w:w="120"/>
            </w:tcMar>
            <w:vAlign w:val="center"/>
          </w:tcPr>
          <w:p>
            <w:r>
              <w:rPr>
                <w:b/>
                <w:bCs/>
                <w:color w:val="FFFFFF"/>
              </w:rPr>
              <w:t xml:space="preserve">What it shows</w:t>
            </w:r>
          </w:p>
        </w:tc>
      </w:tr>
      <w:tr>
        <w:tc>
          <w:tcPr>
            <w:tcW w:type="dxa" w:w="3200"/>
            <w:shd w:fill="FFFFFF" w:val="clear"/>
            <w:tcMar>
              <w:top w:type="dxa" w:w="80"/>
              <w:left w:type="dxa" w:w="120"/>
              <w:bottom w:type="dxa" w:w="80"/>
              <w:right w:type="dxa" w:w="120"/>
            </w:tcMar>
            <w:vAlign w:val="center"/>
          </w:tcPr>
          <w:p>
            <w:r>
              <w:rPr>
                <w:b w:val="false"/>
                <w:bCs w:val="false"/>
              </w:rPr>
              <w:t xml:space="preserve">Profile completeness rate</w:t>
            </w:r>
          </w:p>
        </w:tc>
        <w:tc>
          <w:tcPr>
            <w:tcW w:type="dxa" w:w="7400"/>
            <w:shd w:fill="FFFFFF" w:val="clear"/>
            <w:tcMar>
              <w:top w:type="dxa" w:w="80"/>
              <w:left w:type="dxa" w:w="120"/>
              <w:bottom w:type="dxa" w:w="80"/>
              <w:right w:type="dxa" w:w="120"/>
            </w:tcMar>
            <w:vAlign w:val="center"/>
          </w:tcPr>
          <w:p>
            <w:r>
              <w:rPr>
                <w:b w:val="false"/>
                <w:bCs w:val="false"/>
              </w:rPr>
              <w:t xml:space="preserve">% of leads with verified email, confirmed language pair, and experience data — before vs. after enrichment</w:t>
            </w:r>
          </w:p>
        </w:tc>
      </w:tr>
      <w:tr>
        <w:tc>
          <w:tcPr>
            <w:tcW w:type="dxa" w:w="3200"/>
            <w:shd w:fill="F3F1EA" w:val="clear"/>
            <w:tcMar>
              <w:top w:type="dxa" w:w="80"/>
              <w:left w:type="dxa" w:w="120"/>
              <w:bottom w:type="dxa" w:w="80"/>
              <w:right w:type="dxa" w:w="120"/>
            </w:tcMar>
            <w:vAlign w:val="center"/>
          </w:tcPr>
          <w:p>
            <w:r>
              <w:rPr>
                <w:b w:val="false"/>
                <w:bCs w:val="false"/>
              </w:rPr>
              <w:t xml:space="preserve">LinkedIn match confidence</w:t>
            </w:r>
          </w:p>
        </w:tc>
        <w:tc>
          <w:tcPr>
            <w:tcW w:type="dxa" w:w="7400"/>
            <w:shd w:fill="F3F1EA" w:val="clear"/>
            <w:tcMar>
              <w:top w:type="dxa" w:w="80"/>
              <w:left w:type="dxa" w:w="120"/>
              <w:bottom w:type="dxa" w:w="80"/>
              <w:right w:type="dxa" w:w="120"/>
            </w:tcMar>
            <w:vAlign w:val="center"/>
          </w:tcPr>
          <w:p>
            <w:r>
              <w:rPr>
                <w:b w:val="false"/>
                <w:bCs w:val="false"/>
              </w:rPr>
              <w:t xml:space="preserve">Confidence score on identity resolution for ambiguous records, so “Danny M” cases are visible, not silently guessed</w:t>
            </w:r>
          </w:p>
        </w:tc>
      </w:tr>
      <w:tr>
        <w:tc>
          <w:tcPr>
            <w:tcW w:type="dxa" w:w="3200"/>
            <w:shd w:fill="FFFFFF" w:val="clear"/>
            <w:tcMar>
              <w:top w:type="dxa" w:w="80"/>
              <w:left w:type="dxa" w:w="120"/>
              <w:bottom w:type="dxa" w:w="80"/>
              <w:right w:type="dxa" w:w="120"/>
            </w:tcMar>
            <w:vAlign w:val="center"/>
          </w:tcPr>
          <w:p>
            <w:r>
              <w:rPr>
                <w:b w:val="false"/>
                <w:bCs w:val="false"/>
              </w:rPr>
              <w:t xml:space="preserve">AI-draft edit rate</w:t>
            </w:r>
          </w:p>
        </w:tc>
        <w:tc>
          <w:tcPr>
            <w:tcW w:type="dxa" w:w="7400"/>
            <w:shd w:fill="FFFFFF" w:val="clear"/>
            <w:tcMar>
              <w:top w:type="dxa" w:w="80"/>
              <w:left w:type="dxa" w:w="120"/>
              <w:bottom w:type="dxa" w:w="80"/>
              <w:right w:type="dxa" w:w="120"/>
            </w:tcMar>
            <w:vAlign w:val="center"/>
          </w:tcPr>
          <w:p>
            <w:r>
              <w:rPr>
                <w:b w:val="false"/>
                <w:bCs w:val="false"/>
              </w:rPr>
              <w:t xml:space="preserve">How much recruiters change AI-generated outreach before sending; a declining rate over time signals the AI is learning the team's voice</w:t>
            </w:r>
          </w:p>
        </w:tc>
      </w:tr>
      <w:tr>
        <w:tc>
          <w:tcPr>
            <w:tcW w:type="dxa" w:w="3200"/>
            <w:shd w:fill="F3F1EA" w:val="clear"/>
            <w:tcMar>
              <w:top w:type="dxa" w:w="80"/>
              <w:left w:type="dxa" w:w="120"/>
              <w:bottom w:type="dxa" w:w="80"/>
              <w:right w:type="dxa" w:w="120"/>
            </w:tcMar>
            <w:vAlign w:val="center"/>
          </w:tcPr>
          <w:p>
            <w:r>
              <w:rPr>
                <w:b w:val="false"/>
                <w:bCs w:val="false"/>
              </w:rPr>
              <w:t xml:space="preserve">Outreach visibility</w:t>
            </w:r>
          </w:p>
        </w:tc>
        <w:tc>
          <w:tcPr>
            <w:tcW w:type="dxa" w:w="7400"/>
            <w:shd w:fill="F3F1EA" w:val="clear"/>
            <w:tcMar>
              <w:top w:type="dxa" w:w="80"/>
              <w:left w:type="dxa" w:w="120"/>
              <w:bottom w:type="dxa" w:w="80"/>
              <w:right w:type="dxa" w:w="120"/>
            </w:tcMar>
            <w:vAlign w:val="center"/>
          </w:tcPr>
          <w:p>
            <w:r>
              <w:rPr>
                <w:b w:val="false"/>
                <w:bCs w:val="false"/>
              </w:rPr>
              <w:t xml:space="preserve">Live count of contacted / awaiting reply / replied / in negotiation for any batch of leads</w:t>
            </w:r>
          </w:p>
        </w:tc>
      </w:tr>
      <w:tr>
        <w:tc>
          <w:tcPr>
            <w:tcW w:type="dxa" w:w="3200"/>
            <w:shd w:fill="FFFFFF" w:val="clear"/>
            <w:tcMar>
              <w:top w:type="dxa" w:w="80"/>
              <w:left w:type="dxa" w:w="120"/>
              <w:bottom w:type="dxa" w:w="80"/>
              <w:right w:type="dxa" w:w="120"/>
            </w:tcMar>
            <w:vAlign w:val="center"/>
          </w:tcPr>
          <w:p>
            <w:r>
              <w:rPr>
                <w:b w:val="false"/>
                <w:bCs w:val="false"/>
              </w:rPr>
              <w:t xml:space="preserve">Reply-to-classification accuracy</w:t>
            </w:r>
          </w:p>
        </w:tc>
        <w:tc>
          <w:tcPr>
            <w:tcW w:type="dxa" w:w="7400"/>
            <w:shd w:fill="FFFFFF" w:val="clear"/>
            <w:tcMar>
              <w:top w:type="dxa" w:w="80"/>
              <w:left w:type="dxa" w:w="120"/>
              <w:bottom w:type="dxa" w:w="80"/>
              <w:right w:type="dxa" w:w="120"/>
            </w:tcMar>
            <w:vAlign w:val="center"/>
          </w:tcPr>
          <w:p>
            <w:r>
              <w:rPr>
                <w:b w:val="false"/>
                <w:bCs w:val="false"/>
              </w:rPr>
              <w:t xml:space="preserve">How often the AI's read on a reply (interested, FAQ, rate question, DNC) matches what a recruiter would conclude</w:t>
            </w:r>
          </w:p>
        </w:tc>
      </w:tr>
    </w:tbl>
    <w:p>
      <w:pPr>
        <w:spacing w:after="160"/>
      </w:pPr>
      <w:r>
        <w:rPr>
          <w:sz w:val="2"/>
          <w:szCs w:val="2"/>
        </w:rPr>
        <w:t xml:space="preserve"/>
      </w:r>
    </w:p>
    <w:p>
      <w:pPr>
        <w:pStyle w:val="Heading2"/>
        <w:spacing w:after="120" w:before="260"/>
      </w:pPr>
      <w:r>
        <w:t xml:space="preserve">6.2 Second-layer metrics (shaped together once live)</w:t>
      </w:r>
    </w:p>
    <w:p>
      <w:pPr>
        <w:pStyle w:val="ListParagraph"/>
        <w:numPr>
          <w:ilvl w:val="0"/>
          <w:numId w:val="2"/>
        </w:numPr>
        <w:spacing w:after="80"/>
      </w:pPr>
      <w:r>
        <w:t xml:space="preserve">Time-to-first-reply, by language/channel.</w:t>
      </w:r>
    </w:p>
    <w:p>
      <w:pPr>
        <w:pStyle w:val="ListParagraph"/>
        <w:numPr>
          <w:ilvl w:val="0"/>
          <w:numId w:val="2"/>
        </w:numPr>
        <w:spacing w:after="80"/>
      </w:pPr>
      <w:r>
        <w:t xml:space="preserve">Recruiter time saved per week (self-reported vs. system-logged, compared).</w:t>
      </w:r>
    </w:p>
    <w:p>
      <w:pPr>
        <w:pStyle w:val="ListParagraph"/>
        <w:numPr>
          <w:ilvl w:val="0"/>
          <w:numId w:val="2"/>
        </w:numPr>
        <w:spacing w:after="80"/>
      </w:pPr>
      <w:r>
        <w:t xml:space="preserve">Data health trend — are Danny M–style unresolved records shrinking as a proportion of the total pipeline?</w:t>
      </w:r>
    </w:p>
    <w:p>
      <w:pPr>
        <w:pStyle w:val="Heading1"/>
        <w:spacing w:after="160" w:before="360"/>
      </w:pPr>
      <w:r>
        <w:t xml:space="preserve">7. AI, LinkedIn &amp; approval UX</w:t>
      </w:r>
    </w:p>
    <w:p>
      <w:pPr>
        <w:pStyle w:val="Heading2"/>
        <w:spacing w:after="120" w:before="260"/>
      </w:pPr>
      <w:r>
        <w:t xml:space="preserve">7.1 Knowledge base and rate cards</w:t>
      </w:r>
    </w:p>
    <w:p>
      <w:pPr>
        <w:spacing w:after="160"/>
      </w:pPr>
      <w:r>
        <w:t xml:space="preserve">For 50–100 FAQ entries, a vector database is over-engineered — structured JSON is enough. Claude cites rates only from a structured lookup, never infers them, and escalates rather than guesses when a rate card row doesn't exist. Confidence thresholds are dynamic: lower for common intents, higher for anything touching a rate figure or a DNC signal, since a misclassified DNC is a compliance failure, not a UX issue.</w:t>
      </w:r>
    </w:p>
    <w:p>
      <w:pPr>
        <w:pStyle w:val="Heading2"/>
        <w:spacing w:after="120" w:before="260"/>
      </w:pPr>
      <w:r>
        <w:t xml:space="preserve">7.2 LinkedIn — phased rollout</w:t>
      </w:r>
    </w:p>
    <w:p>
      <w:pPr>
        <w:spacing w:after="160"/>
      </w:pPr>
      <w:r>
        <w:t xml:space="preserve">Unipile is the lowest-risk choice for DM sync, but automated LinkedIn outreach is deliberately delayed. LinkedIn's bot detection is aggressive, and a banned company account causes more damage than slower outreach.</w:t>
      </w:r>
    </w:p>
    <w:p>
      <w:pPr>
        <w:pStyle w:val="ListParagraph"/>
        <w:numPr>
          <w:ilvl w:val="0"/>
          <w:numId w:val="2"/>
        </w:numPr>
        <w:spacing w:after="80"/>
      </w:pPr>
      <w:r>
        <w:rPr>
          <w:b/>
          <w:bCs/>
        </w:rPr>
        <w:t xml:space="preserve">Milestones 1–2: </w:t>
      </w:r>
      <w:r>
        <w:t xml:space="preserve">LinkedIn stays a discovery and enrichment channel only.</w:t>
      </w:r>
    </w:p>
    <w:p>
      <w:pPr>
        <w:pStyle w:val="ListParagraph"/>
        <w:numPr>
          <w:ilvl w:val="0"/>
          <w:numId w:val="2"/>
        </w:numPr>
        <w:spacing w:after="80"/>
      </w:pPr>
      <w:r>
        <w:rPr>
          <w:b/>
          <w:bCs/>
        </w:rPr>
        <w:t xml:space="preserve">Milestone 3: </w:t>
      </w:r>
      <w:r>
        <w:t xml:space="preserve">Unipile introduced for reply tracking.</w:t>
      </w:r>
    </w:p>
    <w:p>
      <w:pPr>
        <w:pStyle w:val="ListParagraph"/>
        <w:numPr>
          <w:ilvl w:val="0"/>
          <w:numId w:val="2"/>
        </w:numPr>
        <w:spacing w:after="80"/>
      </w:pPr>
      <w:r>
        <w:rPr>
          <w:b/>
          <w:bCs/>
        </w:rPr>
        <w:t xml:space="preserve">Automated sending: </w:t>
      </w:r>
      <w:r>
        <w:t xml:space="preserve">Evaluated only once the system is stable.</w:t>
      </w:r>
    </w:p>
    <w:p>
      <w:pPr>
        <w:pStyle w:val="Heading2"/>
        <w:spacing w:after="120" w:before="260"/>
      </w:pPr>
      <w:r>
        <w:t xml:space="preserve">7.3 Approval UX</w:t>
      </w:r>
    </w:p>
    <w:p>
      <w:pPr>
        <w:spacing w:after="160"/>
      </w:pPr>
      <w:r>
        <w:t xml:space="preserve">An in-app queue — not email links or Slack buttons — with full context, an editable draft, and one-click approve/reject. Bulk approval carries a mandatory scroll gate so nothing mass-sends unreviewed. Every recruiter edit is logged to improve future AI drafts.</w:t>
      </w:r>
    </w:p>
    <w:p>
      <w:pPr>
        <w:pBdr>
          <w:left w:val="single" w:color="F0A868" w:sz="12" w:space="8"/>
        </w:pBdr>
        <w:spacing w:after="160" w:before="60"/>
        <w:ind w:left="100"/>
      </w:pPr>
      <w:r>
        <w:rPr>
          <w:b/>
          <w:bCs/>
          <w:color w:val="A3521A"/>
        </w:rPr>
        <w:t xml:space="preserve">Open question: </w:t>
      </w:r>
      <w:r>
        <w:rPr>
          <w:color w:val="A3521A"/>
        </w:rPr>
        <w:t xml:space="preserve">Early-phase AI accuracy is expected to be low, and the scroll gate is a compliance safeguard rather than a time-saver. This means recruiter workload may initially increase rather than decrease during Milestones 1–2 — not explicitly addressed in the proposal, and worth setting expectations on with the client.</w:t>
      </w:r>
    </w:p>
    <w:p>
      <w:pPr>
        <w:pStyle w:val="Heading1"/>
        <w:spacing w:after="160" w:before="360"/>
      </w:pPr>
      <w:r>
        <w:t xml:space="preserve">8. Milestones</w:t>
      </w:r>
    </w:p>
    <w:p>
      <w:pPr>
        <w:spacing w:after="160"/>
      </w:pPr>
      <w:r>
        <w:t xml:space="preserve">Milestones 2 and 3 are conceptually parallel — AI reply-handling and data enrichment are different technical tracks that don't strictly depend on each other. In practice, given current team size, delivery is somewhat sequenced early on; as additional hands come on around week 7–8, the pace between the two tracks may compress. Estimated build timeline: approximately 10 weeks.</w:t>
      </w:r>
    </w:p>
    <w:p>
      <w:pPr>
        <w:pStyle w:val="Heading2"/>
        <w:spacing w:after="120" w:before="260"/>
      </w:pPr>
      <w:r>
        <w:t xml:space="preserve">8.1 Milestone 1 — The Foundation</w:t>
      </w:r>
    </w:p>
    <w:p>
      <w:pPr>
        <w:spacing w:after="160"/>
      </w:pPr>
      <w:r>
        <w:rPr>
          <w:i/>
          <w:iCs/>
          <w:color w:val="6B6B66"/>
        </w:rPr>
        <w:t xml:space="preserve">A live system replaces spreadsheets. Outreach can begin. Danny M–style records are visible, not lost.</w:t>
      </w:r>
    </w:p>
    <w:p>
      <w:pPr>
        <w:pStyle w:val="ListParagraph"/>
        <w:numPr>
          <w:ilvl w:val="0"/>
          <w:numId w:val="2"/>
        </w:numPr>
        <w:spacing w:after="80"/>
      </w:pPr>
      <w:r>
        <w:t xml:space="preserve">Corrected data model (Stage + Availability + Flags, Person → Services).</w:t>
      </w:r>
    </w:p>
    <w:p>
      <w:pPr>
        <w:pStyle w:val="ListParagraph"/>
        <w:numPr>
          <w:ilvl w:val="0"/>
          <w:numId w:val="2"/>
        </w:numPr>
        <w:spacing w:after="80"/>
      </w:pPr>
      <w:r>
        <w:t xml:space="preserve">Full data audit and import — deduplicated, DNC reconciled, ambiguous identities flagged.</w:t>
      </w:r>
    </w:p>
    <w:p>
      <w:pPr>
        <w:pStyle w:val="ListParagraph"/>
        <w:numPr>
          <w:ilvl w:val="0"/>
          <w:numId w:val="2"/>
        </w:numPr>
        <w:spacing w:after="80"/>
      </w:pPr>
      <w:r>
        <w:t xml:space="preserve">recruit.global3.io email infrastructure via Resend.</w:t>
      </w:r>
    </w:p>
    <w:p>
      <w:pPr>
        <w:pStyle w:val="ListParagraph"/>
        <w:numPr>
          <w:ilvl w:val="0"/>
          <w:numId w:val="2"/>
        </w:numPr>
        <w:spacing w:after="80"/>
      </w:pPr>
      <w:r>
        <w:t xml:space="preserve">Outreach sending with recruiter attribution and full logging.</w:t>
      </w:r>
    </w:p>
    <w:p>
      <w:pPr>
        <w:pStyle w:val="ListParagraph"/>
        <w:numPr>
          <w:ilvl w:val="0"/>
          <w:numId w:val="2"/>
        </w:numPr>
        <w:spacing w:after="80"/>
      </w:pPr>
      <w:r>
        <w:t xml:space="preserve">In-app human approval queue.</w:t>
      </w:r>
    </w:p>
    <w:p>
      <w:pPr>
        <w:pStyle w:val="ListParagraph"/>
        <w:numPr>
          <w:ilvl w:val="0"/>
          <w:numId w:val="2"/>
        </w:numPr>
        <w:spacing w:after="80"/>
      </w:pPr>
      <w:r>
        <w:t xml:space="preserve">Pipeline table with filtering, sorting, inline editing.</w:t>
      </w:r>
    </w:p>
    <w:p>
      <w:pPr>
        <w:pStyle w:val="ListParagraph"/>
        <w:numPr>
          <w:ilvl w:val="0"/>
          <w:numId w:val="2"/>
        </w:numPr>
        <w:spacing w:after="80"/>
      </w:pPr>
      <w:r>
        <w:t xml:space="preserve">DNC suppression logic, compliant from day one.</w:t>
      </w:r>
    </w:p>
    <w:p>
      <w:pPr>
        <w:pStyle w:val="ListParagraph"/>
        <w:numPr>
          <w:ilvl w:val="0"/>
          <w:numId w:val="2"/>
        </w:numPr>
        <w:spacing w:after="80"/>
      </w:pPr>
      <w:r>
        <w:t xml:space="preserve">Dashboard live with profile completeness and outreach visibility metrics.</w:t>
      </w:r>
    </w:p>
    <w:p>
      <w:pPr>
        <w:pStyle w:val="Heading2"/>
        <w:spacing w:after="120" w:before="260"/>
      </w:pPr>
      <w:r>
        <w:t xml:space="preserve">8.2 Milestone 2 — The Intelligence Layer</w:t>
      </w:r>
    </w:p>
    <w:p>
      <w:pPr>
        <w:spacing w:after="160"/>
      </w:pPr>
      <w:r>
        <w:rPr>
          <w:i/>
          <w:iCs/>
          <w:color w:val="6B6B66"/>
        </w:rPr>
        <w:t xml:space="preserve">AI-assisted outreach and reply handling. The team gets visibility into what's working.</w:t>
      </w:r>
    </w:p>
    <w:p>
      <w:pPr>
        <w:pStyle w:val="ListParagraph"/>
        <w:numPr>
          <w:ilvl w:val="0"/>
          <w:numId w:val="2"/>
        </w:numPr>
        <w:spacing w:after="80"/>
      </w:pPr>
      <w:r>
        <w:t xml:space="preserve">AI email generation using lead profile + rate card context.</w:t>
      </w:r>
    </w:p>
    <w:p>
      <w:pPr>
        <w:pStyle w:val="ListParagraph"/>
        <w:numPr>
          <w:ilvl w:val="0"/>
          <w:numId w:val="2"/>
        </w:numPr>
        <w:spacing w:after="80"/>
      </w:pPr>
      <w:r>
        <w:t xml:space="preserve">Inbound reply classification with confidence scoring.</w:t>
      </w:r>
    </w:p>
    <w:p>
      <w:pPr>
        <w:pStyle w:val="ListParagraph"/>
        <w:numPr>
          <w:ilvl w:val="0"/>
          <w:numId w:val="2"/>
        </w:numPr>
        <w:spacing w:after="80"/>
      </w:pPr>
      <w:r>
        <w:t xml:space="preserve">FAQ knowledge base, recruiter-managed.</w:t>
      </w:r>
    </w:p>
    <w:p>
      <w:pPr>
        <w:pStyle w:val="ListParagraph"/>
        <w:numPr>
          <w:ilvl w:val="0"/>
          <w:numId w:val="2"/>
        </w:numPr>
        <w:spacing w:after="80"/>
      </w:pPr>
      <w:r>
        <w:t xml:space="preserve">Full Kanban dashboard.</w:t>
      </w:r>
    </w:p>
    <w:p>
      <w:pPr>
        <w:pStyle w:val="ListParagraph"/>
        <w:numPr>
          <w:ilvl w:val="0"/>
          <w:numId w:val="2"/>
        </w:numPr>
        <w:spacing w:after="80"/>
      </w:pPr>
      <w:r>
        <w:t xml:space="preserve">Automated follow-up sequences.</w:t>
      </w:r>
    </w:p>
    <w:p>
      <w:pPr>
        <w:pStyle w:val="ListParagraph"/>
        <w:numPr>
          <w:ilvl w:val="0"/>
          <w:numId w:val="2"/>
        </w:numPr>
        <w:spacing w:after="80"/>
      </w:pPr>
      <w:r>
        <w:t xml:space="preserve">AI-draft edit rate and reply-classification accuracy live on dashboard.</w:t>
      </w:r>
    </w:p>
    <w:p>
      <w:pPr>
        <w:pStyle w:val="Heading2"/>
        <w:spacing w:after="120" w:before="260"/>
      </w:pPr>
      <w:r>
        <w:t xml:space="preserve">8.3 Milestone 3 — Full Automation</w:t>
      </w:r>
    </w:p>
    <w:p>
      <w:pPr>
        <w:spacing w:after="160"/>
      </w:pPr>
      <w:r>
        <w:rPr>
          <w:i/>
          <w:iCs/>
          <w:color w:val="6B6B66"/>
        </w:rPr>
        <w:t xml:space="preserve">Enrichment closes the data gaps. Recruiters focus on decisions, not admin.</w:t>
      </w:r>
    </w:p>
    <w:p>
      <w:pPr>
        <w:pStyle w:val="ListParagraph"/>
        <w:numPr>
          <w:ilvl w:val="0"/>
          <w:numId w:val="2"/>
        </w:numPr>
        <w:spacing w:after="80"/>
      </w:pPr>
      <w:r>
        <w:t xml:space="preserve">LinkedIn profile enrichment and identity resolution, including re-enrichment of flagged ambiguous records.</w:t>
      </w:r>
    </w:p>
    <w:p>
      <w:pPr>
        <w:pStyle w:val="ListParagraph"/>
        <w:numPr>
          <w:ilvl w:val="0"/>
          <w:numId w:val="2"/>
        </w:numPr>
        <w:spacing w:after="80"/>
      </w:pPr>
      <w:r>
        <w:t xml:space="preserve">LinkedIn DM reply tracking via Unipile.</w:t>
      </w:r>
    </w:p>
    <w:p>
      <w:pPr>
        <w:pStyle w:val="ListParagraph"/>
        <w:numPr>
          <w:ilvl w:val="0"/>
          <w:numId w:val="2"/>
        </w:numPr>
        <w:spacing w:after="80"/>
      </w:pPr>
      <w:r>
        <w:t xml:space="preserve">G3 portal onboarding pre-fill via URL parameters (requires G3 tech team's implementation on the receiving end).</w:t>
      </w:r>
    </w:p>
    <w:p>
      <w:pPr>
        <w:pStyle w:val="ListParagraph"/>
        <w:numPr>
          <w:ilvl w:val="0"/>
          <w:numId w:val="2"/>
        </w:numPr>
        <w:spacing w:after="80"/>
      </w:pPr>
      <w:r>
        <w:t xml:space="preserve">ProZ profile scraping for lead discovery.</w:t>
      </w:r>
    </w:p>
    <w:p>
      <w:pPr>
        <w:pStyle w:val="ListParagraph"/>
        <w:numPr>
          <w:ilvl w:val="0"/>
          <w:numId w:val="2"/>
        </w:numPr>
        <w:spacing w:after="80"/>
      </w:pPr>
      <w:r>
        <w:t xml:space="preserve">Slack escalation alerts.</w:t>
      </w:r>
    </w:p>
    <w:p>
      <w:pPr>
        <w:pStyle w:val="ListParagraph"/>
        <w:numPr>
          <w:ilvl w:val="0"/>
          <w:numId w:val="2"/>
        </w:numPr>
        <w:spacing w:after="80"/>
      </w:pPr>
      <w:r>
        <w:t xml:space="preserve">Advanced analytics: source effectiveness, language coverage gaps, funnel conversion visibility.</w:t>
      </w:r>
    </w:p>
    <w:p>
      <w:pPr>
        <w:spacing w:after="160"/>
      </w:pPr>
      <w:r>
        <w:t xml:space="preserve">Committed explicitly: enrichment will not be closed out as a shallow, transactional milestone. If initial approaches don't sufficiently resolve data quality gaps, additional methods will be explored within the milestone rather than declaring it done on a technicality.</w:t>
      </w:r>
    </w:p>
    <w:p>
      <w:pPr>
        <w:pStyle w:val="Heading1"/>
        <w:spacing w:after="160" w:before="360"/>
      </w:pPr>
      <w:r>
        <w:t xml:space="preserve">9. Hosting &amp; deployment</w:t>
      </w:r>
    </w:p>
    <w:p>
      <w:pPr>
        <w:spacing w:after="160"/>
      </w:pPr>
      <w:r>
        <w:t xml:space="preserve">The system is intentionally lightweight, not a heavy custom platform, so hosting requirements are modest — it can sit within G3's existing AWS environment. A short call with the CTO or technical contact early in Milestone 1 is recommended to finalize deployment specifics and access.</w:t>
      </w:r>
    </w:p>
    <w:p>
      <w:pPr>
        <w:pStyle w:val="Heading3"/>
        <w:spacing w:after="100" w:before="200"/>
      </w:pPr>
      <w:r>
        <w:t xml:space="preserve">What's needed to start</w:t>
      </w:r>
    </w:p>
    <w:p>
      <w:pPr>
        <w:pStyle w:val="ListParagraph"/>
        <w:numPr>
          <w:ilvl w:val="0"/>
          <w:numId w:val="2"/>
        </w:numPr>
        <w:spacing w:after="80"/>
      </w:pPr>
      <w:r>
        <w:t xml:space="preserve">DNS access to set up recruit.global3.io.</w:t>
      </w:r>
    </w:p>
    <w:p>
      <w:pPr>
        <w:pStyle w:val="ListParagraph"/>
        <w:numPr>
          <w:ilvl w:val="0"/>
          <w:numId w:val="2"/>
        </w:numPr>
        <w:spacing w:after="80"/>
      </w:pPr>
      <w:r>
        <w:t xml:space="preserve">All tracker files in a shared Google Drive folder.</w:t>
      </w:r>
    </w:p>
    <w:p>
      <w:pPr>
        <w:pStyle w:val="ListParagraph"/>
        <w:numPr>
          <w:ilvl w:val="0"/>
          <w:numId w:val="2"/>
        </w:numPr>
        <w:spacing w:after="80"/>
      </w:pPr>
      <w:r>
        <w:t xml:space="preserve">A 30-minute call with one recruiter to walk through a real lead end-to-end.</w:t>
      </w:r>
    </w:p>
    <w:p>
      <w:pPr>
        <w:pStyle w:val="ListParagraph"/>
        <w:numPr>
          <w:ilvl w:val="0"/>
          <w:numId w:val="2"/>
        </w:numPr>
        <w:spacing w:after="80"/>
      </w:pPr>
      <w:r>
        <w:t xml:space="preserve">A short call with the CTO or technical contact on AWS hosting.</w:t>
      </w:r>
    </w:p>
    <w:p>
      <w:pPr>
        <w:pStyle w:val="Heading1"/>
        <w:spacing w:after="160" w:before="360"/>
      </w:pPr>
      <w:r>
        <w:t xml:space="preserve">10. Meeting-derived context &amp; client priorities</w:t>
      </w:r>
    </w:p>
    <w:p>
      <w:pPr>
        <w:pStyle w:val="Heading2"/>
        <w:spacing w:after="120" w:before="260"/>
      </w:pPr>
      <w:r>
        <w:t xml:space="preserve">10.1 What the client cares about most</w:t>
      </w:r>
    </w:p>
    <w:p>
      <w:pPr>
        <w:spacing w:after="160"/>
      </w:pPr>
      <w:r>
        <w:t xml:space="preserve">The client's lens is operational, not feature-based: can they see who is in the system, who has been contacted, whether outreach is personalized, and whether enrichment is actually improving reachability or engagement. Milestone completion is not treated as a box-checking exercise if the underlying workflow still isn't usable.</w:t>
      </w:r>
    </w:p>
    <w:p>
      <w:pPr>
        <w:pStyle w:val="Heading2"/>
        <w:spacing w:after="120" w:before="260"/>
      </w:pPr>
      <w:r>
        <w:t xml:space="preserve">10.2 Confirmed milestone interpretation</w:t>
      </w:r>
    </w:p>
    <w:p>
      <w:pPr>
        <w:pStyle w:val="ListParagraph"/>
        <w:numPr>
          <w:ilvl w:val="0"/>
          <w:numId w:val="2"/>
        </w:numPr>
        <w:spacing w:after="80"/>
      </w:pPr>
      <w:r>
        <w:rPr>
          <w:b/>
          <w:bCs/>
        </w:rPr>
        <w:t xml:space="preserve">M1 = foundation / system of record: </w:t>
      </w:r>
      <w:r>
        <w:t xml:space="preserve">centralized lead database, corrected data model, outreach infrastructure, human approval queue, bounce/suppression logic.</w:t>
      </w:r>
    </w:p>
    <w:p>
      <w:pPr>
        <w:pStyle w:val="ListParagraph"/>
        <w:numPr>
          <w:ilvl w:val="0"/>
          <w:numId w:val="2"/>
        </w:numPr>
        <w:spacing w:after="80"/>
      </w:pPr>
      <w:r>
        <w:rPr>
          <w:b/>
          <w:bCs/>
        </w:rPr>
        <w:t xml:space="preserve">M2 = intelligence layer: </w:t>
      </w:r>
      <w:r>
        <w:t xml:space="preserve">AI-generated outreach, inbound reply handling, FAQ/knowledge support, Kanban + metrics visibility, automated follow-up support.</w:t>
      </w:r>
    </w:p>
    <w:p>
      <w:pPr>
        <w:pStyle w:val="ListParagraph"/>
        <w:numPr>
          <w:ilvl w:val="0"/>
          <w:numId w:val="2"/>
        </w:numPr>
        <w:spacing w:after="80"/>
      </w:pPr>
      <w:r>
        <w:rPr>
          <w:b/>
          <w:bCs/>
        </w:rPr>
        <w:t xml:space="preserve">M3 = deeper pipeline automation: </w:t>
      </w:r>
      <w:r>
        <w:t xml:space="preserve">profile scraping/enrichment, application-completion workflow automation, partial dependency on client tech team for URL parameter automation.</w:t>
      </w:r>
    </w:p>
    <w:p>
      <w:pPr>
        <w:spacing w:after="160"/>
      </w:pPr>
      <w:r>
        <w:t xml:space="preserve">M2 and M3 were explicitly confirmed by the client as parallel tracks, not a strict sequence — the early sequencing described in Section 8 is a resourcing decision on the delivery side, disclosed transparently rather than promising throughput not yet resourced for.</w:t>
      </w:r>
    </w:p>
    <w:p>
      <w:pPr>
        <w:pStyle w:val="Heading2"/>
        <w:spacing w:after="120" w:before="260"/>
      </w:pPr>
      <w:r>
        <w:t xml:space="preserve">10.3 Biggest implementation risk</w:t>
      </w:r>
    </w:p>
    <w:p>
      <w:pPr>
        <w:spacing w:after="160"/>
      </w:pPr>
      <w:r>
        <w:t xml:space="preserve">Input data quality is poor and fragmented. Current recruiter data is spread across people and spreadsheets; some records are incomplete and may contain only a LinkedIn-derived name with no email or reliable identifier — the “Danny M” pattern discussed above is a real, already-observed example, not a hypothetical.</w:t>
      </w:r>
    </w:p>
    <w:p>
      <w:pPr>
        <w:pStyle w:val="Heading2"/>
        <w:spacing w:after="120" w:before="260"/>
      </w:pPr>
      <w:r>
        <w:t xml:space="preserve">10.4 Product and engineering implications</w:t>
      </w:r>
    </w:p>
    <w:p>
      <w:pPr>
        <w:pStyle w:val="ListParagraph"/>
        <w:numPr>
          <w:ilvl w:val="0"/>
          <w:numId w:val="2"/>
        </w:numPr>
        <w:spacing w:after="80"/>
      </w:pPr>
      <w:r>
        <w:t xml:space="preserve">The system should assume messy inputs by default, not wait for clean data.</w:t>
      </w:r>
    </w:p>
    <w:p>
      <w:pPr>
        <w:pStyle w:val="ListParagraph"/>
        <w:numPr>
          <w:ilvl w:val="0"/>
          <w:numId w:val="2"/>
        </w:numPr>
        <w:spacing w:after="80"/>
      </w:pPr>
      <w:r>
        <w:t xml:space="preserve">Strong support needed for: consolidation from fragmented sources, normalization, visibility into missing vs. confirmed data, traceability of sourcing/outreach status, and the ability to operate on partial enrichment.</w:t>
      </w:r>
    </w:p>
    <w:p>
      <w:pPr>
        <w:pStyle w:val="ListParagraph"/>
        <w:numPr>
          <w:ilvl w:val="0"/>
          <w:numId w:val="2"/>
        </w:numPr>
        <w:spacing w:after="80"/>
      </w:pPr>
      <w:r>
        <w:t xml:space="preserve">Enrichment is not “done” just because a pipeline runs — if the output isn't actionable for outreach, it will be seen as incomplete.</w:t>
      </w:r>
    </w:p>
    <w:p>
      <w:pPr>
        <w:pStyle w:val="ListParagraph"/>
        <w:numPr>
          <w:ilvl w:val="0"/>
          <w:numId w:val="2"/>
        </w:numPr>
        <w:spacing w:after="80"/>
      </w:pPr>
      <w:r>
        <w:t xml:space="preserve">Foundation work (M1) should be architecturally separated from enrichment work (M3), even though both feed the same system.</w:t>
      </w:r>
    </w:p>
    <w:p>
      <w:pPr>
        <w:pStyle w:val="Heading2"/>
        <w:spacing w:after="120" w:before="260"/>
      </w:pPr>
      <w:r>
        <w:t xml:space="preserve">10.5 Resourcing signal</w:t>
      </w:r>
    </w:p>
    <w:p>
      <w:pPr>
        <w:spacing w:after="160"/>
      </w:pPr>
      <w:r>
        <w:t xml:space="preserve">The client described a need for a local, India-based technical coordinator / PM-type owner who can bridge ops and engineering, since current dev coverage is distributed across the US, Europe, and Vietnam, creating timezone and execution friction. This is adjacent to the product build but signals that implementation may stall without a clear day-to-day owner.</w:t>
      </w:r>
    </w:p>
    <w:p>
      <w:pPr>
        <w:pStyle w:val="Heading2"/>
        <w:spacing w:after="120" w:before="260"/>
      </w:pPr>
      <w:r>
        <w:t xml:space="preserve">10.6 Operating model</w:t>
      </w:r>
    </w:p>
    <w:p>
      <w:pPr>
        <w:spacing w:after="160"/>
      </w:pPr>
      <w:r>
        <w:t xml:space="preserve">This should be treated as an iterative operational system, not a one-time delivery — post-launch refinement is expected as real recruiter workflows hit edge cases.</w:t>
      </w:r>
    </w:p>
    <w:p>
      <w:pPr>
        <w:pStyle w:val="Heading1"/>
        <w:spacing w:after="160" w:before="360"/>
      </w:pPr>
      <w:r>
        <w:t xml:space="preserve">11. Parallel engagement — recruitment dashboard build (Beacon / Akhil's team)</w:t>
      </w:r>
    </w:p>
    <w:p>
      <w:pPr>
        <w:spacing w:after="160"/>
      </w:pPr>
      <w:r>
        <w:t xml:space="preserve">A related, broader-scoped engagement is underway with Akhil's team, covering the dashboard, outreach enrichment, and tracking layer end-to-end — with an estimated 15-week project timeline. This surfaces some requirements not present in the original G3 proposal.</w:t>
      </w:r>
    </w:p>
    <w:p>
      <w:pPr>
        <w:pStyle w:val="Heading2"/>
        <w:spacing w:after="120" w:before="260"/>
      </w:pPr>
      <w:r>
        <w:t xml:space="preserve">11.1 Additional data model detail</w:t>
      </w:r>
    </w:p>
    <w:p>
      <w:pPr>
        <w:pStyle w:val="ListParagraph"/>
        <w:numPr>
          <w:ilvl w:val="0"/>
          <w:numId w:val="2"/>
        </w:numPr>
        <w:spacing w:after="80"/>
      </w:pPr>
      <w:r>
        <w:rPr>
          <w:b/>
          <w:bCs/>
        </w:rPr>
        <w:t xml:space="preserve">Services column: </w:t>
      </w:r>
      <w:r>
        <w:t xml:space="preserve">consolidate service1/service2/service3 into a single multi-select column; primary service = most years of experience.</w:t>
      </w:r>
    </w:p>
    <w:p>
      <w:pPr>
        <w:pStyle w:val="ListParagraph"/>
        <w:numPr>
          <w:ilvl w:val="0"/>
          <w:numId w:val="2"/>
        </w:numPr>
        <w:spacing w:after="80"/>
      </w:pPr>
      <w:r>
        <w:rPr>
          <w:b/>
          <w:bCs/>
        </w:rPr>
        <w:t xml:space="preserve">Mandatory fields: </w:t>
      </w:r>
      <w:r>
        <w:t xml:space="preserve">name, country, source/profile link, contact number, and service. Phone numbers are especially important for Indian freelancers, given low email responsiveness.</w:t>
      </w:r>
    </w:p>
    <w:p>
      <w:pPr>
        <w:pStyle w:val="ListParagraph"/>
        <w:numPr>
          <w:ilvl w:val="0"/>
          <w:numId w:val="2"/>
        </w:numPr>
        <w:spacing w:after="80"/>
      </w:pPr>
      <w:r>
        <w:rPr>
          <w:b/>
          <w:bCs/>
        </w:rPr>
        <w:t xml:space="preserve">Enrichment fields: </w:t>
      </w:r>
      <w:r>
        <w:t xml:space="preserve">years of experience and vendor/competitor history, used to prioritize outreach — senior candidates are chased harder, and competitor shutdowns (e.g. PaperCup) are flagged as high-priority targets.</w:t>
      </w:r>
    </w:p>
    <w:p>
      <w:pPr>
        <w:pStyle w:val="ListParagraph"/>
        <w:numPr>
          <w:ilvl w:val="0"/>
          <w:numId w:val="2"/>
        </w:numPr>
        <w:spacing w:after="80"/>
      </w:pPr>
      <w:r>
        <w:rPr>
          <w:b/>
          <w:bCs/>
        </w:rPr>
        <w:t xml:space="preserve">Country filtering: </w:t>
      </w:r>
      <w:r>
        <w:t xml:space="preserve">country of residence is used for source filtering; Russia and other sanctioned countries are excluded.</w:t>
      </w:r>
    </w:p>
    <w:p>
      <w:pPr>
        <w:pStyle w:val="ListParagraph"/>
        <w:numPr>
          <w:ilvl w:val="0"/>
          <w:numId w:val="2"/>
        </w:numPr>
        <w:spacing w:after="80"/>
      </w:pPr>
      <w:r>
        <w:rPr>
          <w:b/>
          <w:bCs/>
        </w:rPr>
        <w:t xml:space="preserve">DNC/DND tagging instead of deletion: </w:t>
      </w:r>
      <w:r>
        <w:t xml:space="preserve">preserves duplicate-prevention integrity.</w:t>
      </w:r>
    </w:p>
    <w:p>
      <w:pPr>
        <w:pStyle w:val="ListParagraph"/>
        <w:numPr>
          <w:ilvl w:val="0"/>
          <w:numId w:val="2"/>
        </w:numPr>
        <w:spacing w:after="80"/>
      </w:pPr>
      <w:r>
        <w:rPr>
          <w:b/>
          <w:bCs/>
        </w:rPr>
        <w:t xml:space="preserve">Data retention: </w:t>
      </w:r>
      <w:r>
        <w:t xml:space="preserve">indefinite, no expiry window. GDPR applies — publicly available data, access-controlled, with audit logs required.</w:t>
      </w:r>
    </w:p>
    <w:p>
      <w:pPr>
        <w:pStyle w:val="Heading2"/>
        <w:spacing w:after="120" w:before="260"/>
      </w:pPr>
      <w:r>
        <w:t xml:space="preserve">11.2 Automation and aggregation pipeline</w:t>
      </w:r>
    </w:p>
    <w:p>
      <w:pPr>
        <w:spacing w:after="160"/>
      </w:pPr>
      <w:r>
        <w:rPr>
          <w:b/>
          <w:bCs/>
        </w:rPr>
        <w:t xml:space="preserve">Phase 1 — consolidation:</w:t>
      </w:r>
    </w:p>
    <w:p>
      <w:pPr>
        <w:pStyle w:val="ListParagraph"/>
        <w:numPr>
          <w:ilvl w:val="0"/>
          <w:numId w:val="2"/>
        </w:numPr>
        <w:spacing w:after="80"/>
      </w:pPr>
      <w:r>
        <w:t xml:space="preserve">Bulk CSV upload via a standardized template (consistent fields, no schema changes).</w:t>
      </w:r>
    </w:p>
    <w:p>
      <w:pPr>
        <w:pStyle w:val="ListParagraph"/>
        <w:numPr>
          <w:ilvl w:val="0"/>
          <w:numId w:val="2"/>
        </w:numPr>
        <w:spacing w:after="80"/>
      </w:pPr>
      <w:r>
        <w:t xml:space="preserve">Form input for real-time entry alongside LinkedIn/ProZ browsing.</w:t>
      </w:r>
    </w:p>
    <w:p>
      <w:pPr>
        <w:pStyle w:val="ListParagraph"/>
        <w:numPr>
          <w:ilvl w:val="0"/>
          <w:numId w:val="2"/>
        </w:numPr>
        <w:spacing w:after="80"/>
      </w:pPr>
      <w:r>
        <w:t xml:space="preserve">A Chrome plugin and LinkedIn URL-based auto-extraction were both discussed but remain at the “explored/considered” stage — not yet confirmed build items.</w:t>
      </w:r>
    </w:p>
    <w:p>
      <w:pPr>
        <w:spacing w:after="160"/>
      </w:pPr>
      <w:r>
        <w:rPr>
          <w:b/>
          <w:bCs/>
        </w:rPr>
        <w:t xml:space="preserve">Phase 2 — background enrichment:</w:t>
      </w:r>
    </w:p>
    <w:p>
      <w:pPr>
        <w:pStyle w:val="ListParagraph"/>
        <w:numPr>
          <w:ilvl w:val="0"/>
          <w:numId w:val="2"/>
        </w:numPr>
        <w:spacing w:after="80"/>
      </w:pPr>
      <w:r>
        <w:t xml:space="preserve">A background job scrapes LinkedIn, ProZ, and potentially Apollo.io to fill missing fields on an already-created lead, outputting a confidence score (e.g. 80–90%) to reduce recruiter anxiety.</w:t>
      </w:r>
    </w:p>
    <w:p>
      <w:pPr>
        <w:pStyle w:val="Heading2"/>
        <w:spacing w:after="120" w:before="260"/>
      </w:pPr>
      <w:r>
        <w:t xml:space="preserve">11.3 Access tiers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400"/>
        <w:gridCol w:w="7200"/>
      </w:tblGrid>
      <w:tr>
        <w:trPr>
          <w:tblHeader/>
        </w:trPr>
        <w:tc>
          <w:tcPr>
            <w:tcW w:type="dxa" w:w="3400"/>
            <w:shd w:fill="2C3E3A" w:val="clear"/>
            <w:tcMar>
              <w:top w:type="dxa" w:w="80"/>
              <w:left w:type="dxa" w:w="120"/>
              <w:bottom w:type="dxa" w:w="80"/>
              <w:right w:type="dxa" w:w="120"/>
            </w:tcMar>
            <w:vAlign w:val="center"/>
          </w:tcPr>
          <w:p>
            <w:r>
              <w:rPr>
                <w:b/>
                <w:bCs/>
                <w:color w:val="FFFFFF"/>
              </w:rPr>
              <w:t xml:space="preserve">Tier</w:t>
            </w:r>
          </w:p>
        </w:tc>
        <w:tc>
          <w:tcPr>
            <w:tcW w:type="dxa" w:w="7200"/>
            <w:shd w:fill="2C3E3A" w:val="clear"/>
            <w:tcMar>
              <w:top w:type="dxa" w:w="80"/>
              <w:left w:type="dxa" w:w="120"/>
              <w:bottom w:type="dxa" w:w="80"/>
              <w:right w:type="dxa" w:w="120"/>
            </w:tcMar>
            <w:vAlign w:val="center"/>
          </w:tcPr>
          <w:p>
            <w:r>
              <w:rPr>
                <w:b/>
                <w:bCs/>
                <w:color w:val="FFFFFF"/>
              </w:rPr>
              <w:t xml:space="preserve">Access level</w:t>
            </w:r>
          </w:p>
        </w:tc>
      </w:tr>
      <w:tr>
        <w:tc>
          <w:tcPr>
            <w:tcW w:type="dxa" w:w="3400"/>
            <w:shd w:fill="FFFFFF" w:val="clear"/>
            <w:tcMar>
              <w:top w:type="dxa" w:w="80"/>
              <w:left w:type="dxa" w:w="120"/>
              <w:bottom w:type="dxa" w:w="80"/>
              <w:right w:type="dxa" w:w="120"/>
            </w:tcMar>
            <w:vAlign w:val="center"/>
          </w:tcPr>
          <w:p>
            <w:r>
              <w:rPr>
                <w:b w:val="false"/>
                <w:bCs w:val="false"/>
              </w:rPr>
              <w:t xml:space="preserve">Full-access recruiters</w:t>
            </w:r>
          </w:p>
        </w:tc>
        <w:tc>
          <w:tcPr>
            <w:tcW w:type="dxa" w:w="7200"/>
            <w:shd w:fill="FFFFFF" w:val="clear"/>
            <w:tcMar>
              <w:top w:type="dxa" w:w="80"/>
              <w:left w:type="dxa" w:w="120"/>
              <w:bottom w:type="dxa" w:w="80"/>
              <w:right w:type="dxa" w:w="120"/>
            </w:tcMar>
            <w:vAlign w:val="center"/>
          </w:tcPr>
          <w:p>
            <w:r>
              <w:rPr>
                <w:b w:val="false"/>
                <w:bCs w:val="false"/>
              </w:rPr>
              <w:t xml:space="preserve">Divya, Madhu, Sharmista — full database visibility and workflow access</w:t>
            </w:r>
          </w:p>
        </w:tc>
      </w:tr>
      <w:tr>
        <w:tc>
          <w:tcPr>
            <w:tcW w:type="dxa" w:w="3400"/>
            <w:shd w:fill="F3F1EA" w:val="clear"/>
            <w:tcMar>
              <w:top w:type="dxa" w:w="80"/>
              <w:left w:type="dxa" w:w="120"/>
              <w:bottom w:type="dxa" w:w="80"/>
              <w:right w:type="dxa" w:w="120"/>
            </w:tcMar>
            <w:vAlign w:val="center"/>
          </w:tcPr>
          <w:p>
            <w:r>
              <w:rPr>
                <w:b w:val="false"/>
                <w:bCs w:val="false"/>
              </w:rPr>
              <w:t xml:space="preserve">Owner dashboard</w:t>
            </w:r>
          </w:p>
        </w:tc>
        <w:tc>
          <w:tcPr>
            <w:tcW w:type="dxa" w:w="7200"/>
            <w:shd w:fill="F3F1EA" w:val="clear"/>
            <w:tcMar>
              <w:top w:type="dxa" w:w="80"/>
              <w:left w:type="dxa" w:w="120"/>
              <w:bottom w:type="dxa" w:w="80"/>
              <w:right w:type="dxa" w:w="120"/>
            </w:tcMar>
            <w:vAlign w:val="center"/>
          </w:tcPr>
          <w:p>
            <w:r>
              <w:rPr>
                <w:b w:val="false"/>
                <w:bCs w:val="false"/>
              </w:rPr>
              <w:t xml:space="preserve">Sundar — management/oversight view, separate from day-to-day recruiter workflow</w:t>
            </w:r>
          </w:p>
        </w:tc>
      </w:tr>
      <w:tr>
        <w:tc>
          <w:tcPr>
            <w:tcW w:type="dxa" w:w="3400"/>
            <w:shd w:fill="FFFFFF" w:val="clear"/>
            <w:tcMar>
              <w:top w:type="dxa" w:w="80"/>
              <w:left w:type="dxa" w:w="120"/>
              <w:bottom w:type="dxa" w:w="80"/>
              <w:right w:type="dxa" w:w="120"/>
            </w:tcMar>
            <w:vAlign w:val="center"/>
          </w:tcPr>
          <w:p>
            <w:r>
              <w:rPr>
                <w:b w:val="false"/>
                <w:bCs w:val="false"/>
              </w:rPr>
              <w:t xml:space="preserve">Contractor recruiters</w:t>
            </w:r>
          </w:p>
        </w:tc>
        <w:tc>
          <w:tcPr>
            <w:tcW w:type="dxa" w:w="7200"/>
            <w:shd w:fill="FFFFFF" w:val="clear"/>
            <w:tcMar>
              <w:top w:type="dxa" w:w="80"/>
              <w:left w:type="dxa" w:w="120"/>
              <w:bottom w:type="dxa" w:w="80"/>
              <w:right w:type="dxa" w:w="120"/>
            </w:tcMar>
            <w:vAlign w:val="center"/>
          </w:tcPr>
          <w:p>
            <w:r>
              <w:rPr>
                <w:b w:val="false"/>
                <w:bCs w:val="false"/>
              </w:rPr>
              <w:t xml:space="preserve">Search-only view to check if a lead already exists; no full database visibility; submit via form or bulk upload with duplicate check</w:t>
            </w:r>
          </w:p>
        </w:tc>
      </w:tr>
    </w:tbl>
    <w:p>
      <w:pPr>
        <w:spacing w:after="160"/>
      </w:pPr>
      <w:r>
        <w:rPr>
          <w:sz w:val="2"/>
          <w:szCs w:val="2"/>
        </w:rPr>
        <w:t xml:space="preserve"/>
      </w:r>
    </w:p>
    <w:p>
      <w:pPr>
        <w:pStyle w:val="Heading2"/>
        <w:spacing w:after="120" w:before="260"/>
      </w:pPr>
      <w:r>
        <w:t xml:space="preserve">11.4 Outreach types</w:t>
      </w:r>
    </w:p>
    <w:p>
      <w:pPr>
        <w:pStyle w:val="ListParagraph"/>
        <w:numPr>
          <w:ilvl w:val="0"/>
          <w:numId w:val="2"/>
        </w:numPr>
        <w:spacing w:after="80"/>
      </w:pPr>
      <w:r>
        <w:rPr>
          <w:b/>
          <w:bCs/>
        </w:rPr>
        <w:t xml:space="preserve">Email outreach: </w:t>
      </w:r>
      <w:r>
        <w:t xml:space="preserve">personalized drafts auto-generated, always reviewed by a recruiter before sending. Rate cards are included as a range (e.g. $6–$8), not a specific rate.</w:t>
      </w:r>
    </w:p>
    <w:p>
      <w:pPr>
        <w:pStyle w:val="ListParagraph"/>
        <w:numPr>
          <w:ilvl w:val="0"/>
          <w:numId w:val="2"/>
        </w:numPr>
        <w:spacing w:after="80"/>
      </w:pPr>
      <w:r>
        <w:rPr>
          <w:b/>
          <w:bCs/>
        </w:rPr>
        <w:t xml:space="preserve">LinkedIn outreach: </w:t>
      </w:r>
      <w:r>
        <w:t xml:space="preserve">a recruiter's personal account is preferred over the company account for higher response rates. Contractor recruiters are asked to upgrade to LinkedIn Premium; the auth flow has the recruiter log in, with LinkedIn DMs sent on their behalf.</w:t>
      </w:r>
    </w:p>
    <w:p>
      <w:pPr>
        <w:pStyle w:val="Heading1"/>
        <w:spacing w:after="160" w:before="360"/>
      </w:pPr>
      <w:r>
        <w:t xml:space="preserve">12. Identified gaps &amp; open questions</w:t>
      </w:r>
    </w:p>
    <w:p>
      <w:pPr>
        <w:spacing w:after="160"/>
      </w:pPr>
      <w:r>
        <w:t xml:space="preserve">Compiled across the proposal, both meeting notes, and the Beacon check-in — none of these are answered in the source documents yet.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7400"/>
      </w:tblGrid>
      <w:tr>
        <w:trPr>
          <w:tblHeader/>
        </w:trPr>
        <w:tc>
          <w:tcPr>
            <w:tcW w:type="dxa" w:w="3200"/>
            <w:shd w:fill="2C3E3A" w:val="clear"/>
            <w:tcMar>
              <w:top w:type="dxa" w:w="80"/>
              <w:left w:type="dxa" w:w="120"/>
              <w:bottom w:type="dxa" w:w="80"/>
              <w:right w:type="dxa" w:w="120"/>
            </w:tcMar>
            <w:vAlign w:val="center"/>
          </w:tcPr>
          <w:p>
            <w:r>
              <w:rPr>
                <w:b/>
                <w:bCs/>
                <w:color w:val="FFFFFF"/>
              </w:rPr>
              <w:t xml:space="preserve">Gap</w:t>
            </w:r>
          </w:p>
        </w:tc>
        <w:tc>
          <w:tcPr>
            <w:tcW w:type="dxa" w:w="7400"/>
            <w:shd w:fill="2C3E3A" w:val="clear"/>
            <w:tcMar>
              <w:top w:type="dxa" w:w="80"/>
              <w:left w:type="dxa" w:w="120"/>
              <w:bottom w:type="dxa" w:w="80"/>
              <w:right w:type="dxa" w:w="120"/>
            </w:tcMar>
            <w:vAlign w:val="center"/>
          </w:tcPr>
          <w:p>
            <w:r>
              <w:rPr>
                <w:b/>
                <w:bCs/>
                <w:color w:val="FFFFFF"/>
              </w:rPr>
              <w:t xml:space="preserve">Why it matters</w:t>
            </w:r>
          </w:p>
        </w:tc>
      </w:tr>
      <w:tr>
        <w:tc>
          <w:tcPr>
            <w:tcW w:type="dxa" w:w="3200"/>
            <w:shd w:fill="FFFFFF" w:val="clear"/>
            <w:tcMar>
              <w:top w:type="dxa" w:w="80"/>
              <w:left w:type="dxa" w:w="120"/>
              <w:bottom w:type="dxa" w:w="80"/>
              <w:right w:type="dxa" w:w="120"/>
            </w:tcMar>
            <w:vAlign w:val="center"/>
          </w:tcPr>
          <w:p>
            <w:r>
              <w:rPr>
                <w:b w:val="false"/>
                <w:bCs w:val="false"/>
              </w:rPr>
              <w:t xml:space="preserve">Outreach filtration criteria</w:t>
            </w:r>
          </w:p>
        </w:tc>
        <w:tc>
          <w:tcPr>
            <w:tcW w:type="dxa" w:w="7400"/>
            <w:shd w:fill="FFFFFF" w:val="clear"/>
            <w:tcMar>
              <w:top w:type="dxa" w:w="80"/>
              <w:left w:type="dxa" w:w="120"/>
              <w:bottom w:type="dxa" w:w="80"/>
              <w:right w:type="dxa" w:w="120"/>
            </w:tcMar>
            <w:vAlign w:val="center"/>
          </w:tcPr>
          <w:p>
            <w:r>
              <w:rPr>
                <w:b w:val="false"/>
                <w:bCs w:val="false"/>
              </w:rPr>
              <w:t xml:space="preserve">No rule defines whether all imported leads get outreach or only those meeting a completeness/qualification threshold; “qualified freelancer” is still only directionally described</w:t>
            </w:r>
          </w:p>
        </w:tc>
      </w:tr>
      <w:tr>
        <w:tc>
          <w:tcPr>
            <w:tcW w:type="dxa" w:w="3200"/>
            <w:shd w:fill="F3F1EA" w:val="clear"/>
            <w:tcMar>
              <w:top w:type="dxa" w:w="80"/>
              <w:left w:type="dxa" w:w="120"/>
              <w:bottom w:type="dxa" w:w="80"/>
              <w:right w:type="dxa" w:w="120"/>
            </w:tcMar>
            <w:vAlign w:val="center"/>
          </w:tcPr>
          <w:p>
            <w:r>
              <w:rPr>
                <w:b w:val="false"/>
                <w:bCs w:val="false"/>
              </w:rPr>
              <w:t xml:space="preserve">Deletion policy</w:t>
            </w:r>
          </w:p>
        </w:tc>
        <w:tc>
          <w:tcPr>
            <w:tcW w:type="dxa" w:w="7400"/>
            <w:shd w:fill="F3F1EA" w:val="clear"/>
            <w:tcMar>
              <w:top w:type="dxa" w:w="80"/>
              <w:left w:type="dxa" w:w="120"/>
              <w:bottom w:type="dxa" w:w="80"/>
              <w:right w:type="dxa" w:w="120"/>
            </w:tcMar>
            <w:vAlign w:val="center"/>
          </w:tcPr>
          <w:p>
            <w:r>
              <w:rPr>
                <w:b w:val="false"/>
                <w:bCs w:val="false"/>
              </w:rPr>
              <w:t xml:space="preserve">No defined process for GDPR/DPDP-style delete requests, despite the proposal claiming DPDP compliance; the system's design is retention-first (flag, don't delete) by default</w:t>
            </w:r>
          </w:p>
        </w:tc>
      </w:tr>
      <w:tr>
        <w:tc>
          <w:tcPr>
            <w:tcW w:type="dxa" w:w="3200"/>
            <w:shd w:fill="FFFFFF" w:val="clear"/>
            <w:tcMar>
              <w:top w:type="dxa" w:w="80"/>
              <w:left w:type="dxa" w:w="120"/>
              <w:bottom w:type="dxa" w:w="80"/>
              <w:right w:type="dxa" w:w="120"/>
            </w:tcMar>
            <w:vAlign w:val="center"/>
          </w:tcPr>
          <w:p>
            <w:r>
              <w:rPr>
                <w:b w:val="false"/>
                <w:bCs w:val="false"/>
              </w:rPr>
              <w:t xml:space="preserve">Person → Service deletion cascade</w:t>
            </w:r>
          </w:p>
        </w:tc>
        <w:tc>
          <w:tcPr>
            <w:tcW w:type="dxa" w:w="7400"/>
            <w:shd w:fill="FFFFFF" w:val="clear"/>
            <w:tcMar>
              <w:top w:type="dxa" w:w="80"/>
              <w:left w:type="dxa" w:w="120"/>
              <w:bottom w:type="dxa" w:w="80"/>
              <w:right w:type="dxa" w:w="120"/>
            </w:tcMar>
            <w:vAlign w:val="center"/>
          </w:tcPr>
          <w:p>
            <w:r>
              <w:rPr>
                <w:b w:val="false"/>
                <w:bCs w:val="false"/>
              </w:rPr>
              <w:t xml:space="preserve">Unclear whether removing one service profile should cascade to the person record, and whether a full delete request should be hard or soft (anonymized, audit-preserving)</w:t>
            </w:r>
          </w:p>
        </w:tc>
      </w:tr>
      <w:tr>
        <w:tc>
          <w:tcPr>
            <w:tcW w:type="dxa" w:w="3200"/>
            <w:shd w:fill="F3F1EA" w:val="clear"/>
            <w:tcMar>
              <w:top w:type="dxa" w:w="80"/>
              <w:left w:type="dxa" w:w="120"/>
              <w:bottom w:type="dxa" w:w="80"/>
              <w:right w:type="dxa" w:w="120"/>
            </w:tcMar>
            <w:vAlign w:val="center"/>
          </w:tcPr>
          <w:p>
            <w:r>
              <w:rPr>
                <w:b w:val="false"/>
                <w:bCs w:val="false"/>
              </w:rPr>
              <w:t xml:space="preserve">Granular decline-reason flags</w:t>
            </w:r>
          </w:p>
        </w:tc>
        <w:tc>
          <w:tcPr>
            <w:tcW w:type="dxa" w:w="7400"/>
            <w:shd w:fill="F3F1EA" w:val="clear"/>
            <w:tcMar>
              <w:top w:type="dxa" w:w="80"/>
              <w:left w:type="dxa" w:w="120"/>
              <w:bottom w:type="dxa" w:w="80"/>
              <w:right w:type="dxa" w:w="120"/>
            </w:tcMar>
            <w:vAlign w:val="center"/>
          </w:tcPr>
          <w:p>
            <w:r>
              <w:rPr>
                <w:b w:val="false"/>
                <w:bCs w:val="false"/>
              </w:rPr>
              <w:t xml:space="preserve">Current flags (DNC / On Hold / Watching / High Priority) don't capture a candidate declining for a specific reason (e.g. AI-assisted work only) while remaining open to other outreach</w:t>
            </w:r>
          </w:p>
        </w:tc>
      </w:tr>
      <w:tr>
        <w:tc>
          <w:tcPr>
            <w:tcW w:type="dxa" w:w="3200"/>
            <w:shd w:fill="FFFFFF" w:val="clear"/>
            <w:tcMar>
              <w:top w:type="dxa" w:w="80"/>
              <w:left w:type="dxa" w:w="120"/>
              <w:bottom w:type="dxa" w:w="80"/>
              <w:right w:type="dxa" w:w="120"/>
            </w:tcMar>
            <w:vAlign w:val="center"/>
          </w:tcPr>
          <w:p>
            <w:r>
              <w:rPr>
                <w:b w:val="false"/>
                <w:bCs w:val="false"/>
              </w:rPr>
              <w:t xml:space="preserve">Early-phase recruiter workload</w:t>
            </w:r>
          </w:p>
        </w:tc>
        <w:tc>
          <w:tcPr>
            <w:tcW w:type="dxa" w:w="7400"/>
            <w:shd w:fill="FFFFFF" w:val="clear"/>
            <w:tcMar>
              <w:top w:type="dxa" w:w="80"/>
              <w:left w:type="dxa" w:w="120"/>
              <w:bottom w:type="dxa" w:w="80"/>
              <w:right w:type="dxa" w:w="120"/>
            </w:tcMar>
            <w:vAlign w:val="center"/>
          </w:tcPr>
          <w:p>
            <w:r>
              <w:rPr>
                <w:b w:val="false"/>
                <w:bCs w:val="false"/>
              </w:rPr>
              <w:t xml:space="preserve">High initial AI-draft edit rates plus the mandatory scroll gate may increase recruiter effort before AI quality improves — not addressed as an expectation-setting item with the client</w:t>
            </w:r>
          </w:p>
        </w:tc>
      </w:tr>
      <w:tr>
        <w:tc>
          <w:tcPr>
            <w:tcW w:type="dxa" w:w="3200"/>
            <w:shd w:fill="F3F1EA" w:val="clear"/>
            <w:tcMar>
              <w:top w:type="dxa" w:w="80"/>
              <w:left w:type="dxa" w:w="120"/>
              <w:bottom w:type="dxa" w:w="80"/>
              <w:right w:type="dxa" w:w="120"/>
            </w:tcMar>
            <w:vAlign w:val="center"/>
          </w:tcPr>
          <w:p>
            <w:r>
              <w:rPr>
                <w:b w:val="false"/>
                <w:bCs w:val="false"/>
              </w:rPr>
              <w:t xml:space="preserve">Chrome plugin / URL auto-extraction</w:t>
            </w:r>
          </w:p>
        </w:tc>
        <w:tc>
          <w:tcPr>
            <w:tcW w:type="dxa" w:w="7400"/>
            <w:shd w:fill="F3F1EA" w:val="clear"/>
            <w:tcMar>
              <w:top w:type="dxa" w:w="80"/>
              <w:left w:type="dxa" w:w="120"/>
              <w:bottom w:type="dxa" w:w="80"/>
              <w:right w:type="dxa" w:w="120"/>
            </w:tcMar>
            <w:vAlign w:val="center"/>
          </w:tcPr>
          <w:p>
            <w:r>
              <w:rPr>
                <w:b w:val="false"/>
                <w:bCs w:val="false"/>
              </w:rPr>
              <w:t xml:space="preserve">Still “explored/considered” in the Beacon notes, not confirmed — significantly changes engineering scope if greenlit, and inherits the same LinkedIn bot-detection risk flagged in the core proposal</w:t>
            </w:r>
          </w:p>
        </w:tc>
      </w:tr>
    </w:tbl>
    <w:p>
      <w:pPr>
        <w:spacing w:after="160"/>
      </w:pPr>
      <w:r>
        <w:rPr>
          <w:sz w:val="2"/>
          <w:szCs w:val="2"/>
        </w:rPr>
        <w:t xml:space="preserve"/>
      </w:r>
    </w:p>
    <w:p>
      <w:pPr>
        <w:pStyle w:val="Heading1"/>
        <w:spacing w:after="160" w:before="360"/>
      </w:pPr>
      <w:r>
        <w:t xml:space="preserve">13. UI architecture — role-based system</w:t>
      </w:r>
    </w:p>
    <w:p>
      <w:pPr>
        <w:spacing w:after="160"/>
      </w:pPr>
      <w:r>
        <w:t xml:space="preserve">A single login/signup flow routes users by role into one of three destinations, each with a distinct scope of access:</w:t>
      </w:r>
    </w:p>
    <w:p>
      <w:pPr>
        <w:pStyle w:val="ListParagraph"/>
        <w:numPr>
          <w:ilvl w:val="0"/>
          <w:numId w:val="2"/>
        </w:numPr>
        <w:spacing w:after="80"/>
      </w:pPr>
      <w:r>
        <w:rPr>
          <w:b/>
          <w:bCs/>
        </w:rPr>
        <w:t xml:space="preserve">Owner dashboard (Sundar): </w:t>
      </w:r>
      <w:r>
        <w:t xml:space="preserve">management and oversight view — full funnel visibility, supply/demand, approvals, system health, compliance.</w:t>
      </w:r>
    </w:p>
    <w:p>
      <w:pPr>
        <w:pStyle w:val="ListParagraph"/>
        <w:numPr>
          <w:ilvl w:val="0"/>
          <w:numId w:val="2"/>
        </w:numPr>
        <w:spacing w:after="80"/>
      </w:pPr>
      <w:r>
        <w:rPr>
          <w:b/>
          <w:bCs/>
        </w:rPr>
        <w:t xml:space="preserve">Recruiter portal (full access): </w:t>
      </w:r>
      <w:r>
        <w:t xml:space="preserve">day-to-day operational workspace — pipeline table, approval queue, outreach tools.</w:t>
      </w:r>
    </w:p>
    <w:p>
      <w:pPr>
        <w:pStyle w:val="ListParagraph"/>
        <w:numPr>
          <w:ilvl w:val="0"/>
          <w:numId w:val="2"/>
        </w:numPr>
        <w:spacing w:after="80"/>
      </w:pPr>
      <w:r>
        <w:rPr>
          <w:b/>
          <w:bCs/>
        </w:rPr>
        <w:t xml:space="preserve">Contractor portal (search-only): </w:t>
      </w:r>
      <w:r>
        <w:t xml:space="preserve">duplicate-check search and lead submission via form or bulk upload, without full database visibility.</w:t>
      </w:r>
    </w:p>
    <w:p>
      <w:pPr>
        <w:pStyle w:val="Heading1"/>
        <w:spacing w:after="160" w:before="360"/>
      </w:pPr>
      <w:r>
        <w:t xml:space="preserve">14. Sundar's dashboard — pages &amp; components</w:t>
      </w:r>
    </w:p>
    <w:p>
      <w:pPr>
        <w:pStyle w:val="Heading2"/>
        <w:spacing w:after="120" w:before="260"/>
      </w:pPr>
      <w:r>
        <w:t xml:space="preserve">14.1 Page structure</w:t>
      </w:r>
    </w:p>
    <w:p>
      <w:pPr>
        <w:pStyle w:val="ListParagraph"/>
        <w:numPr>
          <w:ilvl w:val="0"/>
          <w:numId w:val="2"/>
        </w:numPr>
        <w:spacing w:after="80"/>
      </w:pPr>
      <w:r>
        <w:rPr>
          <w:b/>
          <w:bCs/>
        </w:rPr>
        <w:t xml:space="preserve">Overview: </w:t>
      </w:r>
      <w:r>
        <w:t xml:space="preserve">urgency-ordered rollup of every other page — alerts, pending approvals, supply/demand headlines, funnel snapshot, system health.</w:t>
      </w:r>
    </w:p>
    <w:p>
      <w:pPr>
        <w:pStyle w:val="ListParagraph"/>
        <w:numPr>
          <w:ilvl w:val="0"/>
          <w:numId w:val="2"/>
        </w:numPr>
        <w:spacing w:after="80"/>
      </w:pPr>
      <w:r>
        <w:rPr>
          <w:b/>
          <w:bCs/>
        </w:rPr>
        <w:t xml:space="preserve">Pipeline &amp; Reporting: </w:t>
      </w:r>
      <w:r>
        <w:t xml:space="preserve">full funnel view, leads by language, leads by recruiter, data health trend.</w:t>
      </w:r>
    </w:p>
    <w:p>
      <w:pPr>
        <w:pStyle w:val="ListParagraph"/>
        <w:numPr>
          <w:ilvl w:val="0"/>
          <w:numId w:val="2"/>
        </w:numPr>
        <w:spacing w:after="80"/>
      </w:pPr>
      <w:r>
        <w:rPr>
          <w:b/>
          <w:bCs/>
        </w:rPr>
        <w:t xml:space="preserve">Supply vs Demand: </w:t>
      </w:r>
      <w:r>
        <w:t xml:space="preserve">client demand intake form, auto-generated gap view, per-language threshold indicators, capacity/assignment tracking.</w:t>
      </w:r>
    </w:p>
    <w:p>
      <w:pPr>
        <w:pStyle w:val="ListParagraph"/>
        <w:numPr>
          <w:ilvl w:val="0"/>
          <w:numId w:val="2"/>
        </w:numPr>
        <w:spacing w:after="80"/>
      </w:pPr>
      <w:r>
        <w:rPr>
          <w:b/>
          <w:bCs/>
        </w:rPr>
        <w:t xml:space="preserve">Approvals: </w:t>
      </w:r>
      <w:r>
        <w:t xml:space="preserve">outreach items awaiting Sundar's sign-off, with an SLA countdown per item.</w:t>
      </w:r>
    </w:p>
    <w:p>
      <w:pPr>
        <w:pStyle w:val="ListParagraph"/>
        <w:numPr>
          <w:ilvl w:val="0"/>
          <w:numId w:val="2"/>
        </w:numPr>
        <w:spacing w:after="80"/>
      </w:pPr>
      <w:r>
        <w:rPr>
          <w:b/>
          <w:bCs/>
        </w:rPr>
        <w:t xml:space="preserve">System &amp; AI Performance: </w:t>
      </w:r>
      <w:r>
        <w:t xml:space="preserve">profile completeness, LinkedIn match confidence, AI-draft edit rate, reply-classification accuracy, outreach visibility.</w:t>
      </w:r>
    </w:p>
    <w:p>
      <w:pPr>
        <w:pStyle w:val="ListParagraph"/>
        <w:numPr>
          <w:ilvl w:val="0"/>
          <w:numId w:val="2"/>
        </w:numPr>
        <w:spacing w:after="80"/>
      </w:pPr>
      <w:r>
        <w:rPr>
          <w:b/>
          <w:bCs/>
        </w:rPr>
        <w:t xml:space="preserve">Compliance &amp; Audit: </w:t>
      </w:r>
      <w:r>
        <w:t xml:space="preserve">DNC/DND status, audit log viewer, sanctioned-country filter status, data retention indicator.</w:t>
      </w:r>
    </w:p>
    <w:p>
      <w:pPr>
        <w:pStyle w:val="ListParagraph"/>
        <w:numPr>
          <w:ilvl w:val="0"/>
          <w:numId w:val="2"/>
        </w:numPr>
        <w:spacing w:after="80"/>
      </w:pPr>
      <w:r>
        <w:rPr>
          <w:b/>
          <w:bCs/>
        </w:rPr>
        <w:t xml:space="preserve">Priority / Fast-Track: </w:t>
      </w:r>
      <w:r>
        <w:t xml:space="preserve">starred high-experience profiles and competitor-shutdown targets.</w:t>
      </w:r>
    </w:p>
    <w:p>
      <w:pPr>
        <w:pStyle w:val="Heading2"/>
        <w:spacing w:after="120" w:before="260"/>
      </w:pPr>
      <w:r>
        <w:t xml:space="preserve">14.2 Overview page — module order</w:t>
      </w:r>
    </w:p>
    <w:p>
      <w:pPr>
        <w:spacing w:after="160"/>
      </w:pPr>
      <w:r>
        <w:t xml:space="preserve">Modules are compressed previews of the deeper pages, ordered by urgency rather than by page number — so the highest-attention items surface first:</w:t>
      </w:r>
    </w:p>
    <w:p>
      <w:pPr>
        <w:pStyle w:val="ListParagraph"/>
        <w:numPr>
          <w:ilvl w:val="0"/>
          <w:numId w:val="2"/>
        </w:numPr>
        <w:spacing w:after="80"/>
      </w:pPr>
      <w:r>
        <w:t xml:space="preserve">1. Alerts feed — threshold breaches, compliance flags, anything actively urgent.</w:t>
      </w:r>
    </w:p>
    <w:p>
      <w:pPr>
        <w:pStyle w:val="ListParagraph"/>
        <w:numPr>
          <w:ilvl w:val="0"/>
          <w:numId w:val="2"/>
        </w:numPr>
        <w:spacing w:after="80"/>
      </w:pPr>
      <w:r>
        <w:t xml:space="preserve">2. Pending approvals — count awaiting sign-off, with an SLA-breach highlight.</w:t>
      </w:r>
    </w:p>
    <w:p>
      <w:pPr>
        <w:pStyle w:val="ListParagraph"/>
        <w:numPr>
          <w:ilvl w:val="0"/>
          <w:numId w:val="2"/>
        </w:numPr>
        <w:spacing w:after="80"/>
      </w:pPr>
      <w:r>
        <w:t xml:space="preserve">3. Supply-vs-demand summary — top 3–4 most critical language gaps only.</w:t>
      </w:r>
    </w:p>
    <w:p>
      <w:pPr>
        <w:pStyle w:val="ListParagraph"/>
        <w:numPr>
          <w:ilvl w:val="0"/>
          <w:numId w:val="2"/>
        </w:numPr>
        <w:spacing w:after="80"/>
      </w:pPr>
      <w:r>
        <w:t xml:space="preserve">4. Funnel snapshot — stage-by-stage counts, addressing the “only onboarded is visible” pain point.</w:t>
      </w:r>
    </w:p>
    <w:p>
      <w:pPr>
        <w:pStyle w:val="ListParagraph"/>
        <w:numPr>
          <w:ilvl w:val="0"/>
          <w:numId w:val="2"/>
        </w:numPr>
        <w:spacing w:after="80"/>
      </w:pPr>
      <w:r>
        <w:t xml:space="preserve">5. System health strip — headline metrics, lowest urgency since healthy trends don't need immediate attention.</w:t>
      </w:r>
    </w:p>
    <w:p>
      <w:pPr>
        <w:pStyle w:val="Heading2"/>
        <w:spacing w:after="120" w:before="260"/>
      </w:pPr>
      <w:r>
        <w:t xml:space="preserve">14.3 Approvals page — SLA-filtered view</w:t>
      </w:r>
    </w:p>
    <w:p>
      <w:pPr>
        <w:spacing w:after="160"/>
      </w:pPr>
      <w:r>
        <w:t xml:space="preserve">Items nearing SLA breach surface with full context inline — recruiter/lead name, service and language tag, an outreach draft or reply-classification snippet, an SLA countdown, and one-click approve/reject — consistent with the in-app-queue principle from the core proposal. Lower-urgency items remain visible but visually de-emphasized, so attention naturally goes to what's time-sensitive.</w:t>
      </w:r>
    </w:p>
    <w:p>
      <w:pPr>
        <w:pStyle w:val="Heading2"/>
        <w:spacing w:after="120" w:before="260"/>
      </w:pPr>
      <w:r>
        <w:t xml:space="preserve">14.4 Open design decisions</w:t>
      </w:r>
    </w:p>
    <w:p>
      <w:pPr>
        <w:pStyle w:val="ListParagraph"/>
        <w:numPr>
          <w:ilvl w:val="0"/>
          <w:numId w:val="2"/>
        </w:numPr>
        <w:spacing w:after="80"/>
      </w:pPr>
      <w:r>
        <w:t xml:space="preserve">Whether the approval queue is Sundar-only or a shared component (same data, permission-gated) with the recruiter portal's queue.</w:t>
      </w:r>
    </w:p>
    <w:p>
      <w:pPr>
        <w:pStyle w:val="ListParagraph"/>
        <w:numPr>
          <w:ilvl w:val="0"/>
          <w:numId w:val="2"/>
        </w:numPr>
        <w:spacing w:after="80"/>
      </w:pPr>
      <w:r>
        <w:t xml:space="preserve">Whether a low-urgency approval item is one-click actionable from the Overview/SLA view, or requires navigating to a full detail page.</w:t>
      </w:r>
    </w:p>
    <w:p>
      <w:pPr>
        <w:pStyle w:val="ListParagraph"/>
        <w:numPr>
          <w:ilvl w:val="0"/>
          <w:numId w:val="2"/>
        </w:numPr>
        <w:spacing w:after="80"/>
      </w:pPr>
      <w:r>
        <w:t xml:space="preserve">Whether Compliance and Priority should be full top-level pages or folded into other pages as expandable sections, given their lower access frequency.</w:t>
      </w:r>
    </w:p>
    <w:p>
      <w:pPr>
        <w:pStyle w:val="ListParagraph"/>
        <w:numPr>
          <w:ilvl w:val="0"/>
          <w:numId w:val="2"/>
        </w:numPr>
        <w:spacing w:after="80"/>
      </w:pPr>
      <w:r>
        <w:t xml:space="preserve">Whether the alerts feed needs a visible cap (e.g. top 3–4 + “view all”) once volume grows.</w:t>
      </w:r>
    </w:p>
    <w:p>
      <w:pPr>
        <w:pStyle w:val="Heading1"/>
        <w:spacing w:after="160" w:before="360"/>
      </w:pPr>
      <w:r>
        <w:t xml:space="preserve">15. Next steps</w:t>
      </w:r>
    </w:p>
    <w:p>
      <w:pPr>
        <w:pStyle w:val="ListParagraph"/>
        <w:numPr>
          <w:ilvl w:val="0"/>
          <w:numId w:val="2"/>
        </w:numPr>
        <w:spacing w:after="80"/>
      </w:pPr>
      <w:r>
        <w:rPr>
          <w:b/>
          <w:bCs/>
        </w:rPr>
        <w:t xml:space="preserve">Share Global3 branding assets (Sundar): </w:t>
      </w:r>
      <w:r>
        <w:t xml:space="preserve">logo and color palette needed for UI mockup alignment.</w:t>
      </w:r>
    </w:p>
    <w:p>
      <w:pPr>
        <w:pStyle w:val="ListParagraph"/>
        <w:numPr>
          <w:ilvl w:val="0"/>
          <w:numId w:val="2"/>
        </w:numPr>
        <w:spacing w:after="80"/>
      </w:pPr>
      <w:r>
        <w:rPr>
          <w:b/>
          <w:bCs/>
        </w:rPr>
        <w:t xml:space="preserve">Create a dedicated ProZ account for Resources (Divya): </w:t>
      </w:r>
      <w:r>
        <w:t xml:space="preserve">enables Akhil's team to integrate ProZ into the pipeline; keeps data under one account long-term.</w:t>
      </w:r>
    </w:p>
    <w:p>
      <w:pPr>
        <w:pStyle w:val="ListParagraph"/>
        <w:numPr>
          <w:ilvl w:val="0"/>
          <w:numId w:val="2"/>
        </w:numPr>
        <w:spacing w:after="80"/>
      </w:pPr>
      <w:r>
        <w:rPr>
          <w:b/>
          <w:bCs/>
        </w:rPr>
        <w:t xml:space="preserve">Clarify LinkedIn access requirements for outreach automation (Akhil): </w:t>
      </w:r>
      <w:r>
        <w:t xml:space="preserve">confirm whether recruiter-level auth or a linked Global3 sub-profile is the right approach.</w:t>
      </w:r>
    </w:p>
    <w:p>
      <w:pPr>
        <w:pStyle w:val="ListParagraph"/>
        <w:numPr>
          <w:ilvl w:val="0"/>
          <w:numId w:val="2"/>
        </w:numPr>
        <w:spacing w:after="80"/>
      </w:pPr>
      <w:r>
        <w:rPr>
          <w:b/>
          <w:bCs/>
        </w:rPr>
        <w:t xml:space="preserve">Investigate email analytics options via Google Suite (Akhil): </w:t>
      </w:r>
      <w:r>
        <w:t xml:space="preserve">open-rate and spam visibility needed for outbound campaigns.</w:t>
      </w:r>
    </w:p>
    <w:p>
      <w:pPr>
        <w:pStyle w:val="ListParagraph"/>
        <w:numPr>
          <w:ilvl w:val="0"/>
          <w:numId w:val="2"/>
        </w:numPr>
        <w:spacing w:after="80"/>
      </w:pPr>
      <w:r>
        <w:rPr>
          <w:b/>
          <w:bCs/>
        </w:rPr>
        <w:t xml:space="preserve">Research Apollo.io for enrichment fit (Akhil): </w:t>
      </w:r>
      <w:r>
        <w:t xml:space="preserve">check coverage of freelancer/contractor emails before committing to it as a source.</w:t>
      </w:r>
    </w:p>
    <w:p>
      <w:pPr>
        <w:pStyle w:val="ListParagraph"/>
        <w:numPr>
          <w:ilvl w:val="0"/>
          <w:numId w:val="2"/>
        </w:numPr>
        <w:spacing w:after="80"/>
      </w:pPr>
      <w:r>
        <w:rPr>
          <w:b/>
          <w:bCs/>
        </w:rPr>
        <w:t xml:space="preserve">Resolve the gaps in Section 12: </w:t>
      </w:r>
      <w:r>
        <w:t xml:space="preserve">filtration criteria, deletion policy, deletion cascade rules, and granular decline-reason flags — ideally before Milestone 1 schema is finalized, since retrofitting schema changes after import is costly.</w:t>
      </w:r>
    </w:p>
    <w:p>
      <w:pPr>
        <w:pStyle w:val="ListParagraph"/>
        <w:numPr>
          <w:ilvl w:val="0"/>
          <w:numId w:val="2"/>
        </w:numPr>
        <w:spacing w:after="80"/>
      </w:pPr>
      <w:r>
        <w:rPr>
          <w:b/>
          <w:bCs/>
        </w:rPr>
        <w:t xml:space="preserve">Lock the open UI design decisions in Section 14.4 </w:t>
      </w:r>
      <w:r>
        <w:t xml:space="preserve">before wireframing the remaining Sundar dashboard pages.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2026-07-16T08:25:55.288Z</dcterms:created>
  <dcterms:modified xsi:type="dcterms:W3CDTF">2026-07-16T08:25:55.317Z</dcterms:modified>
</cp:coreProperties>
</file>

<file path=docProps/custom.xml><?xml version="1.0" encoding="utf-8"?>
<Properties xmlns="http://schemas.openxmlformats.org/officeDocument/2006/custom-properties" xmlns:vt="http://schemas.openxmlformats.org/officeDocument/2006/docPropsVTypes"/>
</file>