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2 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Define the Problem:</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Clearly define the problem you want to solve with ML. Understand the business requirements and objectives.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Data Collection: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Gather relevant data for your problem. This could involve acquiring existing datasets, collecting new data, or a combination of both.</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Data Preprocessing:</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Clean and preprocess the data to handle missing values, outliers, and irrelevant information. This step is crucial for ensuring the quality of the data used for training.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Feature Engineering:</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Select and transform features in your dataset to create meaningful input for your model. This might involve scaling, normalization, or creating new features based on domain knowledge.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Split the Data:</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Split the dataset into training, validation, and test sets. The training set is used to train the model, the validation set is used to tune hyperparameters, and the test set is used to evaluate the final model's performance.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Choose a Model:</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Select a suitable ML model based on the nature of your problem (classification, regression, clustering, etc.) and the characteristics of your data.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Training the Model:</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Train the selected model using the training dataset. During training, the model learns to map input features to the corresponding output based on the provided examples.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Hyperparameter Tuning:</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Fine-tune the hyperparameters of your model using the validation set. This helps optimize the model's performance.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Evaluation: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Assess the model's performance on the test set to ensure that it generalizes well to new, unseen data. Common evaluation metrics depend on the type of problem (accuracy, precision, recall, F1-score for classification; mean squared error for regression, etc.).</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Deployment: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Deploy the trained model in a real-world environment. This may involve integrating the model into existing systems, developing APIs, or deploying it on cloud platforms.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Monitoring and Maintenance: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Implement a system for monitoring the model's performance in the production environment. Regularly update the model with new data and retrain it as necessary. Address issues such as concept drift and degradation in performance over time.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Feedback Loop:</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Establish a feedback loop to continuously improve the model based on user feedback, changing requirements, and new data.</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Ethical Considerations: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Consider ethical implications and potential biases in your model. Ensure fairness, transparency, and accountability throughout the development and deployment stages.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