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4A8B"/>
          <w:sz w:val="34"/>
          <w:szCs w:val="34"/>
        </w:rPr>
        <w:t xml:space="preserve">VANTAGE BLUE HEALTH PLANS, INC.</w:t>
      </w:r>
    </w:p>
    <w:p>
      <w:pPr>
        <w:spacing w:after="40"/>
        <w:jc w:val="center"/>
      </w:pPr>
      <w:r>
        <w:rPr>
          <w:rFonts w:ascii="Arial" w:cs="Arial" w:eastAsia="Arial" w:hAnsi="Arial"/>
          <w:sz w:val="18"/>
          <w:szCs w:val="18"/>
        </w:rPr>
        <w:t xml:space="preserve">800 Pinnacle Drive, Tower B  |  Austin, TX 78701</w:t>
      </w:r>
    </w:p>
    <w:p>
      <w:pPr>
        <w:spacing w:after="120"/>
        <w:jc w:val="center"/>
      </w:pPr>
      <w:r>
        <w:rPr>
          <w:rFonts w:ascii="Arial" w:cs="Arial" w:eastAsia="Arial" w:hAnsi="Arial"/>
          <w:sz w:val="18"/>
          <w:szCs w:val="18"/>
        </w:rPr>
        <w:t xml:space="preserve">Toll-Free: 1-888-VBH-PLAN  |  vantagebluehealthplans.com</w:t>
      </w:r>
    </w:p>
    <w:p>
      <w:pPr>
        <w:pBdr>
          <w:bottom w:val="single" w:color="2B4A8B" w:sz="6" w:space="1"/>
        </w:pBdr>
        <w:spacing w:after="100"/>
      </w:pPr>
    </w:p>
    <w:p>
      <w:pPr>
        <w:spacing w:after="60"/>
        <w:jc w:val="center"/>
      </w:pPr>
      <w:r>
        <w:rPr>
          <w:rFonts w:ascii="Arial" w:cs="Arial" w:eastAsia="Arial" w:hAnsi="Arial"/>
          <w:b/>
          <w:bCs/>
          <w:sz w:val="28"/>
          <w:szCs w:val="28"/>
        </w:rPr>
        <w:t xml:space="preserve">INDIVIDUAL &amp; FAMILY HEALTH INSURANCE POLICY</w:t>
      </w:r>
    </w:p>
    <w:p>
      <w:pPr>
        <w:spacing w:after="160"/>
        <w:jc w:val="center"/>
      </w:pPr>
      <w:r>
        <w:rPr>
          <w:rFonts w:ascii="Arial" w:cs="Arial" w:eastAsia="Arial" w:hAnsi="Arial"/>
          <w:i/>
          <w:iCs/>
          <w:sz w:val="20"/>
          <w:szCs w:val="20"/>
        </w:rPr>
        <w:t xml:space="preserve">Health Maintenance Organization (HMO) — Gold Tier Plan</w:t>
      </w:r>
    </w:p>
    <w:p>
      <w:pPr>
        <w:pStyle w:val="Heading1"/>
      </w:pPr>
      <w:r>
        <w:rPr>
          <w:rFonts w:ascii="Arial" w:cs="Arial" w:eastAsia="Arial" w:hAnsi="Arial"/>
        </w:rPr>
        <w:t xml:space="preserve">POLICY IDENTIFICATION SUMMARY</w:t>
      </w:r>
    </w:p>
    <w:p>
      <w:pPr>
        <w:pBdr>
          <w:bottom w:val="single" w:color="2B4A8B" w:sz="6" w:space="1"/>
        </w:pBdr>
        <w:spacing w:after="10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Policy Number: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VBH-2025-HMO-118843</w:t>
            </w:r>
          </w:p>
        </w:tc>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Plan Name: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VantageGold HMO 1500</w:t>
            </w:r>
          </w:p>
        </w:tc>
      </w:tr>
      <w:tr>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Policyholder: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Jordan Ellis</w:t>
            </w:r>
          </w:p>
        </w:tc>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Member ID: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VBH-JE-20250042</w:t>
            </w:r>
          </w:p>
        </w:tc>
      </w:tr>
      <w:tr>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Date of Birth:</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July 22, 1985</w:t>
            </w:r>
          </w:p>
        </w:tc>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Dependents: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Samantha Ellis (Spouse)</w:t>
            </w:r>
          </w:p>
        </w:tc>
      </w:tr>
      <w:tr>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Effective Date: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January 1, 2025</w:t>
            </w:r>
          </w:p>
        </w:tc>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Expiration Date: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December 31, 2025</w:t>
            </w:r>
          </w:p>
        </w:tc>
      </w:tr>
      <w:tr>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Issuing State: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Texas</w:t>
            </w:r>
          </w:p>
        </w:tc>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PCP Assignment: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 Priya Anand, MD (PCP-TX-00412)</w:t>
            </w:r>
          </w:p>
        </w:tc>
      </w:tr>
    </w:tbl>
    <w:p>
      <w:r>
        <w:t xml:space="preserve"/>
      </w:r>
    </w:p>
    <w:p>
      <w:pPr>
        <w:pStyle w:val="Heading1"/>
      </w:pPr>
      <w:r>
        <w:rPr>
          <w:rFonts w:ascii="Arial" w:cs="Arial" w:eastAsia="Arial" w:hAnsi="Arial"/>
        </w:rPr>
        <w:t xml:space="preserve">SECTION 1 — PREMIUM AND COST-SHARING SCHEDULE</w:t>
      </w:r>
    </w:p>
    <w:p>
      <w:pPr>
        <w:pBdr>
          <w:bottom w:val="single" w:color="2B4A8B" w:sz="6" w:space="1"/>
        </w:pBdr>
        <w:spacing w:after="10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Monthly Premium (Member):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$412.00</w:t>
            </w:r>
          </w:p>
        </w:tc>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Monthly Premium (Spouse):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$412.00</w:t>
            </w:r>
          </w:p>
        </w:tc>
      </w:tr>
      <w:tr>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Combined Monthly Premium: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$824.00</w:t>
            </w:r>
          </w:p>
        </w:tc>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Annual Premium Total: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$9,888.00</w:t>
            </w:r>
          </w:p>
        </w:tc>
      </w:tr>
      <w:tr>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Annual Deductible (Individual):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$1,500.00</w:t>
            </w:r>
          </w:p>
        </w:tc>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Annual Deductible (Family):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$3,000.00</w:t>
            </w:r>
          </w:p>
        </w:tc>
      </w:tr>
      <w:tr>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OOP Maximum (Individual):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$7,000.00</w:t>
            </w:r>
          </w:p>
        </w:tc>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OOP Maximum (Family):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$14,000.00</w:t>
            </w:r>
          </w:p>
        </w:tc>
      </w:tr>
      <w:tr>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PCP Visit Copay: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$25 per visit</w:t>
            </w:r>
          </w:p>
        </w:tc>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Specialist Visit Copay: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$55 per visit</w:t>
            </w:r>
          </w:p>
        </w:tc>
      </w:tr>
      <w:tr>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Urgent Care Copay: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$65 per visit</w:t>
            </w:r>
          </w:p>
        </w:tc>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ER Copay: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$300 (waived if admitted)</w:t>
            </w:r>
          </w:p>
        </w:tc>
      </w:tr>
      <w:tr>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Coinsurance (In-Network):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 after deductible</w:t>
            </w:r>
          </w:p>
        </w:tc>
        <w:tc>
          <w:tcPr>
            <w:tcW w:type="dxa" w:w="2400"/>
            <w:tcBorders>
              <w:top w:val="single" w:color="CCCCCC" w:sz="1"/>
              <w:left w:val="single" w:color="CCCCCC" w:sz="1"/>
              <w:bottom w:val="single" w:color="CCCCCC" w:sz="1"/>
              <w:right w:val="single" w:color="CCCCCC" w:sz="1"/>
            </w:tcBorders>
            <w:shd w:fill="EEF2FB" w:val="clear"/>
            <w:tcMar>
              <w:top w:type="dxa" w:w="80"/>
              <w:left w:type="dxa" w:w="120"/>
              <w:bottom w:type="dxa" w:w="80"/>
              <w:right w:type="dxa" w:w="120"/>
            </w:tcMar>
          </w:tcPr>
          <w:p>
            <w:r>
              <w:rPr>
                <w:rFonts w:ascii="Arial" w:cs="Arial" w:eastAsia="Arial" w:hAnsi="Arial"/>
                <w:b/>
                <w:bCs/>
                <w:sz w:val="18"/>
                <w:szCs w:val="18"/>
              </w:rPr>
              <w:t xml:space="preserve">Coinsurance (Out-of-Network):</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Not covered (HMO)</w:t>
            </w:r>
          </w:p>
        </w:tc>
      </w:tr>
    </w:tbl>
    <w:p>
      <w:r>
        <w:t xml:space="preserve"/>
      </w:r>
    </w:p>
    <w:p>
      <w:pPr>
        <w:spacing w:after="120"/>
        <w:jc w:val="both"/>
      </w:pPr>
      <w:r>
        <w:rPr>
          <w:rFonts w:ascii="Arial" w:cs="Arial" w:eastAsia="Arial" w:hAnsi="Arial"/>
          <w:sz w:val="19"/>
          <w:szCs w:val="19"/>
        </w:rPr>
        <w:t xml:space="preserve">IMPORTANT — HMO NETWORK RESTRICTION: This is a Health Maintenance Organization (HMO) plan. Except in genuine medical emergencies, covered services are available only from in-network providers within the VantageBlue HMO Network. Out-of-network services are not covered and will be the Member's sole financial responsibility. A referral from the assigned Primary Care Physician (PCP) is required before seeing a specialist.</w:t>
      </w:r>
    </w:p>
    <w:p>
      <w:pPr>
        <w:pStyle w:val="Heading1"/>
      </w:pPr>
      <w:r>
        <w:rPr>
          <w:rFonts w:ascii="Arial" w:cs="Arial" w:eastAsia="Arial" w:hAnsi="Arial"/>
        </w:rPr>
        <w:t xml:space="preserve">SECTION 2 — COVERED BENEFITS</w:t>
      </w:r>
    </w:p>
    <w:p>
      <w:pPr>
        <w:pBdr>
          <w:bottom w:val="single" w:color="2B4A8B" w:sz="6" w:space="1"/>
        </w:pBdr>
        <w:spacing w:after="100"/>
      </w:pPr>
    </w:p>
    <w:p>
      <w:pPr>
        <w:pStyle w:val="Heading2"/>
      </w:pPr>
      <w:r>
        <w:rPr>
          <w:rFonts w:ascii="Arial" w:cs="Arial" w:eastAsia="Arial" w:hAnsi="Arial"/>
        </w:rPr>
        <w:t xml:space="preserve">2A. Inpatient Hospital and Surgical Services</w:t>
      </w:r>
    </w:p>
    <w:p>
      <w:pPr>
        <w:spacing w:after="120"/>
        <w:jc w:val="both"/>
      </w:pPr>
      <w:r>
        <w:rPr>
          <w:rFonts w:ascii="Arial" w:cs="Arial" w:eastAsia="Arial" w:hAnsi="Arial"/>
          <w:sz w:val="19"/>
          <w:szCs w:val="19"/>
        </w:rPr>
        <w:t xml:space="preserve">Medically necessary inpatient admissions at in-network hospitals are covered. Benefits include semi-private room accommodation, nursing services, operating room and recovery room use, anesthesia services, diagnostic laboratory and radiology, and medically necessary ancillary services. Cost-sharing: deductible applies, followed by 20% coinsurance. Prior authorization is mandatory for all elective inpatient admissions. Emergency admissions must be reported to VantageBlue within 48 hours of admission. Inpatient rehabilitation services following an acute care stay are covered for up to 60 days per calendar year subject to medical necessity review.</w:t>
      </w:r>
    </w:p>
    <w:p>
      <w:pPr>
        <w:pStyle w:val="Heading2"/>
      </w:pPr>
      <w:r>
        <w:rPr>
          <w:rFonts w:ascii="Arial" w:cs="Arial" w:eastAsia="Arial" w:hAnsi="Arial"/>
        </w:rPr>
        <w:t xml:space="preserve">2B. Outpatient Medical Services</w:t>
      </w:r>
    </w:p>
    <w:p>
      <w:pPr>
        <w:spacing w:after="120"/>
        <w:jc w:val="both"/>
      </w:pPr>
      <w:r>
        <w:rPr>
          <w:rFonts w:ascii="Arial" w:cs="Arial" w:eastAsia="Arial" w:hAnsi="Arial"/>
          <w:sz w:val="19"/>
          <w:szCs w:val="19"/>
        </w:rPr>
        <w:t xml:space="preserve">Covered outpatient services include primary care office visits ($25 copay), specialist office visits with valid PCP referral ($55 copay), outpatient surgery and ambulatory surgical center visits (deductible + 20% coinsurance), diagnostic imaging (X-ray, MRI, CT scan) ordered by a VantageBlue provider (deductible + 20% coinsurance), clinical laboratory services (deductible + 20% coinsurance), and physical, occupational, and speech therapy (up to 60 combined visits per year, $40 copay per visit). Preventive care services consistent with USPSTF A/B recommendations are covered at 100% with no cost-sharing.</w:t>
      </w:r>
    </w:p>
    <w:p>
      <w:pPr>
        <w:pStyle w:val="Heading2"/>
      </w:pPr>
      <w:r>
        <w:rPr>
          <w:rFonts w:ascii="Arial" w:cs="Arial" w:eastAsia="Arial" w:hAnsi="Arial"/>
        </w:rPr>
        <w:t xml:space="preserve">2C. Prescription Drug Coverage</w:t>
      </w:r>
    </w:p>
    <w:p>
      <w:pPr>
        <w:spacing w:after="120"/>
        <w:jc w:val="both"/>
      </w:pPr>
      <w:r>
        <w:rPr>
          <w:rFonts w:ascii="Arial" w:cs="Arial" w:eastAsia="Arial" w:hAnsi="Arial"/>
          <w:sz w:val="19"/>
          <w:szCs w:val="19"/>
        </w:rPr>
        <w:t xml:space="preserve">Prescription benefits are administered under the VantageBlue 2025 Drug Formulary. Members must use VantageBlue participating pharmacies. Copayments per 30-day supply: Tier 1 Generic — $10; Tier 2 Preferred Brand — $40; Tier 3 Non-Preferred Brand — $80; Tier 4 Specialty — 30% coinsurance (cap: $300 per fill). A 90-day mail-order supply is available at 2.5x the applicable 30-day copay. Non-formulary drugs require prior authorization and are subject to step therapy protocols. The prescription drug out-of-pocket costs accumulate toward the overall plan out-of-pocket maximum.</w:t>
      </w:r>
    </w:p>
    <w:p>
      <w:pPr>
        <w:pStyle w:val="Heading2"/>
      </w:pPr>
      <w:r>
        <w:rPr>
          <w:rFonts w:ascii="Arial" w:cs="Arial" w:eastAsia="Arial" w:hAnsi="Arial"/>
        </w:rPr>
        <w:t xml:space="preserve">2D. Maternity, Newborn, and Reproductive Health</w:t>
      </w:r>
    </w:p>
    <w:p>
      <w:pPr>
        <w:spacing w:after="120"/>
        <w:jc w:val="both"/>
      </w:pPr>
      <w:r>
        <w:rPr>
          <w:rFonts w:ascii="Arial" w:cs="Arial" w:eastAsia="Arial" w:hAnsi="Arial"/>
          <w:sz w:val="19"/>
          <w:szCs w:val="19"/>
        </w:rPr>
        <w:t xml:space="preserve">VantageBlue covers comprehensive maternity services including: all prenatal office visits (no cost-sharing, unlimited visits); obstetric ultrasounds and lab work as medically indicated; inpatient labor and delivery — deductible + 20% coinsurance; cesarean delivery — covered at same cost-sharing as vaginal delivery; newborn well care from birth through age 3 years; circumcision (if elected, $150 flat fee); postpartum office visits (2 visits at $25 copay); and genetic counseling and prenatal genetic testing as medically appropriate. Newborns must be enrolled within 31 days of birth to maintain continuous coverage. Fertility treatments, assisted reproductive technology (ART), and elective terminations are not covered under this policy.</w:t>
      </w:r>
    </w:p>
    <w:p>
      <w:pPr>
        <w:pStyle w:val="Heading2"/>
      </w:pPr>
      <w:r>
        <w:rPr>
          <w:rFonts w:ascii="Arial" w:cs="Arial" w:eastAsia="Arial" w:hAnsi="Arial"/>
        </w:rPr>
        <w:t xml:space="preserve">2E. Behavioral Health and Substance Use Disorder</w:t>
      </w:r>
    </w:p>
    <w:p>
      <w:pPr>
        <w:spacing w:after="120"/>
        <w:jc w:val="both"/>
      </w:pPr>
      <w:r>
        <w:rPr>
          <w:rFonts w:ascii="Arial" w:cs="Arial" w:eastAsia="Arial" w:hAnsi="Arial"/>
          <w:sz w:val="19"/>
          <w:szCs w:val="19"/>
        </w:rPr>
        <w:t xml:space="preserve">Mental health and substance use disorder services are covered in parity with medical benefits pursuant to the MHPAEA. Covered services include: outpatient individual, group, and family therapy — $40 copay per visit; psychiatric medication management visits — $55 copay; inpatient psychiatric care — deductible + 20% coinsurance, up to 30 days per year; residential mental health treatment — prior authorization required, deductible + 20% coinsurance; intensive outpatient programs (IOP) — $40 copay per session; crisis stabilization services — covered at ER cost-sharing; and telehealth behavioral health visits — $40 copay per session. Members may self-refer for outpatient behavioral health services without a PCP referral.</w:t>
      </w:r>
    </w:p>
    <w:p>
      <w:pPr>
        <w:pStyle w:val="Heading1"/>
      </w:pPr>
      <w:r>
        <w:rPr>
          <w:rFonts w:ascii="Arial" w:cs="Arial" w:eastAsia="Arial" w:hAnsi="Arial"/>
        </w:rPr>
        <w:t xml:space="preserve">SECTION 3 — EXCLUSIONS AND LIMITATIONS</w:t>
      </w:r>
    </w:p>
    <w:p>
      <w:pPr>
        <w:pBdr>
          <w:bottom w:val="single" w:color="2B4A8B" w:sz="6" w:space="1"/>
        </w:pBdr>
        <w:spacing w:after="100"/>
      </w:pPr>
    </w:p>
    <w:p>
      <w:pPr>
        <w:spacing w:after="120"/>
        <w:jc w:val="both"/>
      </w:pPr>
      <w:r>
        <w:rPr>
          <w:rFonts w:ascii="Arial" w:cs="Arial" w:eastAsia="Arial" w:hAnsi="Arial"/>
          <w:sz w:val="19"/>
          <w:szCs w:val="19"/>
        </w:rPr>
        <w:t xml:space="preserve">The following services and conditions are excluded from coverage under this Policy. This list is representative and not exhaustive. Refer to the full Policy Certificate for a complete exclusion schedule.</w:t>
      </w:r>
    </w:p>
    <w:p>
      <w:r>
        <w:t xml:space="preserve"/>
      </w:r>
    </w:p>
    <w:p>
      <w:pPr>
        <w:pStyle w:val="Heading2"/>
      </w:pPr>
      <w:r>
        <w:rPr>
          <w:rFonts w:ascii="Arial" w:cs="Arial" w:eastAsia="Arial" w:hAnsi="Arial"/>
        </w:rPr>
        <w:t xml:space="preserve">3A. Cosmetic and Elective Procedures</w:t>
      </w:r>
    </w:p>
    <w:p>
      <w:pPr>
        <w:spacing w:after="120"/>
        <w:jc w:val="both"/>
      </w:pPr>
      <w:r>
        <w:rPr>
          <w:rFonts w:ascii="Arial" w:cs="Arial" w:eastAsia="Arial" w:hAnsi="Arial"/>
          <w:sz w:val="19"/>
          <w:szCs w:val="19"/>
        </w:rPr>
        <w:t xml:space="preserve">Services performed primarily for cosmetic purposes, including but not limited to: facelift (rhytidectomy), eyelid surgery (blepharoplasty), breast augmentation, liposuction, hair transplants, varicose vein treatment for cosmetic purposes, and any surgery to alter physical appearance without documented medical necessity. Reconstructive procedures directly resulting from a covered illness, injury, or congenital defect are covered.</w:t>
      </w:r>
    </w:p>
    <w:p>
      <w:pPr>
        <w:pStyle w:val="Heading2"/>
      </w:pPr>
      <w:r>
        <w:rPr>
          <w:rFonts w:ascii="Arial" w:cs="Arial" w:eastAsia="Arial" w:hAnsi="Arial"/>
        </w:rPr>
        <w:t xml:space="preserve">3B. Experimental, Investigational, and Unproven Treatments</w:t>
      </w:r>
    </w:p>
    <w:p>
      <w:pPr>
        <w:spacing w:after="120"/>
        <w:jc w:val="both"/>
      </w:pPr>
      <w:r>
        <w:rPr>
          <w:rFonts w:ascii="Arial" w:cs="Arial" w:eastAsia="Arial" w:hAnsi="Arial"/>
          <w:sz w:val="19"/>
          <w:szCs w:val="19"/>
        </w:rPr>
        <w:t xml:space="preserve">Any drug, device, procedure, or treatment that: (i) lacks approval from the U.S. Food and Drug Administration (FDA) for the proposed indication; (ii) is the subject of an ongoing Phase I, II, or III clinical trial as a primary endpoint; (iii) is not recognized as effective in peer-reviewed clinical literature indexed in MEDLINE; or (iv) is classified as investigational by VantageBlue's Clinical Policy Committee based on current evidence review. Requests may be submitted for Independent Medical Review.</w:t>
      </w:r>
    </w:p>
    <w:p>
      <w:pPr>
        <w:pStyle w:val="Heading2"/>
      </w:pPr>
      <w:r>
        <w:rPr>
          <w:rFonts w:ascii="Arial" w:cs="Arial" w:eastAsia="Arial" w:hAnsi="Arial"/>
        </w:rPr>
        <w:t xml:space="preserve">3C. Additional Exclusions</w:t>
      </w:r>
    </w:p>
    <w:p>
      <w:pPr>
        <w:pStyle w:val="ListParagraph"/>
        <w:numPr>
          <w:ilvl w:val="0"/>
          <w:numId w:val="2"/>
        </w:numPr>
        <w:spacing w:after="60"/>
      </w:pPr>
      <w:r>
        <w:rPr>
          <w:rFonts w:ascii="Arial" w:cs="Arial" w:eastAsia="Arial" w:hAnsi="Arial"/>
          <w:sz w:val="19"/>
          <w:szCs w:val="19"/>
        </w:rPr>
        <w:t xml:space="preserve">Dental care, orthodontia, and dental implants (unless related to covered oral surgery)</w:t>
      </w:r>
    </w:p>
    <w:p>
      <w:pPr>
        <w:pStyle w:val="ListParagraph"/>
        <w:numPr>
          <w:ilvl w:val="0"/>
          <w:numId w:val="2"/>
        </w:numPr>
        <w:spacing w:after="60"/>
      </w:pPr>
      <w:r>
        <w:rPr>
          <w:rFonts w:ascii="Arial" w:cs="Arial" w:eastAsia="Arial" w:hAnsi="Arial"/>
          <w:sz w:val="19"/>
          <w:szCs w:val="19"/>
        </w:rPr>
        <w:t xml:space="preserve">Routine vision exams, eyeglasses, and contact lenses</w:t>
      </w:r>
    </w:p>
    <w:p>
      <w:pPr>
        <w:pStyle w:val="ListParagraph"/>
        <w:numPr>
          <w:ilvl w:val="0"/>
          <w:numId w:val="2"/>
        </w:numPr>
        <w:spacing w:after="60"/>
      </w:pPr>
      <w:r>
        <w:rPr>
          <w:rFonts w:ascii="Arial" w:cs="Arial" w:eastAsia="Arial" w:hAnsi="Arial"/>
          <w:sz w:val="19"/>
          <w:szCs w:val="19"/>
        </w:rPr>
        <w:t xml:space="preserve">Long-term custodial or personal care services</w:t>
      </w:r>
    </w:p>
    <w:p>
      <w:pPr>
        <w:pStyle w:val="ListParagraph"/>
        <w:numPr>
          <w:ilvl w:val="0"/>
          <w:numId w:val="2"/>
        </w:numPr>
        <w:spacing w:after="60"/>
      </w:pPr>
      <w:r>
        <w:rPr>
          <w:rFonts w:ascii="Arial" w:cs="Arial" w:eastAsia="Arial" w:hAnsi="Arial"/>
          <w:sz w:val="19"/>
          <w:szCs w:val="19"/>
        </w:rPr>
        <w:t xml:space="preserve">Weight loss surgery (bariatric) without documented co-morbid conditions meeting VantageBlue criteria</w:t>
      </w:r>
    </w:p>
    <w:p>
      <w:pPr>
        <w:pStyle w:val="ListParagraph"/>
        <w:numPr>
          <w:ilvl w:val="0"/>
          <w:numId w:val="2"/>
        </w:numPr>
        <w:spacing w:after="60"/>
      </w:pPr>
      <w:r>
        <w:rPr>
          <w:rFonts w:ascii="Arial" w:cs="Arial" w:eastAsia="Arial" w:hAnsi="Arial"/>
          <w:sz w:val="19"/>
          <w:szCs w:val="19"/>
        </w:rPr>
        <w:t xml:space="preserve">Services rendered by non-VantageBlue providers except in verified emergencies</w:t>
      </w:r>
    </w:p>
    <w:p>
      <w:pPr>
        <w:pStyle w:val="ListParagraph"/>
        <w:numPr>
          <w:ilvl w:val="0"/>
          <w:numId w:val="2"/>
        </w:numPr>
        <w:spacing w:after="60"/>
      </w:pPr>
      <w:r>
        <w:rPr>
          <w:rFonts w:ascii="Arial" w:cs="Arial" w:eastAsia="Arial" w:hAnsi="Arial"/>
          <w:sz w:val="19"/>
          <w:szCs w:val="19"/>
        </w:rPr>
        <w:t xml:space="preserve">Infertility treatment and assisted reproductive technology (ART)</w:t>
      </w:r>
    </w:p>
    <w:p>
      <w:pPr>
        <w:pStyle w:val="ListParagraph"/>
        <w:numPr>
          <w:ilvl w:val="0"/>
          <w:numId w:val="2"/>
        </w:numPr>
        <w:spacing w:after="60"/>
      </w:pPr>
      <w:r>
        <w:rPr>
          <w:rFonts w:ascii="Arial" w:cs="Arial" w:eastAsia="Arial" w:hAnsi="Arial"/>
          <w:sz w:val="19"/>
          <w:szCs w:val="19"/>
        </w:rPr>
        <w:t xml:space="preserve">Court-ordered treatment not deemed medically necessary by VantageBlue</w:t>
      </w:r>
    </w:p>
    <w:p>
      <w:r>
        <w:t xml:space="preserve"/>
      </w:r>
    </w:p>
    <w:p>
      <w:pPr>
        <w:pStyle w:val="Heading1"/>
      </w:pPr>
      <w:r>
        <w:rPr>
          <w:rFonts w:ascii="Arial" w:cs="Arial" w:eastAsia="Arial" w:hAnsi="Arial"/>
        </w:rPr>
        <w:t xml:space="preserve">SECTION 4 — GENERAL PROVISIONS</w:t>
      </w:r>
    </w:p>
    <w:p>
      <w:pPr>
        <w:pBdr>
          <w:bottom w:val="single" w:color="2B4A8B" w:sz="6" w:space="1"/>
        </w:pBdr>
        <w:spacing w:after="100"/>
      </w:pPr>
    </w:p>
    <w:p>
      <w:pPr>
        <w:spacing w:after="120"/>
        <w:jc w:val="both"/>
      </w:pPr>
      <w:r>
        <w:rPr>
          <w:rFonts w:ascii="Arial" w:cs="Arial" w:eastAsia="Arial" w:hAnsi="Arial"/>
          <w:sz w:val="19"/>
          <w:szCs w:val="19"/>
        </w:rPr>
        <w:t xml:space="preserve">Referral Requirement. All specialist services require a written referral from the Member's assigned PCP except for OB/GYN, behavioral health, and emergency services. Referrals are valid for 90 days or 3 visits, whichever occurs first.</w:t>
      </w:r>
    </w:p>
    <w:p>
      <w:pPr>
        <w:spacing w:after="120"/>
        <w:jc w:val="both"/>
      </w:pPr>
      <w:r>
        <w:rPr>
          <w:rFonts w:ascii="Arial" w:cs="Arial" w:eastAsia="Arial" w:hAnsi="Arial"/>
          <w:sz w:val="19"/>
          <w:szCs w:val="19"/>
        </w:rPr>
        <w:t xml:space="preserve">Prior Authorization. The following services require prior authorization: all inpatient admissions (non-emergency), MRI and CT imaging, outpatient surgery, specialty drugs, durable medical equipment over $500, home health care, and skilled nursing facility care. Failure to obtain required prior authorization will result in denial of benefits.</w:t>
      </w:r>
    </w:p>
    <w:p>
      <w:pPr>
        <w:spacing w:after="120"/>
        <w:jc w:val="both"/>
      </w:pPr>
      <w:r>
        <w:rPr>
          <w:rFonts w:ascii="Arial" w:cs="Arial" w:eastAsia="Arial" w:hAnsi="Arial"/>
          <w:sz w:val="19"/>
          <w:szCs w:val="19"/>
        </w:rPr>
        <w:t xml:space="preserve">Grievances and Appeals. Members may file a grievance within 180 days of an adverse determination. VantageBlue will respond within 30 days for standard appeals and 72 hours for expedited/urgent appeals. External Independent Review is available upon exhaustion of internal remedies.</w:t>
      </w:r>
    </w:p>
    <w:p>
      <w:pPr>
        <w:spacing w:after="120"/>
        <w:jc w:val="both"/>
      </w:pPr>
      <w:r>
        <w:rPr>
          <w:rFonts w:ascii="Arial" w:cs="Arial" w:eastAsia="Arial" w:hAnsi="Arial"/>
          <w:sz w:val="19"/>
          <w:szCs w:val="19"/>
        </w:rPr>
        <w:t xml:space="preserve">Governing Law. This Policy is issued in and governed by the laws of the State of Texas. Disputes shall be subject to binding arbitration in Travis County, Texas, in accordance with the American Arbitration Association rules, except as otherwise required by applicable law.</w:t>
      </w:r>
    </w:p>
    <w:p>
      <w:r>
        <w:t xml:space="preserve"/>
      </w:r>
    </w:p>
    <w:p>
      <w:pPr>
        <w:pBdr>
          <w:bottom w:val="single" w:color="2B4A8B" w:sz="6" w:space="1"/>
        </w:pBdr>
        <w:spacing w:after="100"/>
      </w:pPr>
    </w:p>
    <w:p>
      <w:pPr>
        <w:spacing w:after="60" w:before="160"/>
      </w:pPr>
      <w:r>
        <w:rPr>
          <w:rFonts w:ascii="Arial" w:cs="Arial" w:eastAsia="Arial" w:hAnsi="Arial"/>
          <w:b/>
          <w:bCs/>
          <w:sz w:val="18"/>
          <w:szCs w:val="18"/>
        </w:rPr>
        <w:t xml:space="preserve">Authorized by:</w:t>
      </w:r>
    </w:p>
    <w:p>
      <w:pPr>
        <w:spacing w:after="20"/>
      </w:pPr>
      <w:r>
        <w:rPr>
          <w:rFonts w:ascii="Arial" w:cs="Arial" w:eastAsia="Arial" w:hAnsi="Arial"/>
          <w:sz w:val="18"/>
          <w:szCs w:val="18"/>
        </w:rPr>
        <w:t xml:space="preserve">_______________________________</w:t>
      </w:r>
    </w:p>
    <w:p>
      <w:pPr>
        <w:spacing w:after="20"/>
      </w:pPr>
      <w:r>
        <w:rPr>
          <w:rFonts w:ascii="Arial" w:cs="Arial" w:eastAsia="Arial" w:hAnsi="Arial"/>
          <w:sz w:val="18"/>
          <w:szCs w:val="18"/>
        </w:rPr>
        <w:t xml:space="preserve">Marcelline Torres, Chief Underwriting Officer</w:t>
      </w:r>
    </w:p>
    <w:p>
      <w:pPr>
        <w:spacing w:after="20"/>
      </w:pPr>
      <w:r>
        <w:rPr>
          <w:rFonts w:ascii="Arial" w:cs="Arial" w:eastAsia="Arial" w:hAnsi="Arial"/>
          <w:sz w:val="18"/>
          <w:szCs w:val="18"/>
        </w:rPr>
        <w:t xml:space="preserve">VantageBlue Health Plans, Inc.    |    Date Issued: January 1, 2025</w:t>
      </w:r>
    </w:p>
    <w:p>
      <w:r>
        <w:t xml:space="preserve"/>
      </w:r>
    </w:p>
    <w:p>
      <w:pPr>
        <w:jc w:val="center"/>
      </w:pPr>
      <w:r>
        <w:rPr>
          <w:rFonts w:ascii="Arial" w:cs="Arial" w:eastAsia="Arial" w:hAnsi="Arial"/>
          <w:i/>
          <w:iCs/>
          <w:color w:val="555555"/>
          <w:sz w:val="16"/>
          <w:szCs w:val="16"/>
        </w:rPr>
        <w:t xml:space="preserve">Policy No. VBH-2025-HMO-118843  |  Member Services: 1-888-VBH-PLAN  |  vantagebluehealthplans.com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B4A8B"/>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2026-06-04T19:53:27.900Z</dcterms:created>
  <dcterms:modified xsi:type="dcterms:W3CDTF">2026-06-04T19:53:27.900Z</dcterms:modified>
</cp:coreProperties>
</file>

<file path=docProps/custom.xml><?xml version="1.0" encoding="utf-8"?>
<Properties xmlns="http://schemas.openxmlformats.org/officeDocument/2006/custom-properties" xmlns:vt="http://schemas.openxmlformats.org/officeDocument/2006/docPropsVTypes"/>
</file>