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Rufus Pollock in the article “</w:t>
      </w:r>
      <w:hyperlink r:id="rId6">
        <w:r w:rsidDel="00000000" w:rsidR="00000000" w:rsidRPr="00000000">
          <w:rPr>
            <w:rFonts w:ascii="Times New Roman" w:cs="Times New Roman" w:eastAsia="Times New Roman" w:hAnsi="Times New Roman"/>
            <w:color w:val="1155cc"/>
            <w:sz w:val="24"/>
            <w:szCs w:val="24"/>
            <w:u w:val="single"/>
            <w:rtl w:val="0"/>
          </w:rPr>
          <w:t xml:space="preserve">Tyndale, Gutenberg and an Open Information Age</w:t>
        </w:r>
      </w:hyperlink>
      <w:r w:rsidDel="00000000" w:rsidR="00000000" w:rsidRPr="00000000">
        <w:rPr>
          <w:rFonts w:ascii="Times New Roman" w:cs="Times New Roman" w:eastAsia="Times New Roman" w:hAnsi="Times New Roman"/>
          <w:sz w:val="24"/>
          <w:szCs w:val="24"/>
          <w:rtl w:val="0"/>
        </w:rPr>
        <w:t xml:space="preserve">” draws the analogy between Tyndale's translation of the Latin Bible into English and using Gutenberg's press to disseminate with the immense capacity of the internet to make knowledge publicly accessible. Tydale’s martyrdom for the cause of opening up access to knowledge and information was a direct blow to the authorities who believed controlling information is controlling power. The author therefore urges us to champion in the lines of Tyndale and Gutenberg, to facilitate openness of information across different domains ensuring accessibility by people towards freedom of knowledge acquisition.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rufuspollock.com/2016/10/26/new-piece-in-aeon-tyndale-gutenberg-and-an-open-information-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