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pPr>
      <w:r>
        <w:rPr>
          <w:rFonts w:ascii="Calibri" w:hAnsi="Calibri"/>
          <w:b/>
          <w:i w:val="0"/>
          <w:color w:val="2E74B5"/>
          <w:sz w:val="20"/>
        </w:rPr>
        <w:t>TECHNICAL REPORT</w:t>
      </w:r>
    </w:p>
    <w:p>
      <w:pPr>
        <w:spacing w:after="100"/>
      </w:pPr>
      <w:r>
        <w:rPr>
          <w:rFonts w:ascii="Calibri" w:hAnsi="Calibri"/>
          <w:b/>
          <w:i w:val="0"/>
          <w:color w:val="1F4D78"/>
          <w:sz w:val="46"/>
        </w:rPr>
        <w:t>Positive-Unlabeled and Mean Teacher Learning for Cross-Domain Deception Detection</w:t>
      </w:r>
    </w:p>
    <w:p>
      <w:pPr>
        <w:spacing w:after="280"/>
      </w:pPr>
      <w:r>
        <w:rPr>
          <w:rFonts w:ascii="Calibri" w:hAnsi="Calibri"/>
          <w:b w:val="0"/>
          <w:i w:val="0"/>
          <w:color w:val="666666"/>
          <w:sz w:val="26"/>
        </w:rPr>
        <w:t>A leakage-resistant quick-mode study on the seven-domain DiFrauD benchmark</w:t>
      </w:r>
    </w:p>
    <w:tbl>
      <w:tblPr>
        <w:tblStyle w:val="TableGrid"/>
        <w:tblW w:type="dxa" w:w="9360"/>
        <w:tblLayout w:type="fixed"/>
        <w:tblLook w:firstColumn="1" w:firstRow="1" w:lastColumn="0" w:lastRow="0" w:noHBand="0" w:noVBand="1" w:val="04A0"/>
        <w:jc w:val="center"/>
        <w:tblInd w:w="120" w:type="dxa"/>
      </w:tblPr>
      <w:tblGrid>
        <w:gridCol w:w="2100"/>
        <w:gridCol w:w="7260"/>
      </w:tblGrid>
      <w:tr>
        <w:trPr>
          <w:tblHeader w:val="true"/>
        </w:trPr>
        <w:tc>
          <w:tcPr>
            <w:tcW w:type="dxa" w:w="2100"/>
            <w:vAlign w:val="center"/>
            <w:tcMar>
              <w:top w:w="80" w:type="dxa"/>
              <w:start w:w="120" w:type="dxa"/>
              <w:bottom w:w="80" w:type="dxa"/>
              <w:end w:w="120" w:type="dxa"/>
            </w:tcMar>
            <w:shd w:fill="F2F4F7"/>
          </w:tcPr>
          <w:p>
            <w:pPr>
              <w:spacing w:after="0"/>
              <w:jc w:val="center"/>
            </w:pPr>
            <w:r>
              <w:rPr>
                <w:rFonts w:ascii="Calibri" w:hAnsi="Calibri"/>
                <w:b/>
                <w:i w:val="0"/>
                <w:color w:val="1F4D78"/>
                <w:sz w:val="18"/>
              </w:rPr>
              <w:t>Report field</w:t>
            </w:r>
          </w:p>
        </w:tc>
        <w:tc>
          <w:tcPr>
            <w:tcW w:type="dxa" w:w="7260"/>
            <w:vAlign w:val="center"/>
            <w:tcMar>
              <w:top w:w="80" w:type="dxa"/>
              <w:start w:w="120" w:type="dxa"/>
              <w:bottom w:w="80" w:type="dxa"/>
              <w:end w:w="120" w:type="dxa"/>
            </w:tcMar>
            <w:shd w:fill="F2F4F7"/>
          </w:tcPr>
          <w:p>
            <w:pPr>
              <w:spacing w:after="0"/>
              <w:jc w:val="center"/>
            </w:pPr>
            <w:r>
              <w:rPr>
                <w:rFonts w:ascii="Calibri" w:hAnsi="Calibri"/>
                <w:b/>
                <w:i w:val="0"/>
                <w:color w:val="1F4D78"/>
                <w:sz w:val="18"/>
              </w:rPr>
              <w:t>Value</w:t>
            </w:r>
          </w:p>
        </w:tc>
      </w:tr>
      <w:tr>
        <w:tc>
          <w:tcPr>
            <w:tcW w:type="dxa" w:w="2100"/>
            <w:vAlign w:val="center"/>
            <w:tcMar>
              <w:top w:w="80" w:type="dxa"/>
              <w:start w:w="120" w:type="dxa"/>
              <w:bottom w:w="80" w:type="dxa"/>
              <w:end w:w="120" w:type="dxa"/>
            </w:tcMar>
          </w:tcPr>
          <w:p>
            <w:pPr>
              <w:spacing w:after="0"/>
              <w:jc w:val="left"/>
            </w:pPr>
            <w:r>
              <w:rPr>
                <w:rFonts w:ascii="Calibri" w:hAnsi="Calibri"/>
                <w:b w:val="0"/>
                <w:i w:val="0"/>
                <w:color w:val="000000"/>
                <w:sz w:val="18"/>
              </w:rPr>
              <w:t>Primary evidence</w:t>
            </w:r>
          </w:p>
        </w:tc>
        <w:tc>
          <w:tcPr>
            <w:tcW w:type="dxa" w:w="7260"/>
            <w:vAlign w:val="center"/>
            <w:tcMar>
              <w:top w:w="80" w:type="dxa"/>
              <w:start w:w="120" w:type="dxa"/>
              <w:bottom w:w="80" w:type="dxa"/>
              <w:end w:w="120" w:type="dxa"/>
            </w:tcMar>
          </w:tcPr>
          <w:p>
            <w:pPr>
              <w:spacing w:after="0"/>
              <w:jc w:val="left"/>
            </w:pPr>
            <w:r>
              <w:rPr>
                <w:rFonts w:ascii="Calibri" w:hAnsi="Calibri"/>
                <w:b w:val="0"/>
                <w:i w:val="0"/>
                <w:color w:val="000000"/>
                <w:sz w:val="18"/>
              </w:rPr>
              <w:t>Successfully executed notebook; 14/14 code cells, zero execution errors</w:t>
            </w:r>
          </w:p>
        </w:tc>
      </w:tr>
      <w:tr>
        <w:tc>
          <w:tcPr>
            <w:tcW w:type="dxa" w:w="2100"/>
            <w:vAlign w:val="center"/>
            <w:tcMar>
              <w:top w:w="80" w:type="dxa"/>
              <w:start w:w="120" w:type="dxa"/>
              <w:bottom w:w="80" w:type="dxa"/>
              <w:end w:w="120" w:type="dxa"/>
            </w:tcMar>
          </w:tcPr>
          <w:p>
            <w:pPr>
              <w:spacing w:after="0"/>
              <w:jc w:val="left"/>
            </w:pPr>
            <w:r>
              <w:rPr>
                <w:rFonts w:ascii="Calibri" w:hAnsi="Calibri"/>
                <w:b w:val="0"/>
                <w:i w:val="0"/>
                <w:color w:val="000000"/>
                <w:sz w:val="18"/>
              </w:rPr>
              <w:t>Dataset revision</w:t>
            </w:r>
          </w:p>
        </w:tc>
        <w:tc>
          <w:tcPr>
            <w:tcW w:type="dxa" w:w="7260"/>
            <w:vAlign w:val="center"/>
            <w:tcMar>
              <w:top w:w="80" w:type="dxa"/>
              <w:start w:w="120" w:type="dxa"/>
              <w:bottom w:w="80" w:type="dxa"/>
              <w:end w:w="120" w:type="dxa"/>
            </w:tcMar>
          </w:tcPr>
          <w:p>
            <w:pPr>
              <w:spacing w:after="0"/>
              <w:jc w:val="left"/>
            </w:pPr>
            <w:r>
              <w:rPr>
                <w:rFonts w:ascii="Calibri" w:hAnsi="Calibri"/>
                <w:b w:val="0"/>
                <w:i w:val="0"/>
                <w:color w:val="000000"/>
                <w:sz w:val="18"/>
              </w:rPr>
              <w:t>aaaf94b336c563a14806bb4f3f58727bed9ed8d4</w:t>
            </w:r>
          </w:p>
        </w:tc>
      </w:tr>
      <w:tr>
        <w:tc>
          <w:tcPr>
            <w:tcW w:type="dxa" w:w="2100"/>
            <w:vAlign w:val="center"/>
            <w:tcMar>
              <w:top w:w="80" w:type="dxa"/>
              <w:start w:w="120" w:type="dxa"/>
              <w:bottom w:w="80" w:type="dxa"/>
              <w:end w:w="120" w:type="dxa"/>
            </w:tcMar>
          </w:tcPr>
          <w:p>
            <w:pPr>
              <w:spacing w:after="0"/>
              <w:jc w:val="left"/>
            </w:pPr>
            <w:r>
              <w:rPr>
                <w:rFonts w:ascii="Calibri" w:hAnsi="Calibri"/>
                <w:b w:val="0"/>
                <w:i w:val="0"/>
                <w:color w:val="000000"/>
                <w:sz w:val="18"/>
              </w:rPr>
              <w:t>Execution scope</w:t>
            </w:r>
          </w:p>
        </w:tc>
        <w:tc>
          <w:tcPr>
            <w:tcW w:type="dxa" w:w="7260"/>
            <w:vAlign w:val="center"/>
            <w:tcMar>
              <w:top w:w="80" w:type="dxa"/>
              <w:start w:w="120" w:type="dxa"/>
              <w:bottom w:w="80" w:type="dxa"/>
              <w:end w:w="120" w:type="dxa"/>
            </w:tcMar>
          </w:tcPr>
          <w:p>
            <w:pPr>
              <w:spacing w:after="0"/>
              <w:jc w:val="left"/>
            </w:pPr>
            <w:r>
              <w:rPr>
                <w:rFonts w:ascii="Calibri" w:hAnsi="Calibri"/>
                <w:b w:val="0"/>
                <w:i w:val="0"/>
                <w:color w:val="000000"/>
                <w:sz w:val="18"/>
              </w:rPr>
              <w:t>CPU quick mode; 10,500 stratified records; one seed (42)</w:t>
            </w:r>
          </w:p>
        </w:tc>
      </w:tr>
      <w:tr>
        <w:tc>
          <w:tcPr>
            <w:tcW w:type="dxa" w:w="2100"/>
            <w:vAlign w:val="center"/>
            <w:tcMar>
              <w:top w:w="80" w:type="dxa"/>
              <w:start w:w="120" w:type="dxa"/>
              <w:bottom w:w="80" w:type="dxa"/>
              <w:end w:w="120" w:type="dxa"/>
            </w:tcMar>
          </w:tcPr>
          <w:p>
            <w:pPr>
              <w:spacing w:after="0"/>
              <w:jc w:val="left"/>
            </w:pPr>
            <w:r>
              <w:rPr>
                <w:rFonts w:ascii="Calibri" w:hAnsi="Calibri"/>
                <w:b w:val="0"/>
                <w:i w:val="0"/>
                <w:color w:val="000000"/>
                <w:sz w:val="18"/>
              </w:rPr>
              <w:t>Evaluation</w:t>
            </w:r>
          </w:p>
        </w:tc>
        <w:tc>
          <w:tcPr>
            <w:tcW w:type="dxa" w:w="7260"/>
            <w:vAlign w:val="center"/>
            <w:tcMar>
              <w:top w:w="80" w:type="dxa"/>
              <w:start w:w="120" w:type="dxa"/>
              <w:bottom w:w="80" w:type="dxa"/>
              <w:end w:w="120" w:type="dxa"/>
            </w:tcMar>
          </w:tcPr>
          <w:p>
            <w:pPr>
              <w:spacing w:after="0"/>
              <w:jc w:val="left"/>
            </w:pPr>
            <w:r>
              <w:rPr>
                <w:rFonts w:ascii="Calibri" w:hAnsi="Calibri"/>
                <w:b w:val="0"/>
                <w:i w:val="0"/>
                <w:color w:val="000000"/>
                <w:sz w:val="18"/>
              </w:rPr>
              <w:t>Official splits plus reduced LODO: job scams, product reviews, phishing</w:t>
            </w:r>
          </w:p>
        </w:tc>
      </w:tr>
      <w:tr>
        <w:tc>
          <w:tcPr>
            <w:tcW w:type="dxa" w:w="2100"/>
            <w:vAlign w:val="center"/>
            <w:tcMar>
              <w:top w:w="80" w:type="dxa"/>
              <w:start w:w="120" w:type="dxa"/>
              <w:bottom w:w="80" w:type="dxa"/>
              <w:end w:w="120" w:type="dxa"/>
            </w:tcMar>
          </w:tcPr>
          <w:p>
            <w:pPr>
              <w:spacing w:after="0"/>
              <w:jc w:val="left"/>
            </w:pPr>
            <w:r>
              <w:rPr>
                <w:rFonts w:ascii="Calibri" w:hAnsi="Calibri"/>
                <w:b w:val="0"/>
                <w:i w:val="0"/>
                <w:color w:val="000000"/>
                <w:sz w:val="18"/>
              </w:rPr>
              <w:t>Date</w:t>
            </w:r>
          </w:p>
        </w:tc>
        <w:tc>
          <w:tcPr>
            <w:tcW w:type="dxa" w:w="7260"/>
            <w:vAlign w:val="center"/>
            <w:tcMar>
              <w:top w:w="80" w:type="dxa"/>
              <w:start w:w="120" w:type="dxa"/>
              <w:bottom w:w="80" w:type="dxa"/>
              <w:end w:w="120" w:type="dxa"/>
            </w:tcMar>
          </w:tcPr>
          <w:p>
            <w:pPr>
              <w:spacing w:after="0"/>
              <w:jc w:val="left"/>
            </w:pPr>
            <w:r>
              <w:rPr>
                <w:rFonts w:ascii="Calibri" w:hAnsi="Calibri"/>
                <w:b w:val="0"/>
                <w:i w:val="0"/>
                <w:color w:val="000000"/>
                <w:sz w:val="18"/>
              </w:rPr>
              <w:t>August 2, 2026</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0"/>
              </w:rPr>
              <w:t xml:space="preserve">Evidence boundary  </w:t>
            </w:r>
            <w:r>
              <w:rPr>
                <w:rFonts w:ascii="Calibri" w:hAnsi="Calibri"/>
                <w:b w:val="0"/>
                <w:i w:val="0"/>
                <w:color w:val="000000"/>
                <w:sz w:val="20"/>
              </w:rPr>
              <w:t>All numerical claims in this report come from the stored outputs of the successfully executed quick-mode notebook. Full three-seed, all-domain LODO, and transformer fine-tuning configurations were not executed and are not presented as results.</w:t>
            </w:r>
          </w:p>
        </w:tc>
      </w:tr>
    </w:tbl>
    <w:p>
      <w:pPr>
        <w:spacing w:after="0"/>
      </w:pPr>
    </w:p>
    <w:p>
      <w:pPr>
        <w:pStyle w:val="Heading1"/>
        <w:keepNext/>
      </w:pPr>
      <w:r>
        <w:t>Executive summary</w:t>
      </w:r>
    </w:p>
    <w:p>
      <w:pPr>
        <w:spacing w:after="120" w:line="264" w:lineRule="auto"/>
      </w:pPr>
      <w:r>
        <w:rPr>
          <w:rFonts w:ascii="Calibri" w:hAnsi="Calibri"/>
          <w:b w:val="0"/>
          <w:i w:val="0"/>
          <w:color w:val="000000"/>
          <w:sz w:val="21"/>
        </w:rPr>
        <w:t>This study evaluated whether deception signals transfer across seven heterogeneous text domains when only a small share of deceptive training examples is labeled. It compared a valid non-negative positive-unlabeled estimator (nnPU), an invalid unlabeled-as-negative shortcut, a Mean Teacher consistency extension, supervised baselines, and cross-domain holdouts. The central empirical result is cautionary: in-domain text models learned useful signal, but domain provenance was highly predictable and cross-domain performance was weak or unstable.</w:t>
      </w:r>
    </w:p>
    <w:p>
      <w:pPr>
        <w:spacing w:after="120" w:line="264" w:lineRule="auto"/>
      </w:pPr>
      <w:r>
        <w:rPr>
          <w:rFonts w:ascii="Calibri" w:hAnsi="Calibri"/>
          <w:b w:val="0"/>
          <w:i w:val="0"/>
          <w:color w:val="000000"/>
          <w:sz w:val="21"/>
        </w:rPr>
        <w:t>The fully supervised TF-IDF logistic-regression upper bound achieved F1 0.712 and PR-AUC 0.775 on the official test splits. At 10% revealed positives, nnPU achieved F1 0.628 and PR-AUC 0.603, narrowly exceeding the naive comparator on those metrics. The combined PU-Mean Teacher model reached F1 0.617 and PR-AUC 0.577, so consistency learning did not improve nnPU at that operating point in this one-seed run. At 20%, nnPU reached F1 0.653 and the combined model reached F1 0.650.</w:t>
      </w:r>
    </w:p>
    <w:p>
      <w:pPr>
        <w:spacing w:after="120" w:line="264" w:lineRule="auto"/>
      </w:pPr>
      <w:r>
        <w:rPr>
          <w:rFonts w:ascii="Calibri" w:hAnsi="Calibri"/>
          <w:b w:val="0"/>
          <w:i w:val="0"/>
          <w:color w:val="000000"/>
          <w:sz w:val="21"/>
        </w:rPr>
        <w:t>A text-only domain classifier achieved 93.1% accuracy. Metadata-only and domain-prior baselines were also predictive, demonstrating that the benchmark contains strong source and composition cues. The near-duplicate audit found 296 pairs above cosine similarity 0.92 in the quick sample, including 212 cross-split pairs. These observations materially limit claims that the models detect deception itself rather than source-specific artifacts.</w:t>
      </w:r>
    </w:p>
    <w:p>
      <w:pPr>
        <w:pStyle w:val="Heading1"/>
        <w:keepNext/>
      </w:pPr>
      <w:r>
        <w:t>1. Research objective and questions</w:t>
      </w:r>
    </w:p>
    <w:p>
      <w:pPr>
        <w:spacing w:after="120" w:line="264" w:lineRule="auto"/>
      </w:pPr>
      <w:r>
        <w:rPr>
          <w:rFonts w:ascii="Calibri" w:hAnsi="Calibri"/>
          <w:b w:val="0"/>
          <w:i w:val="0"/>
          <w:color w:val="000000"/>
          <w:sz w:val="21"/>
        </w:rPr>
        <w:t>The project develops and evaluates a domain-independent textual deception detector under positive-label scarcity. The target setting assumes that a small subset of deceptive examples is labeled while the remaining training pool mixes hidden positives and genuine negatives. The study asks:</w:t>
      </w:r>
    </w:p>
    <w:p>
      <w:pPr>
        <w:pStyle w:val="ListBullet"/>
        <w:spacing w:after="80" w:line="280" w:lineRule="auto"/>
        <w:ind w:left="720" w:hanging="360"/>
      </w:pPr>
      <w:r>
        <w:rPr>
          <w:rFonts w:ascii="Calibri" w:hAnsi="Calibri"/>
          <w:b w:val="0"/>
          <w:i w:val="0"/>
          <w:color w:val="000000"/>
          <w:sz w:val="21"/>
        </w:rPr>
        <w:t>How much performance remains when 1%, 5%, 10%, or 20% of deceptive training examples are revealed?</w:t>
      </w:r>
    </w:p>
    <w:p>
      <w:pPr>
        <w:pStyle w:val="ListBullet"/>
        <w:spacing w:after="80" w:line="280" w:lineRule="auto"/>
        <w:ind w:left="720" w:hanging="360"/>
      </w:pPr>
      <w:r>
        <w:rPr>
          <w:rFonts w:ascii="Calibri" w:hAnsi="Calibri"/>
          <w:b w:val="0"/>
          <w:i w:val="0"/>
          <w:color w:val="000000"/>
          <w:sz w:val="21"/>
        </w:rPr>
        <w:t>Does correct nnPU learning outperform the common but invalid practice of treating all unlabeled examples as negative?</w:t>
      </w:r>
    </w:p>
    <w:p>
      <w:pPr>
        <w:pStyle w:val="ListBullet"/>
        <w:spacing w:after="80" w:line="280" w:lineRule="auto"/>
        <w:ind w:left="720" w:hanging="360"/>
      </w:pPr>
      <w:r>
        <w:rPr>
          <w:rFonts w:ascii="Calibri" w:hAnsi="Calibri"/>
          <w:b w:val="0"/>
          <w:i w:val="0"/>
          <w:color w:val="000000"/>
          <w:sz w:val="21"/>
        </w:rPr>
        <w:t>Does confidence-filtered teacher-student consistency improve a PU detector?</w:t>
      </w:r>
    </w:p>
    <w:p>
      <w:pPr>
        <w:pStyle w:val="ListBullet"/>
        <w:spacing w:after="80" w:line="280" w:lineRule="auto"/>
        <w:ind w:left="720" w:hanging="360"/>
      </w:pPr>
      <w:r>
        <w:rPr>
          <w:rFonts w:ascii="Calibri" w:hAnsi="Calibri"/>
          <w:b w:val="0"/>
          <w:i w:val="0"/>
          <w:color w:val="000000"/>
          <w:sz w:val="21"/>
        </w:rPr>
        <w:t>Do text models learn deception, or domain identity and constituent-dataset artifacts?</w:t>
      </w:r>
    </w:p>
    <w:p>
      <w:pPr>
        <w:pStyle w:val="ListBullet"/>
        <w:spacing w:after="80" w:line="280" w:lineRule="auto"/>
        <w:ind w:left="720" w:hanging="360"/>
      </w:pPr>
      <w:r>
        <w:rPr>
          <w:rFonts w:ascii="Calibri" w:hAnsi="Calibri"/>
          <w:b w:val="0"/>
          <w:i w:val="0"/>
          <w:color w:val="000000"/>
          <w:sz w:val="21"/>
        </w:rPr>
        <w:t>How well does the detector generalize to a completely held-out domain?</w:t>
      </w:r>
    </w:p>
    <w:p>
      <w:pPr>
        <w:pStyle w:val="Heading1"/>
        <w:keepNext/>
      </w:pPr>
      <w:r>
        <w:t>2. Dataset and execution scope</w:t>
      </w:r>
    </w:p>
    <w:p>
      <w:pPr>
        <w:spacing w:after="120" w:line="264" w:lineRule="auto"/>
      </w:pPr>
      <w:r>
        <w:rPr>
          <w:rFonts w:ascii="Calibri" w:hAnsi="Calibri"/>
          <w:b w:val="0"/>
          <w:i w:val="0"/>
          <w:color w:val="000000"/>
          <w:sz w:val="21"/>
        </w:rPr>
        <w:t>DiFrauD contains English binary text-classification data from phishing, fake news, political statements, product reviews, job scams, SMS, and Twitter rumours. The official repository exposes 21 JSONL files: train, validation, and test for each domain. Direct JSONL loading avoided execution of the repository's remote loading script. The full snapshot contained 95,854 records with no missing text, empty text, missing labels, or invalid binary labels.</w:t>
      </w:r>
    </w:p>
    <w:tbl>
      <w:tblPr>
        <w:tblStyle w:val="TableGrid"/>
        <w:tblW w:type="dxa" w:w="9360"/>
        <w:tblLayout w:type="fixed"/>
        <w:tblLook w:firstColumn="1" w:firstRow="1" w:lastColumn="0" w:lastRow="0" w:noHBand="0" w:noVBand="1" w:val="04A0"/>
        <w:jc w:val="center"/>
        <w:tblInd w:w="120" w:type="dxa"/>
      </w:tblPr>
      <w:tblGrid>
        <w:gridCol w:w="2600"/>
        <w:gridCol w:w="1500"/>
        <w:gridCol w:w="1700"/>
        <w:gridCol w:w="1500"/>
        <w:gridCol w:w="2060"/>
      </w:tblGrid>
      <w:tr>
        <w:trPr>
          <w:tblHeader w:val="true"/>
        </w:trPr>
        <w:tc>
          <w:tcPr>
            <w:tcW w:type="dxa" w:w="2600"/>
            <w:vAlign w:val="center"/>
            <w:tcMar>
              <w:top w:w="80" w:type="dxa"/>
              <w:start w:w="120" w:type="dxa"/>
              <w:bottom w:w="80" w:type="dxa"/>
              <w:end w:w="120" w:type="dxa"/>
            </w:tcMar>
            <w:shd w:fill="F2F4F7"/>
          </w:tcPr>
          <w:p>
            <w:pPr>
              <w:spacing w:after="0"/>
              <w:jc w:val="center"/>
            </w:pPr>
            <w:r>
              <w:rPr>
                <w:rFonts w:ascii="Calibri" w:hAnsi="Calibri"/>
                <w:b/>
                <w:i w:val="0"/>
                <w:color w:val="1F4D78"/>
                <w:sz w:val="18"/>
              </w:rPr>
              <w:t>Domain</w:t>
            </w:r>
          </w:p>
        </w:tc>
        <w:tc>
          <w:tcPr>
            <w:tcW w:type="dxa" w:w="1500"/>
            <w:vAlign w:val="center"/>
            <w:tcMar>
              <w:top w:w="80" w:type="dxa"/>
              <w:start w:w="120" w:type="dxa"/>
              <w:bottom w:w="80" w:type="dxa"/>
              <w:end w:w="120" w:type="dxa"/>
            </w:tcMar>
            <w:shd w:fill="F2F4F7"/>
          </w:tcPr>
          <w:p>
            <w:pPr>
              <w:spacing w:after="0"/>
              <w:jc w:val="center"/>
            </w:pPr>
            <w:r>
              <w:rPr>
                <w:rFonts w:ascii="Calibri" w:hAnsi="Calibri"/>
                <w:b/>
                <w:i w:val="0"/>
                <w:color w:val="1F4D78"/>
                <w:sz w:val="18"/>
              </w:rPr>
              <w:t>Train</w:t>
            </w:r>
          </w:p>
        </w:tc>
        <w:tc>
          <w:tcPr>
            <w:tcW w:type="dxa" w:w="1700"/>
            <w:vAlign w:val="center"/>
            <w:tcMar>
              <w:top w:w="80" w:type="dxa"/>
              <w:start w:w="120" w:type="dxa"/>
              <w:bottom w:w="80" w:type="dxa"/>
              <w:end w:w="120" w:type="dxa"/>
            </w:tcMar>
            <w:shd w:fill="F2F4F7"/>
          </w:tcPr>
          <w:p>
            <w:pPr>
              <w:spacing w:after="0"/>
              <w:jc w:val="center"/>
            </w:pPr>
            <w:r>
              <w:rPr>
                <w:rFonts w:ascii="Calibri" w:hAnsi="Calibri"/>
                <w:b/>
                <w:i w:val="0"/>
                <w:color w:val="1F4D78"/>
                <w:sz w:val="18"/>
              </w:rPr>
              <w:t>Validation</w:t>
            </w:r>
          </w:p>
        </w:tc>
        <w:tc>
          <w:tcPr>
            <w:tcW w:type="dxa" w:w="1500"/>
            <w:vAlign w:val="center"/>
            <w:tcMar>
              <w:top w:w="80" w:type="dxa"/>
              <w:start w:w="120" w:type="dxa"/>
              <w:bottom w:w="80" w:type="dxa"/>
              <w:end w:w="120" w:type="dxa"/>
            </w:tcMar>
            <w:shd w:fill="F2F4F7"/>
          </w:tcPr>
          <w:p>
            <w:pPr>
              <w:spacing w:after="0"/>
              <w:jc w:val="center"/>
            </w:pPr>
            <w:r>
              <w:rPr>
                <w:rFonts w:ascii="Calibri" w:hAnsi="Calibri"/>
                <w:b/>
                <w:i w:val="0"/>
                <w:color w:val="1F4D78"/>
                <w:sz w:val="18"/>
              </w:rPr>
              <w:t>Test</w:t>
            </w:r>
          </w:p>
        </w:tc>
        <w:tc>
          <w:tcPr>
            <w:tcW w:type="dxa" w:w="2060"/>
            <w:vAlign w:val="center"/>
            <w:tcMar>
              <w:top w:w="80" w:type="dxa"/>
              <w:start w:w="120" w:type="dxa"/>
              <w:bottom w:w="80" w:type="dxa"/>
              <w:end w:w="120" w:type="dxa"/>
            </w:tcMar>
            <w:shd w:fill="F2F4F7"/>
          </w:tcPr>
          <w:p>
            <w:pPr>
              <w:spacing w:after="0"/>
              <w:jc w:val="center"/>
            </w:pPr>
            <w:r>
              <w:rPr>
                <w:rFonts w:ascii="Calibri" w:hAnsi="Calibri"/>
                <w:b/>
                <w:i w:val="0"/>
                <w:color w:val="1F4D78"/>
                <w:sz w:val="18"/>
              </w:rPr>
              <w:t>Train prevalence</w:t>
            </w:r>
          </w:p>
        </w:tc>
      </w:tr>
      <w:tr>
        <w:tc>
          <w:tcPr>
            <w:tcW w:type="dxa" w:w="2600"/>
            <w:vAlign w:val="center"/>
            <w:tcMar>
              <w:top w:w="80" w:type="dxa"/>
              <w:start w:w="120" w:type="dxa"/>
              <w:bottom w:w="80" w:type="dxa"/>
              <w:end w:w="120" w:type="dxa"/>
            </w:tcMar>
          </w:tcPr>
          <w:p>
            <w:pPr>
              <w:spacing w:after="0"/>
              <w:jc w:val="left"/>
            </w:pPr>
            <w:r>
              <w:rPr>
                <w:rFonts w:ascii="Calibri" w:hAnsi="Calibri"/>
                <w:b w:val="0"/>
                <w:i w:val="0"/>
                <w:color w:val="000000"/>
                <w:sz w:val="18"/>
              </w:rPr>
              <w:t>Fake news</w:t>
            </w:r>
          </w:p>
        </w:tc>
        <w:tc>
          <w:tcPr>
            <w:tcW w:type="dxa" w:w="1500"/>
            <w:vAlign w:val="center"/>
            <w:tcMar>
              <w:top w:w="80" w:type="dxa"/>
              <w:start w:w="120" w:type="dxa"/>
              <w:bottom w:w="80" w:type="dxa"/>
              <w:end w:w="120" w:type="dxa"/>
            </w:tcMar>
          </w:tcPr>
          <w:p>
            <w:pPr>
              <w:spacing w:after="0"/>
              <w:jc w:val="right"/>
            </w:pPr>
            <w:r>
              <w:rPr>
                <w:rFonts w:ascii="Calibri" w:hAnsi="Calibri"/>
                <w:b w:val="0"/>
                <w:i w:val="0"/>
                <w:color w:val="000000"/>
                <w:sz w:val="18"/>
              </w:rPr>
              <w:t>16,364</w:t>
            </w:r>
          </w:p>
        </w:tc>
        <w:tc>
          <w:tcPr>
            <w:tcW w:type="dxa" w:w="1700"/>
            <w:vAlign w:val="center"/>
            <w:tcMar>
              <w:top w:w="80" w:type="dxa"/>
              <w:start w:w="120" w:type="dxa"/>
              <w:bottom w:w="80" w:type="dxa"/>
              <w:end w:w="120" w:type="dxa"/>
            </w:tcMar>
          </w:tcPr>
          <w:p>
            <w:pPr>
              <w:spacing w:after="0"/>
              <w:jc w:val="right"/>
            </w:pPr>
            <w:r>
              <w:rPr>
                <w:rFonts w:ascii="Calibri" w:hAnsi="Calibri"/>
                <w:b w:val="0"/>
                <w:i w:val="0"/>
                <w:color w:val="000000"/>
                <w:sz w:val="18"/>
              </w:rPr>
              <w:t>2,046</w:t>
            </w:r>
          </w:p>
        </w:tc>
        <w:tc>
          <w:tcPr>
            <w:tcW w:type="dxa" w:w="1500"/>
            <w:vAlign w:val="center"/>
            <w:tcMar>
              <w:top w:w="80" w:type="dxa"/>
              <w:start w:w="120" w:type="dxa"/>
              <w:bottom w:w="80" w:type="dxa"/>
              <w:end w:w="120" w:type="dxa"/>
            </w:tcMar>
          </w:tcPr>
          <w:p>
            <w:pPr>
              <w:spacing w:after="0"/>
              <w:jc w:val="right"/>
            </w:pPr>
            <w:r>
              <w:rPr>
                <w:rFonts w:ascii="Calibri" w:hAnsi="Calibri"/>
                <w:b w:val="0"/>
                <w:i w:val="0"/>
                <w:color w:val="000000"/>
                <w:sz w:val="18"/>
              </w:rPr>
              <w:t>2,046</w:t>
            </w:r>
          </w:p>
        </w:tc>
        <w:tc>
          <w:tcPr>
            <w:tcW w:type="dxa" w:w="2060"/>
            <w:vAlign w:val="center"/>
            <w:tcMar>
              <w:top w:w="80" w:type="dxa"/>
              <w:start w:w="120" w:type="dxa"/>
              <w:bottom w:w="80" w:type="dxa"/>
              <w:end w:w="120" w:type="dxa"/>
            </w:tcMar>
          </w:tcPr>
          <w:p>
            <w:pPr>
              <w:spacing w:after="0"/>
              <w:jc w:val="right"/>
            </w:pPr>
            <w:r>
              <w:rPr>
                <w:rFonts w:ascii="Calibri" w:hAnsi="Calibri"/>
                <w:b w:val="0"/>
                <w:i w:val="0"/>
                <w:color w:val="000000"/>
                <w:sz w:val="18"/>
              </w:rPr>
              <w:t>43.2%</w:t>
            </w:r>
          </w:p>
        </w:tc>
      </w:tr>
      <w:tr>
        <w:tc>
          <w:tcPr>
            <w:tcW w:type="dxa" w:w="2600"/>
            <w:vAlign w:val="center"/>
            <w:tcMar>
              <w:top w:w="80" w:type="dxa"/>
              <w:start w:w="120" w:type="dxa"/>
              <w:bottom w:w="80" w:type="dxa"/>
              <w:end w:w="120" w:type="dxa"/>
            </w:tcMar>
          </w:tcPr>
          <w:p>
            <w:pPr>
              <w:spacing w:after="0"/>
              <w:jc w:val="left"/>
            </w:pPr>
            <w:r>
              <w:rPr>
                <w:rFonts w:ascii="Calibri" w:hAnsi="Calibri"/>
                <w:b w:val="0"/>
                <w:i w:val="0"/>
                <w:color w:val="000000"/>
                <w:sz w:val="18"/>
              </w:rPr>
              <w:t>Job scams</w:t>
            </w:r>
          </w:p>
        </w:tc>
        <w:tc>
          <w:tcPr>
            <w:tcW w:type="dxa" w:w="1500"/>
            <w:vAlign w:val="center"/>
            <w:tcMar>
              <w:top w:w="80" w:type="dxa"/>
              <w:start w:w="120" w:type="dxa"/>
              <w:bottom w:w="80" w:type="dxa"/>
              <w:end w:w="120" w:type="dxa"/>
            </w:tcMar>
          </w:tcPr>
          <w:p>
            <w:pPr>
              <w:spacing w:after="0"/>
              <w:jc w:val="right"/>
            </w:pPr>
            <w:r>
              <w:rPr>
                <w:rFonts w:ascii="Calibri" w:hAnsi="Calibri"/>
                <w:b w:val="0"/>
                <w:i w:val="0"/>
                <w:color w:val="000000"/>
                <w:sz w:val="18"/>
              </w:rPr>
              <w:t>11,436</w:t>
            </w:r>
          </w:p>
        </w:tc>
        <w:tc>
          <w:tcPr>
            <w:tcW w:type="dxa" w:w="1700"/>
            <w:vAlign w:val="center"/>
            <w:tcMar>
              <w:top w:w="80" w:type="dxa"/>
              <w:start w:w="120" w:type="dxa"/>
              <w:bottom w:w="80" w:type="dxa"/>
              <w:end w:w="120" w:type="dxa"/>
            </w:tcMar>
          </w:tcPr>
          <w:p>
            <w:pPr>
              <w:spacing w:after="0"/>
              <w:jc w:val="right"/>
            </w:pPr>
            <w:r>
              <w:rPr>
                <w:rFonts w:ascii="Calibri" w:hAnsi="Calibri"/>
                <w:b w:val="0"/>
                <w:i w:val="0"/>
                <w:color w:val="000000"/>
                <w:sz w:val="18"/>
              </w:rPr>
              <w:t>1,429</w:t>
            </w:r>
          </w:p>
        </w:tc>
        <w:tc>
          <w:tcPr>
            <w:tcW w:type="dxa" w:w="1500"/>
            <w:vAlign w:val="center"/>
            <w:tcMar>
              <w:top w:w="80" w:type="dxa"/>
              <w:start w:w="120" w:type="dxa"/>
              <w:bottom w:w="80" w:type="dxa"/>
              <w:end w:w="120" w:type="dxa"/>
            </w:tcMar>
          </w:tcPr>
          <w:p>
            <w:pPr>
              <w:spacing w:after="0"/>
              <w:jc w:val="right"/>
            </w:pPr>
            <w:r>
              <w:rPr>
                <w:rFonts w:ascii="Calibri" w:hAnsi="Calibri"/>
                <w:b w:val="0"/>
                <w:i w:val="0"/>
                <w:color w:val="000000"/>
                <w:sz w:val="18"/>
              </w:rPr>
              <w:t>1,430</w:t>
            </w:r>
          </w:p>
        </w:tc>
        <w:tc>
          <w:tcPr>
            <w:tcW w:type="dxa" w:w="2060"/>
            <w:vAlign w:val="center"/>
            <w:tcMar>
              <w:top w:w="80" w:type="dxa"/>
              <w:start w:w="120" w:type="dxa"/>
              <w:bottom w:w="80" w:type="dxa"/>
              <w:end w:w="120" w:type="dxa"/>
            </w:tcMar>
          </w:tcPr>
          <w:p>
            <w:pPr>
              <w:spacing w:after="0"/>
              <w:jc w:val="right"/>
            </w:pPr>
            <w:r>
              <w:rPr>
                <w:rFonts w:ascii="Calibri" w:hAnsi="Calibri"/>
                <w:b w:val="0"/>
                <w:i w:val="0"/>
                <w:color w:val="000000"/>
                <w:sz w:val="18"/>
              </w:rPr>
              <w:t>4.2%</w:t>
            </w:r>
          </w:p>
        </w:tc>
      </w:tr>
      <w:tr>
        <w:tc>
          <w:tcPr>
            <w:tcW w:type="dxa" w:w="2600"/>
            <w:vAlign w:val="center"/>
            <w:tcMar>
              <w:top w:w="80" w:type="dxa"/>
              <w:start w:w="120" w:type="dxa"/>
              <w:bottom w:w="80" w:type="dxa"/>
              <w:end w:w="120" w:type="dxa"/>
            </w:tcMar>
          </w:tcPr>
          <w:p>
            <w:pPr>
              <w:spacing w:after="0"/>
              <w:jc w:val="left"/>
            </w:pPr>
            <w:r>
              <w:rPr>
                <w:rFonts w:ascii="Calibri" w:hAnsi="Calibri"/>
                <w:b w:val="0"/>
                <w:i w:val="0"/>
                <w:color w:val="000000"/>
                <w:sz w:val="18"/>
              </w:rPr>
              <w:t>Phishing</w:t>
            </w:r>
          </w:p>
        </w:tc>
        <w:tc>
          <w:tcPr>
            <w:tcW w:type="dxa" w:w="1500"/>
            <w:vAlign w:val="center"/>
            <w:tcMar>
              <w:top w:w="80" w:type="dxa"/>
              <w:start w:w="120" w:type="dxa"/>
              <w:bottom w:w="80" w:type="dxa"/>
              <w:end w:w="120" w:type="dxa"/>
            </w:tcMar>
          </w:tcPr>
          <w:p>
            <w:pPr>
              <w:spacing w:after="0"/>
              <w:jc w:val="right"/>
            </w:pPr>
            <w:r>
              <w:rPr>
                <w:rFonts w:ascii="Calibri" w:hAnsi="Calibri"/>
                <w:b w:val="0"/>
                <w:i w:val="0"/>
                <w:color w:val="000000"/>
                <w:sz w:val="18"/>
              </w:rPr>
              <w:t>12,217</w:t>
            </w:r>
          </w:p>
        </w:tc>
        <w:tc>
          <w:tcPr>
            <w:tcW w:type="dxa" w:w="1700"/>
            <w:vAlign w:val="center"/>
            <w:tcMar>
              <w:top w:w="80" w:type="dxa"/>
              <w:start w:w="120" w:type="dxa"/>
              <w:bottom w:w="80" w:type="dxa"/>
              <w:end w:w="120" w:type="dxa"/>
            </w:tcMar>
          </w:tcPr>
          <w:p>
            <w:pPr>
              <w:spacing w:after="0"/>
              <w:jc w:val="right"/>
            </w:pPr>
            <w:r>
              <w:rPr>
                <w:rFonts w:ascii="Calibri" w:hAnsi="Calibri"/>
                <w:b w:val="0"/>
                <w:i w:val="0"/>
                <w:color w:val="000000"/>
                <w:sz w:val="18"/>
              </w:rPr>
              <w:t>1,527</w:t>
            </w:r>
          </w:p>
        </w:tc>
        <w:tc>
          <w:tcPr>
            <w:tcW w:type="dxa" w:w="1500"/>
            <w:vAlign w:val="center"/>
            <w:tcMar>
              <w:top w:w="80" w:type="dxa"/>
              <w:start w:w="120" w:type="dxa"/>
              <w:bottom w:w="80" w:type="dxa"/>
              <w:end w:w="120" w:type="dxa"/>
            </w:tcMar>
          </w:tcPr>
          <w:p>
            <w:pPr>
              <w:spacing w:after="0"/>
              <w:jc w:val="right"/>
            </w:pPr>
            <w:r>
              <w:rPr>
                <w:rFonts w:ascii="Calibri" w:hAnsi="Calibri"/>
                <w:b w:val="0"/>
                <w:i w:val="0"/>
                <w:color w:val="000000"/>
                <w:sz w:val="18"/>
              </w:rPr>
              <w:t>1,528</w:t>
            </w:r>
          </w:p>
        </w:tc>
        <w:tc>
          <w:tcPr>
            <w:tcW w:type="dxa" w:w="2060"/>
            <w:vAlign w:val="center"/>
            <w:tcMar>
              <w:top w:w="80" w:type="dxa"/>
              <w:start w:w="120" w:type="dxa"/>
              <w:bottom w:w="80" w:type="dxa"/>
              <w:end w:w="120" w:type="dxa"/>
            </w:tcMar>
          </w:tcPr>
          <w:p>
            <w:pPr>
              <w:spacing w:after="0"/>
              <w:jc w:val="right"/>
            </w:pPr>
            <w:r>
              <w:rPr>
                <w:rFonts w:ascii="Calibri" w:hAnsi="Calibri"/>
                <w:b w:val="0"/>
                <w:i w:val="0"/>
                <w:color w:val="000000"/>
                <w:sz w:val="18"/>
              </w:rPr>
              <w:t>39.8%</w:t>
            </w:r>
          </w:p>
        </w:tc>
      </w:tr>
      <w:tr>
        <w:tc>
          <w:tcPr>
            <w:tcW w:type="dxa" w:w="2600"/>
            <w:vAlign w:val="center"/>
            <w:tcMar>
              <w:top w:w="80" w:type="dxa"/>
              <w:start w:w="120" w:type="dxa"/>
              <w:bottom w:w="80" w:type="dxa"/>
              <w:end w:w="120" w:type="dxa"/>
            </w:tcMar>
          </w:tcPr>
          <w:p>
            <w:pPr>
              <w:spacing w:after="0"/>
              <w:jc w:val="left"/>
            </w:pPr>
            <w:r>
              <w:rPr>
                <w:rFonts w:ascii="Calibri" w:hAnsi="Calibri"/>
                <w:b w:val="0"/>
                <w:i w:val="0"/>
                <w:color w:val="000000"/>
                <w:sz w:val="18"/>
              </w:rPr>
              <w:t>Political statements</w:t>
            </w:r>
          </w:p>
        </w:tc>
        <w:tc>
          <w:tcPr>
            <w:tcW w:type="dxa" w:w="1500"/>
            <w:vAlign w:val="center"/>
            <w:tcMar>
              <w:top w:w="80" w:type="dxa"/>
              <w:start w:w="120" w:type="dxa"/>
              <w:bottom w:w="80" w:type="dxa"/>
              <w:end w:w="120" w:type="dxa"/>
            </w:tcMar>
          </w:tcPr>
          <w:p>
            <w:pPr>
              <w:spacing w:after="0"/>
              <w:jc w:val="right"/>
            </w:pPr>
            <w:r>
              <w:rPr>
                <w:rFonts w:ascii="Calibri" w:hAnsi="Calibri"/>
                <w:b w:val="0"/>
                <w:i w:val="0"/>
                <w:color w:val="000000"/>
                <w:sz w:val="18"/>
              </w:rPr>
              <w:t>9,997</w:t>
            </w:r>
          </w:p>
        </w:tc>
        <w:tc>
          <w:tcPr>
            <w:tcW w:type="dxa" w:w="1700"/>
            <w:vAlign w:val="center"/>
            <w:tcMar>
              <w:top w:w="80" w:type="dxa"/>
              <w:start w:w="120" w:type="dxa"/>
              <w:bottom w:w="80" w:type="dxa"/>
              <w:end w:w="120" w:type="dxa"/>
            </w:tcMar>
          </w:tcPr>
          <w:p>
            <w:pPr>
              <w:spacing w:after="0"/>
              <w:jc w:val="right"/>
            </w:pPr>
            <w:r>
              <w:rPr>
                <w:rFonts w:ascii="Calibri" w:hAnsi="Calibri"/>
                <w:b w:val="0"/>
                <w:i w:val="0"/>
                <w:color w:val="000000"/>
                <w:sz w:val="18"/>
              </w:rPr>
              <w:t>1,250</w:t>
            </w:r>
          </w:p>
        </w:tc>
        <w:tc>
          <w:tcPr>
            <w:tcW w:type="dxa" w:w="1500"/>
            <w:vAlign w:val="center"/>
            <w:tcMar>
              <w:top w:w="80" w:type="dxa"/>
              <w:start w:w="120" w:type="dxa"/>
              <w:bottom w:w="80" w:type="dxa"/>
              <w:end w:w="120" w:type="dxa"/>
            </w:tcMar>
          </w:tcPr>
          <w:p>
            <w:pPr>
              <w:spacing w:after="0"/>
              <w:jc w:val="right"/>
            </w:pPr>
            <w:r>
              <w:rPr>
                <w:rFonts w:ascii="Calibri" w:hAnsi="Calibri"/>
                <w:b w:val="0"/>
                <w:i w:val="0"/>
                <w:color w:val="000000"/>
                <w:sz w:val="18"/>
              </w:rPr>
              <w:t>1,250</w:t>
            </w:r>
          </w:p>
        </w:tc>
        <w:tc>
          <w:tcPr>
            <w:tcW w:type="dxa" w:w="2060"/>
            <w:vAlign w:val="center"/>
            <w:tcMar>
              <w:top w:w="80" w:type="dxa"/>
              <w:start w:w="120" w:type="dxa"/>
              <w:bottom w:w="80" w:type="dxa"/>
              <w:end w:w="120" w:type="dxa"/>
            </w:tcMar>
          </w:tcPr>
          <w:p>
            <w:pPr>
              <w:spacing w:after="0"/>
              <w:jc w:val="right"/>
            </w:pPr>
            <w:r>
              <w:rPr>
                <w:rFonts w:ascii="Calibri" w:hAnsi="Calibri"/>
                <w:b w:val="0"/>
                <w:i w:val="0"/>
                <w:color w:val="000000"/>
                <w:sz w:val="18"/>
              </w:rPr>
              <w:t>64.3%</w:t>
            </w:r>
          </w:p>
        </w:tc>
      </w:tr>
      <w:tr>
        <w:tc>
          <w:tcPr>
            <w:tcW w:type="dxa" w:w="2600"/>
            <w:vAlign w:val="center"/>
            <w:tcMar>
              <w:top w:w="80" w:type="dxa"/>
              <w:start w:w="120" w:type="dxa"/>
              <w:bottom w:w="80" w:type="dxa"/>
              <w:end w:w="120" w:type="dxa"/>
            </w:tcMar>
          </w:tcPr>
          <w:p>
            <w:pPr>
              <w:spacing w:after="0"/>
              <w:jc w:val="left"/>
            </w:pPr>
            <w:r>
              <w:rPr>
                <w:rFonts w:ascii="Calibri" w:hAnsi="Calibri"/>
                <w:b w:val="0"/>
                <w:i w:val="0"/>
                <w:color w:val="000000"/>
                <w:sz w:val="18"/>
              </w:rPr>
              <w:t>Product reviews</w:t>
            </w:r>
          </w:p>
        </w:tc>
        <w:tc>
          <w:tcPr>
            <w:tcW w:type="dxa" w:w="1500"/>
            <w:vAlign w:val="center"/>
            <w:tcMar>
              <w:top w:w="80" w:type="dxa"/>
              <w:start w:w="120" w:type="dxa"/>
              <w:bottom w:w="80" w:type="dxa"/>
              <w:end w:w="120" w:type="dxa"/>
            </w:tcMar>
          </w:tcPr>
          <w:p>
            <w:pPr>
              <w:spacing w:after="0"/>
              <w:jc w:val="right"/>
            </w:pPr>
            <w:r>
              <w:rPr>
                <w:rFonts w:ascii="Calibri" w:hAnsi="Calibri"/>
                <w:b w:val="0"/>
                <w:i w:val="0"/>
                <w:color w:val="000000"/>
                <w:sz w:val="18"/>
              </w:rPr>
              <w:t>16,776</w:t>
            </w:r>
          </w:p>
        </w:tc>
        <w:tc>
          <w:tcPr>
            <w:tcW w:type="dxa" w:w="1700"/>
            <w:vAlign w:val="center"/>
            <w:tcMar>
              <w:top w:w="80" w:type="dxa"/>
              <w:start w:w="120" w:type="dxa"/>
              <w:bottom w:w="80" w:type="dxa"/>
              <w:end w:w="120" w:type="dxa"/>
            </w:tcMar>
          </w:tcPr>
          <w:p>
            <w:pPr>
              <w:spacing w:after="0"/>
              <w:jc w:val="right"/>
            </w:pPr>
            <w:r>
              <w:rPr>
                <w:rFonts w:ascii="Calibri" w:hAnsi="Calibri"/>
                <w:b w:val="0"/>
                <w:i w:val="0"/>
                <w:color w:val="000000"/>
                <w:sz w:val="18"/>
              </w:rPr>
              <w:t>2,097</w:t>
            </w:r>
          </w:p>
        </w:tc>
        <w:tc>
          <w:tcPr>
            <w:tcW w:type="dxa" w:w="1500"/>
            <w:vAlign w:val="center"/>
            <w:tcMar>
              <w:top w:w="80" w:type="dxa"/>
              <w:start w:w="120" w:type="dxa"/>
              <w:bottom w:w="80" w:type="dxa"/>
              <w:end w:w="120" w:type="dxa"/>
            </w:tcMar>
          </w:tcPr>
          <w:p>
            <w:pPr>
              <w:spacing w:after="0"/>
              <w:jc w:val="right"/>
            </w:pPr>
            <w:r>
              <w:rPr>
                <w:rFonts w:ascii="Calibri" w:hAnsi="Calibri"/>
                <w:b w:val="0"/>
                <w:i w:val="0"/>
                <w:color w:val="000000"/>
                <w:sz w:val="18"/>
              </w:rPr>
              <w:t>2,098</w:t>
            </w:r>
          </w:p>
        </w:tc>
        <w:tc>
          <w:tcPr>
            <w:tcW w:type="dxa" w:w="2060"/>
            <w:vAlign w:val="center"/>
            <w:tcMar>
              <w:top w:w="80" w:type="dxa"/>
              <w:start w:w="120" w:type="dxa"/>
              <w:bottom w:w="80" w:type="dxa"/>
              <w:end w:w="120" w:type="dxa"/>
            </w:tcMar>
          </w:tcPr>
          <w:p>
            <w:pPr>
              <w:spacing w:after="0"/>
              <w:jc w:val="right"/>
            </w:pPr>
            <w:r>
              <w:rPr>
                <w:rFonts w:ascii="Calibri" w:hAnsi="Calibri"/>
                <w:b w:val="0"/>
                <w:i w:val="0"/>
                <w:color w:val="000000"/>
                <w:sz w:val="18"/>
              </w:rPr>
              <w:t>50.0%</w:t>
            </w:r>
          </w:p>
        </w:tc>
      </w:tr>
      <w:tr>
        <w:tc>
          <w:tcPr>
            <w:tcW w:type="dxa" w:w="2600"/>
            <w:vAlign w:val="center"/>
            <w:tcMar>
              <w:top w:w="80" w:type="dxa"/>
              <w:start w:w="120" w:type="dxa"/>
              <w:bottom w:w="80" w:type="dxa"/>
              <w:end w:w="120" w:type="dxa"/>
            </w:tcMar>
          </w:tcPr>
          <w:p>
            <w:pPr>
              <w:spacing w:after="0"/>
              <w:jc w:val="left"/>
            </w:pPr>
            <w:r>
              <w:rPr>
                <w:rFonts w:ascii="Calibri" w:hAnsi="Calibri"/>
                <w:b w:val="0"/>
                <w:i w:val="0"/>
                <w:color w:val="000000"/>
                <w:sz w:val="18"/>
              </w:rPr>
              <w:t>SMS</w:t>
            </w:r>
          </w:p>
        </w:tc>
        <w:tc>
          <w:tcPr>
            <w:tcW w:type="dxa" w:w="1500"/>
            <w:vAlign w:val="center"/>
            <w:tcMar>
              <w:top w:w="80" w:type="dxa"/>
              <w:start w:w="120" w:type="dxa"/>
              <w:bottom w:w="80" w:type="dxa"/>
              <w:end w:w="120" w:type="dxa"/>
            </w:tcMar>
          </w:tcPr>
          <w:p>
            <w:pPr>
              <w:spacing w:after="0"/>
              <w:jc w:val="right"/>
            </w:pPr>
            <w:r>
              <w:rPr>
                <w:rFonts w:ascii="Calibri" w:hAnsi="Calibri"/>
                <w:b w:val="0"/>
                <w:i w:val="0"/>
                <w:color w:val="000000"/>
                <w:sz w:val="18"/>
              </w:rPr>
              <w:t>5,259</w:t>
            </w:r>
          </w:p>
        </w:tc>
        <w:tc>
          <w:tcPr>
            <w:tcW w:type="dxa" w:w="1700"/>
            <w:vAlign w:val="center"/>
            <w:tcMar>
              <w:top w:w="80" w:type="dxa"/>
              <w:start w:w="120" w:type="dxa"/>
              <w:bottom w:w="80" w:type="dxa"/>
              <w:end w:w="120" w:type="dxa"/>
            </w:tcMar>
          </w:tcPr>
          <w:p>
            <w:pPr>
              <w:spacing w:after="0"/>
              <w:jc w:val="right"/>
            </w:pPr>
            <w:r>
              <w:rPr>
                <w:rFonts w:ascii="Calibri" w:hAnsi="Calibri"/>
                <w:b w:val="0"/>
                <w:i w:val="0"/>
                <w:color w:val="000000"/>
                <w:sz w:val="18"/>
              </w:rPr>
              <w:t>657</w:t>
            </w:r>
          </w:p>
        </w:tc>
        <w:tc>
          <w:tcPr>
            <w:tcW w:type="dxa" w:w="1500"/>
            <w:vAlign w:val="center"/>
            <w:tcMar>
              <w:top w:w="80" w:type="dxa"/>
              <w:start w:w="120" w:type="dxa"/>
              <w:bottom w:w="80" w:type="dxa"/>
              <w:end w:w="120" w:type="dxa"/>
            </w:tcMar>
          </w:tcPr>
          <w:p>
            <w:pPr>
              <w:spacing w:after="0"/>
              <w:jc w:val="right"/>
            </w:pPr>
            <w:r>
              <w:rPr>
                <w:rFonts w:ascii="Calibri" w:hAnsi="Calibri"/>
                <w:b w:val="0"/>
                <w:i w:val="0"/>
                <w:color w:val="000000"/>
                <w:sz w:val="18"/>
              </w:rPr>
              <w:t>658</w:t>
            </w:r>
          </w:p>
        </w:tc>
        <w:tc>
          <w:tcPr>
            <w:tcW w:type="dxa" w:w="2060"/>
            <w:vAlign w:val="center"/>
            <w:tcMar>
              <w:top w:w="80" w:type="dxa"/>
              <w:start w:w="120" w:type="dxa"/>
              <w:bottom w:w="80" w:type="dxa"/>
              <w:end w:w="120" w:type="dxa"/>
            </w:tcMar>
          </w:tcPr>
          <w:p>
            <w:pPr>
              <w:spacing w:after="0"/>
              <w:jc w:val="right"/>
            </w:pPr>
            <w:r>
              <w:rPr>
                <w:rFonts w:ascii="Calibri" w:hAnsi="Calibri"/>
                <w:b w:val="0"/>
                <w:i w:val="0"/>
                <w:color w:val="000000"/>
                <w:sz w:val="18"/>
              </w:rPr>
              <w:t>19.4%</w:t>
            </w:r>
          </w:p>
        </w:tc>
      </w:tr>
      <w:tr>
        <w:tc>
          <w:tcPr>
            <w:tcW w:type="dxa" w:w="2600"/>
            <w:vAlign w:val="center"/>
            <w:tcMar>
              <w:top w:w="80" w:type="dxa"/>
              <w:start w:w="120" w:type="dxa"/>
              <w:bottom w:w="80" w:type="dxa"/>
              <w:end w:w="120" w:type="dxa"/>
            </w:tcMar>
          </w:tcPr>
          <w:p>
            <w:pPr>
              <w:spacing w:after="0"/>
              <w:jc w:val="left"/>
            </w:pPr>
            <w:r>
              <w:rPr>
                <w:rFonts w:ascii="Calibri" w:hAnsi="Calibri"/>
                <w:b w:val="0"/>
                <w:i w:val="0"/>
                <w:color w:val="000000"/>
                <w:sz w:val="18"/>
              </w:rPr>
              <w:t>Twitter rumours</w:t>
            </w:r>
          </w:p>
        </w:tc>
        <w:tc>
          <w:tcPr>
            <w:tcW w:type="dxa" w:w="1500"/>
            <w:vAlign w:val="center"/>
            <w:tcMar>
              <w:top w:w="80" w:type="dxa"/>
              <w:start w:w="120" w:type="dxa"/>
              <w:bottom w:w="80" w:type="dxa"/>
              <w:end w:w="120" w:type="dxa"/>
            </w:tcMar>
          </w:tcPr>
          <w:p>
            <w:pPr>
              <w:spacing w:after="0"/>
              <w:jc w:val="right"/>
            </w:pPr>
            <w:r>
              <w:rPr>
                <w:rFonts w:ascii="Calibri" w:hAnsi="Calibri"/>
                <w:b w:val="0"/>
                <w:i w:val="0"/>
                <w:color w:val="000000"/>
                <w:sz w:val="18"/>
              </w:rPr>
              <w:t>4,631</w:t>
            </w:r>
          </w:p>
        </w:tc>
        <w:tc>
          <w:tcPr>
            <w:tcW w:type="dxa" w:w="1700"/>
            <w:vAlign w:val="center"/>
            <w:tcMar>
              <w:top w:w="80" w:type="dxa"/>
              <w:start w:w="120" w:type="dxa"/>
              <w:bottom w:w="80" w:type="dxa"/>
              <w:end w:w="120" w:type="dxa"/>
            </w:tcMar>
          </w:tcPr>
          <w:p>
            <w:pPr>
              <w:spacing w:after="0"/>
              <w:jc w:val="right"/>
            </w:pPr>
            <w:r>
              <w:rPr>
                <w:rFonts w:ascii="Calibri" w:hAnsi="Calibri"/>
                <w:b w:val="0"/>
                <w:i w:val="0"/>
                <w:color w:val="000000"/>
                <w:sz w:val="18"/>
              </w:rPr>
              <w:t>579</w:t>
            </w:r>
          </w:p>
        </w:tc>
        <w:tc>
          <w:tcPr>
            <w:tcW w:type="dxa" w:w="1500"/>
            <w:vAlign w:val="center"/>
            <w:tcMar>
              <w:top w:w="80" w:type="dxa"/>
              <w:start w:w="120" w:type="dxa"/>
              <w:bottom w:w="80" w:type="dxa"/>
              <w:end w:w="120" w:type="dxa"/>
            </w:tcMar>
          </w:tcPr>
          <w:p>
            <w:pPr>
              <w:spacing w:after="0"/>
              <w:jc w:val="right"/>
            </w:pPr>
            <w:r>
              <w:rPr>
                <w:rFonts w:ascii="Calibri" w:hAnsi="Calibri"/>
                <w:b w:val="0"/>
                <w:i w:val="0"/>
                <w:color w:val="000000"/>
                <w:sz w:val="18"/>
              </w:rPr>
              <w:t>579</w:t>
            </w:r>
          </w:p>
        </w:tc>
        <w:tc>
          <w:tcPr>
            <w:tcW w:type="dxa" w:w="2060"/>
            <w:vAlign w:val="center"/>
            <w:tcMar>
              <w:top w:w="80" w:type="dxa"/>
              <w:start w:w="120" w:type="dxa"/>
              <w:bottom w:w="80" w:type="dxa"/>
              <w:end w:w="120" w:type="dxa"/>
            </w:tcMar>
          </w:tcPr>
          <w:p>
            <w:pPr>
              <w:spacing w:after="0"/>
              <w:jc w:val="right"/>
            </w:pPr>
            <w:r>
              <w:rPr>
                <w:rFonts w:ascii="Calibri" w:hAnsi="Calibri"/>
                <w:b w:val="0"/>
                <w:i w:val="0"/>
                <w:color w:val="000000"/>
                <w:sz w:val="18"/>
              </w:rPr>
              <w:t>34.0%</w:t>
            </w:r>
          </w:p>
        </w:tc>
      </w:tr>
    </w:tbl>
    <w:p>
      <w:pPr>
        <w:spacing w:after="0"/>
      </w:pPr>
    </w:p>
    <w:p>
      <w:pPr>
        <w:spacing w:after="120" w:line="264" w:lineRule="auto"/>
      </w:pPr>
      <w:r>
        <w:rPr>
          <w:rFonts w:ascii="Calibri" w:hAnsi="Calibri"/>
          <w:b w:val="0"/>
          <w:i w:val="0"/>
          <w:color w:val="000000"/>
          <w:sz w:val="21"/>
        </w:rPr>
        <w:t>Quick mode retained 500 stratified examples per domain and official split, producing 10,500 analyzed records. This preserves official split membership but is a representative computational reduction, not a full-dataset experiment. Frozen all-MiniLM-L6-v2 sentence embeddings and small PyTorch multilayer perceptrons enabled CPU execution.</w:t>
      </w:r>
    </w:p>
    <w:p>
      <w:pPr>
        <w:jc w:val="center"/>
      </w:pPr>
      <w:r>
        <w:drawing>
          <wp:inline xmlns:a="http://schemas.openxmlformats.org/drawingml/2006/main" xmlns:pic="http://schemas.openxmlformats.org/drawingml/2006/picture">
            <wp:extent cx="5806440" cy="2046875"/>
            <wp:docPr id="1" name="Picture 1" descr="Bar charts showing quick-mode sample composition and deceptive prevalence across the seven DiFrauD domain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06440" cy="2046875"/>
                    </a:xfrm>
                    <a:prstGeom prst="rect"/>
                  </pic:spPr>
                </pic:pic>
              </a:graphicData>
            </a:graphic>
          </wp:inline>
        </w:drawing>
      </w:r>
    </w:p>
    <w:p>
      <w:pPr>
        <w:spacing w:before="40" w:after="160"/>
        <w:jc w:val="center"/>
      </w:pPr>
      <w:r>
        <w:rPr>
          <w:rFonts w:ascii="Calibri" w:hAnsi="Calibri"/>
          <w:b w:val="0"/>
          <w:i/>
          <w:color w:val="666666"/>
          <w:sz w:val="18"/>
        </w:rPr>
        <w:t>Figure 1. Quick-mode composition and deceptive prevalence by domain. Stored notebook output.</w:t>
      </w:r>
    </w:p>
    <w:p>
      <w:pPr>
        <w:pStyle w:val="Heading1"/>
        <w:keepNext/>
      </w:pPr>
      <w:r>
        <w:t>3. Dataset-quality audit</w:t>
      </w:r>
    </w:p>
    <w:p>
      <w:pPr>
        <w:pStyle w:val="Heading2"/>
        <w:keepNext/>
      </w:pPr>
      <w:r>
        <w:t>3.1 Composition, integrity, and imbalance</w:t>
      </w:r>
    </w:p>
    <w:p>
      <w:pPr>
        <w:spacing w:after="120" w:line="264" w:lineRule="auto"/>
      </w:pPr>
      <w:r>
        <w:rPr>
          <w:rFonts w:ascii="Calibri" w:hAnsi="Calibri"/>
          <w:b w:val="0"/>
          <w:i w:val="0"/>
          <w:color w:val="000000"/>
          <w:sz w:val="21"/>
        </w:rPr>
        <w:t>Class prevalence varied from approximately 4.2% for job scams to 64.3% for political statements. A model can therefore gain substantial apparent performance by learning domain identity. The audit measured character, word, sentence, URL, digit, punctuation, capitalization, non-ASCII, repeated-punctuation, HTML-residue, and replacement-character features. The full acquisition check found zero missing or empty texts, but integrity and provenance signals remained domain-dependent.</w:t>
      </w:r>
    </w:p>
    <w:p>
      <w:pPr>
        <w:pStyle w:val="Heading2"/>
        <w:keepNext/>
      </w:pPr>
      <w:r>
        <w:t>3.2 Duplicate and leakage risk</w:t>
      </w:r>
    </w:p>
    <w:p>
      <w:pPr>
        <w:spacing w:after="120" w:line="264" w:lineRule="auto"/>
      </w:pPr>
      <w:r>
        <w:rPr>
          <w:rFonts w:ascii="Calibri" w:hAnsi="Calibri"/>
          <w:b w:val="0"/>
          <w:i w:val="0"/>
          <w:color w:val="000000"/>
          <w:sz w:val="21"/>
        </w:rPr>
        <w:t>No exact normalized duplicate groups appeared in the 10,500-row quick sample. Character 3-5 gram TF-IDF nearest-neighbor screening identified 296 near-duplicate pairs at cosine similarity at least 0.92; 212 crossed official split boundaries. Representative pairs included structurally similar account-verification emails and related news or conversational text. Because near-duplicate auditing was performed on the quick sample, these counts are lower bounds for the full repository.</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4E5"/>
          </w:tcPr>
          <w:p>
            <w:pPr>
              <w:spacing w:after="0"/>
            </w:pPr>
            <w:r>
              <w:rPr>
                <w:rFonts w:ascii="Calibri" w:hAnsi="Calibri"/>
                <w:b/>
                <w:i w:val="0"/>
                <w:color w:val="1F4D78"/>
                <w:sz w:val="20"/>
              </w:rPr>
              <w:t xml:space="preserve">Leakage implication  </w:t>
            </w:r>
            <w:r>
              <w:rPr>
                <w:rFonts w:ascii="Calibri" w:hAnsi="Calibri"/>
                <w:b w:val="0"/>
                <w:i w:val="0"/>
                <w:color w:val="000000"/>
                <w:sz w:val="20"/>
              </w:rPr>
              <w:t>Cross-split near duplicates can inflate in-domain performance even when the official split labels are preserved. A publication-grade full run should de-duplicate or cluster before splitting and report sensitivity to cluster-level exclusion.</w:t>
            </w:r>
          </w:p>
        </w:tc>
      </w:tr>
    </w:tbl>
    <w:p>
      <w:pPr>
        <w:spacing w:after="0"/>
      </w:pPr>
    </w:p>
    <w:p>
      <w:pPr>
        <w:pStyle w:val="Heading2"/>
        <w:keepNext/>
      </w:pPr>
      <w:r>
        <w:t>3.3 Shortcut learning and domain separability</w:t>
      </w:r>
    </w:p>
    <w:tbl>
      <w:tblPr>
        <w:tblStyle w:val="TableGrid"/>
        <w:tblW w:type="dxa" w:w="9360"/>
        <w:tblLayout w:type="fixed"/>
        <w:tblLook w:firstColumn="1" w:firstRow="1" w:lastColumn="0" w:lastRow="0" w:noHBand="0" w:noVBand="1" w:val="04A0"/>
        <w:jc w:val="center"/>
        <w:tblInd w:w="120" w:type="dxa"/>
      </w:tblPr>
      <w:tblGrid>
        <w:gridCol w:w="5000"/>
        <w:gridCol w:w="2200"/>
        <w:gridCol w:w="2160"/>
      </w:tblGrid>
      <w:tr>
        <w:trPr>
          <w:tblHeader w:val="true"/>
        </w:trPr>
        <w:tc>
          <w:tcPr>
            <w:tcW w:type="dxa" w:w="5000"/>
            <w:vAlign w:val="center"/>
            <w:tcMar>
              <w:top w:w="80" w:type="dxa"/>
              <w:start w:w="120" w:type="dxa"/>
              <w:bottom w:w="80" w:type="dxa"/>
              <w:end w:w="120" w:type="dxa"/>
            </w:tcMar>
            <w:shd w:fill="F2F4F7"/>
          </w:tcPr>
          <w:p>
            <w:pPr>
              <w:spacing w:after="0"/>
              <w:jc w:val="center"/>
            </w:pPr>
            <w:r>
              <w:rPr>
                <w:rFonts w:ascii="Calibri" w:hAnsi="Calibri"/>
                <w:b/>
                <w:i w:val="0"/>
                <w:color w:val="1F4D78"/>
                <w:sz w:val="18"/>
              </w:rPr>
              <w:t>Diagnostic model</w:t>
            </w:r>
          </w:p>
        </w:tc>
        <w:tc>
          <w:tcPr>
            <w:tcW w:type="dxa" w:w="2200"/>
            <w:vAlign w:val="center"/>
            <w:tcMar>
              <w:top w:w="80" w:type="dxa"/>
              <w:start w:w="120" w:type="dxa"/>
              <w:bottom w:w="80" w:type="dxa"/>
              <w:end w:w="120" w:type="dxa"/>
            </w:tcMar>
            <w:shd w:fill="F2F4F7"/>
          </w:tcPr>
          <w:p>
            <w:pPr>
              <w:spacing w:after="0"/>
              <w:jc w:val="center"/>
            </w:pPr>
            <w:r>
              <w:rPr>
                <w:rFonts w:ascii="Calibri" w:hAnsi="Calibri"/>
                <w:b/>
                <w:i w:val="0"/>
                <w:color w:val="1F4D78"/>
                <w:sz w:val="18"/>
              </w:rPr>
              <w:t>Metric</w:t>
            </w:r>
          </w:p>
        </w:tc>
        <w:tc>
          <w:tcPr>
            <w:tcW w:type="dxa" w:w="2160"/>
            <w:vAlign w:val="center"/>
            <w:tcMar>
              <w:top w:w="80" w:type="dxa"/>
              <w:start w:w="120" w:type="dxa"/>
              <w:bottom w:w="80" w:type="dxa"/>
              <w:end w:w="120" w:type="dxa"/>
            </w:tcMar>
            <w:shd w:fill="F2F4F7"/>
          </w:tcPr>
          <w:p>
            <w:pPr>
              <w:spacing w:after="0"/>
              <w:jc w:val="center"/>
            </w:pPr>
            <w:r>
              <w:rPr>
                <w:rFonts w:ascii="Calibri" w:hAnsi="Calibri"/>
                <w:b/>
                <w:i w:val="0"/>
                <w:color w:val="1F4D78"/>
                <w:sz w:val="18"/>
              </w:rPr>
              <w:t>Result</w:t>
            </w:r>
          </w:p>
        </w:tc>
      </w:tr>
      <w:tr>
        <w:tc>
          <w:tcPr>
            <w:tcW w:type="dxa" w:w="5000"/>
            <w:vAlign w:val="center"/>
            <w:tcMar>
              <w:top w:w="80" w:type="dxa"/>
              <w:start w:w="120" w:type="dxa"/>
              <w:bottom w:w="80" w:type="dxa"/>
              <w:end w:w="120" w:type="dxa"/>
            </w:tcMar>
          </w:tcPr>
          <w:p>
            <w:pPr>
              <w:spacing w:after="0"/>
              <w:jc w:val="left"/>
            </w:pPr>
            <w:r>
              <w:rPr>
                <w:rFonts w:ascii="Calibri" w:hAnsi="Calibri"/>
                <w:b w:val="0"/>
                <w:i w:val="0"/>
                <w:color w:val="000000"/>
                <w:sz w:val="18"/>
              </w:rPr>
              <w:t>Metadata-only logistic regression</w:t>
            </w:r>
          </w:p>
        </w:tc>
        <w:tc>
          <w:tcPr>
            <w:tcW w:type="dxa" w:w="2200"/>
            <w:vAlign w:val="center"/>
            <w:tcMar>
              <w:top w:w="80" w:type="dxa"/>
              <w:start w:w="120" w:type="dxa"/>
              <w:bottom w:w="80" w:type="dxa"/>
              <w:end w:w="120" w:type="dxa"/>
            </w:tcMar>
          </w:tcPr>
          <w:p>
            <w:pPr>
              <w:spacing w:after="0"/>
              <w:jc w:val="left"/>
            </w:pPr>
            <w:r>
              <w:rPr>
                <w:rFonts w:ascii="Calibri" w:hAnsi="Calibri"/>
                <w:b w:val="0"/>
                <w:i w:val="0"/>
                <w:color w:val="000000"/>
                <w:sz w:val="18"/>
              </w:rPr>
              <w:t>F1</w:t>
            </w:r>
          </w:p>
        </w:tc>
        <w:tc>
          <w:tcPr>
            <w:tcW w:type="dxa" w:w="2160"/>
            <w:vAlign w:val="center"/>
            <w:tcMar>
              <w:top w:w="80" w:type="dxa"/>
              <w:start w:w="120" w:type="dxa"/>
              <w:bottom w:w="80" w:type="dxa"/>
              <w:end w:w="120" w:type="dxa"/>
            </w:tcMar>
          </w:tcPr>
          <w:p>
            <w:pPr>
              <w:spacing w:after="0"/>
              <w:jc w:val="right"/>
            </w:pPr>
            <w:r>
              <w:rPr>
                <w:rFonts w:ascii="Calibri" w:hAnsi="Calibri"/>
                <w:b w:val="0"/>
                <w:i w:val="0"/>
                <w:color w:val="000000"/>
                <w:sz w:val="18"/>
              </w:rPr>
              <w:t>0.576</w:t>
            </w:r>
          </w:p>
        </w:tc>
      </w:tr>
      <w:tr>
        <w:tc>
          <w:tcPr>
            <w:tcW w:type="dxa" w:w="5000"/>
            <w:vAlign w:val="center"/>
            <w:tcMar>
              <w:top w:w="80" w:type="dxa"/>
              <w:start w:w="120" w:type="dxa"/>
              <w:bottom w:w="80" w:type="dxa"/>
              <w:end w:w="120" w:type="dxa"/>
            </w:tcMar>
          </w:tcPr>
          <w:p>
            <w:pPr>
              <w:spacing w:after="0"/>
              <w:jc w:val="left"/>
            </w:pPr>
            <w:r>
              <w:rPr>
                <w:rFonts w:ascii="Calibri" w:hAnsi="Calibri"/>
                <w:b w:val="0"/>
                <w:i w:val="0"/>
                <w:color w:val="000000"/>
                <w:sz w:val="18"/>
              </w:rPr>
              <w:t>Metadata-only logistic regression</w:t>
            </w:r>
          </w:p>
        </w:tc>
        <w:tc>
          <w:tcPr>
            <w:tcW w:type="dxa" w:w="2200"/>
            <w:vAlign w:val="center"/>
            <w:tcMar>
              <w:top w:w="80" w:type="dxa"/>
              <w:start w:w="120" w:type="dxa"/>
              <w:bottom w:w="80" w:type="dxa"/>
              <w:end w:w="120" w:type="dxa"/>
            </w:tcMar>
          </w:tcPr>
          <w:p>
            <w:pPr>
              <w:spacing w:after="0"/>
              <w:jc w:val="left"/>
            </w:pPr>
            <w:r>
              <w:rPr>
                <w:rFonts w:ascii="Calibri" w:hAnsi="Calibri"/>
                <w:b w:val="0"/>
                <w:i w:val="0"/>
                <w:color w:val="000000"/>
                <w:sz w:val="18"/>
              </w:rPr>
              <w:t>ROC-AUC</w:t>
            </w:r>
          </w:p>
        </w:tc>
        <w:tc>
          <w:tcPr>
            <w:tcW w:type="dxa" w:w="2160"/>
            <w:vAlign w:val="center"/>
            <w:tcMar>
              <w:top w:w="80" w:type="dxa"/>
              <w:start w:w="120" w:type="dxa"/>
              <w:bottom w:w="80" w:type="dxa"/>
              <w:end w:w="120" w:type="dxa"/>
            </w:tcMar>
          </w:tcPr>
          <w:p>
            <w:pPr>
              <w:spacing w:after="0"/>
              <w:jc w:val="right"/>
            </w:pPr>
            <w:r>
              <w:rPr>
                <w:rFonts w:ascii="Calibri" w:hAnsi="Calibri"/>
                <w:b w:val="0"/>
                <w:i w:val="0"/>
                <w:color w:val="000000"/>
                <w:sz w:val="18"/>
              </w:rPr>
              <w:t>0.655</w:t>
            </w:r>
          </w:p>
        </w:tc>
      </w:tr>
      <w:tr>
        <w:tc>
          <w:tcPr>
            <w:tcW w:type="dxa" w:w="5000"/>
            <w:vAlign w:val="center"/>
            <w:tcMar>
              <w:top w:w="80" w:type="dxa"/>
              <w:start w:w="120" w:type="dxa"/>
              <w:bottom w:w="80" w:type="dxa"/>
              <w:end w:w="120" w:type="dxa"/>
            </w:tcMar>
          </w:tcPr>
          <w:p>
            <w:pPr>
              <w:spacing w:after="0"/>
              <w:jc w:val="left"/>
            </w:pPr>
            <w:r>
              <w:rPr>
                <w:rFonts w:ascii="Calibri" w:hAnsi="Calibri"/>
                <w:b w:val="0"/>
                <w:i w:val="0"/>
                <w:color w:val="000000"/>
                <w:sz w:val="18"/>
              </w:rPr>
              <w:t>Domain-prior baseline</w:t>
            </w:r>
          </w:p>
        </w:tc>
        <w:tc>
          <w:tcPr>
            <w:tcW w:type="dxa" w:w="2200"/>
            <w:vAlign w:val="center"/>
            <w:tcMar>
              <w:top w:w="80" w:type="dxa"/>
              <w:start w:w="120" w:type="dxa"/>
              <w:bottom w:w="80" w:type="dxa"/>
              <w:end w:w="120" w:type="dxa"/>
            </w:tcMar>
          </w:tcPr>
          <w:p>
            <w:pPr>
              <w:spacing w:after="0"/>
              <w:jc w:val="left"/>
            </w:pPr>
            <w:r>
              <w:rPr>
                <w:rFonts w:ascii="Calibri" w:hAnsi="Calibri"/>
                <w:b w:val="0"/>
                <w:i w:val="0"/>
                <w:color w:val="000000"/>
                <w:sz w:val="18"/>
              </w:rPr>
              <w:t>F1</w:t>
            </w:r>
          </w:p>
        </w:tc>
        <w:tc>
          <w:tcPr>
            <w:tcW w:type="dxa" w:w="2160"/>
            <w:vAlign w:val="center"/>
            <w:tcMar>
              <w:top w:w="80" w:type="dxa"/>
              <w:start w:w="120" w:type="dxa"/>
              <w:bottom w:w="80" w:type="dxa"/>
              <w:end w:w="120" w:type="dxa"/>
            </w:tcMar>
          </w:tcPr>
          <w:p>
            <w:pPr>
              <w:spacing w:after="0"/>
              <w:jc w:val="right"/>
            </w:pPr>
            <w:r>
              <w:rPr>
                <w:rFonts w:ascii="Calibri" w:hAnsi="Calibri"/>
                <w:b w:val="0"/>
                <w:i w:val="0"/>
                <w:color w:val="000000"/>
                <w:sz w:val="18"/>
              </w:rPr>
              <w:t>0.613</w:t>
            </w:r>
          </w:p>
        </w:tc>
      </w:tr>
      <w:tr>
        <w:tc>
          <w:tcPr>
            <w:tcW w:type="dxa" w:w="5000"/>
            <w:vAlign w:val="center"/>
            <w:tcMar>
              <w:top w:w="80" w:type="dxa"/>
              <w:start w:w="120" w:type="dxa"/>
              <w:bottom w:w="80" w:type="dxa"/>
              <w:end w:w="120" w:type="dxa"/>
            </w:tcMar>
          </w:tcPr>
          <w:p>
            <w:pPr>
              <w:spacing w:after="0"/>
              <w:jc w:val="left"/>
            </w:pPr>
            <w:r>
              <w:rPr>
                <w:rFonts w:ascii="Calibri" w:hAnsi="Calibri"/>
                <w:b w:val="0"/>
                <w:i w:val="0"/>
                <w:color w:val="000000"/>
                <w:sz w:val="18"/>
              </w:rPr>
              <w:t>Domain-prior baseline</w:t>
            </w:r>
          </w:p>
        </w:tc>
        <w:tc>
          <w:tcPr>
            <w:tcW w:type="dxa" w:w="2200"/>
            <w:vAlign w:val="center"/>
            <w:tcMar>
              <w:top w:w="80" w:type="dxa"/>
              <w:start w:w="120" w:type="dxa"/>
              <w:bottom w:w="80" w:type="dxa"/>
              <w:end w:w="120" w:type="dxa"/>
            </w:tcMar>
          </w:tcPr>
          <w:p>
            <w:pPr>
              <w:spacing w:after="0"/>
              <w:jc w:val="left"/>
            </w:pPr>
            <w:r>
              <w:rPr>
                <w:rFonts w:ascii="Calibri" w:hAnsi="Calibri"/>
                <w:b w:val="0"/>
                <w:i w:val="0"/>
                <w:color w:val="000000"/>
                <w:sz w:val="18"/>
              </w:rPr>
              <w:t>ROC-AUC</w:t>
            </w:r>
          </w:p>
        </w:tc>
        <w:tc>
          <w:tcPr>
            <w:tcW w:type="dxa" w:w="2160"/>
            <w:vAlign w:val="center"/>
            <w:tcMar>
              <w:top w:w="80" w:type="dxa"/>
              <w:start w:w="120" w:type="dxa"/>
              <w:bottom w:w="80" w:type="dxa"/>
              <w:end w:w="120" w:type="dxa"/>
            </w:tcMar>
          </w:tcPr>
          <w:p>
            <w:pPr>
              <w:spacing w:after="0"/>
              <w:jc w:val="right"/>
            </w:pPr>
            <w:r>
              <w:rPr>
                <w:rFonts w:ascii="Calibri" w:hAnsi="Calibri"/>
                <w:b w:val="0"/>
                <w:i w:val="0"/>
                <w:color w:val="000000"/>
                <w:sz w:val="18"/>
              </w:rPr>
              <w:t>0.721</w:t>
            </w:r>
          </w:p>
        </w:tc>
      </w:tr>
      <w:tr>
        <w:tc>
          <w:tcPr>
            <w:tcW w:type="dxa" w:w="5000"/>
            <w:vAlign w:val="center"/>
            <w:tcMar>
              <w:top w:w="80" w:type="dxa"/>
              <w:start w:w="120" w:type="dxa"/>
              <w:bottom w:w="80" w:type="dxa"/>
              <w:end w:w="120" w:type="dxa"/>
            </w:tcMar>
          </w:tcPr>
          <w:p>
            <w:pPr>
              <w:spacing w:after="0"/>
              <w:jc w:val="left"/>
            </w:pPr>
            <w:r>
              <w:rPr>
                <w:rFonts w:ascii="Calibri" w:hAnsi="Calibri"/>
                <w:b w:val="0"/>
                <w:i w:val="0"/>
                <w:color w:val="000000"/>
                <w:sz w:val="18"/>
              </w:rPr>
              <w:t>Text domain classifier</w:t>
            </w:r>
          </w:p>
        </w:tc>
        <w:tc>
          <w:tcPr>
            <w:tcW w:type="dxa" w:w="2200"/>
            <w:vAlign w:val="center"/>
            <w:tcMar>
              <w:top w:w="80" w:type="dxa"/>
              <w:start w:w="120" w:type="dxa"/>
              <w:bottom w:w="80" w:type="dxa"/>
              <w:end w:w="120" w:type="dxa"/>
            </w:tcMar>
          </w:tcPr>
          <w:p>
            <w:pPr>
              <w:spacing w:after="0"/>
              <w:jc w:val="left"/>
            </w:pPr>
            <w:r>
              <w:rPr>
                <w:rFonts w:ascii="Calibri" w:hAnsi="Calibri"/>
                <w:b w:val="0"/>
                <w:i w:val="0"/>
                <w:color w:val="000000"/>
                <w:sz w:val="18"/>
              </w:rPr>
              <w:t>Accuracy</w:t>
            </w:r>
          </w:p>
        </w:tc>
        <w:tc>
          <w:tcPr>
            <w:tcW w:type="dxa" w:w="2160"/>
            <w:vAlign w:val="center"/>
            <w:tcMar>
              <w:top w:w="80" w:type="dxa"/>
              <w:start w:w="120" w:type="dxa"/>
              <w:bottom w:w="80" w:type="dxa"/>
              <w:end w:w="120" w:type="dxa"/>
            </w:tcMar>
          </w:tcPr>
          <w:p>
            <w:pPr>
              <w:spacing w:after="0"/>
              <w:jc w:val="right"/>
            </w:pPr>
            <w:r>
              <w:rPr>
                <w:rFonts w:ascii="Calibri" w:hAnsi="Calibri"/>
                <w:b w:val="0"/>
                <w:i w:val="0"/>
                <w:color w:val="000000"/>
                <w:sz w:val="18"/>
              </w:rPr>
              <w:t>0.931</w:t>
            </w:r>
          </w:p>
        </w:tc>
      </w:tr>
    </w:tbl>
    <w:p>
      <w:pPr>
        <w:spacing w:after="0"/>
      </w:pPr>
    </w:p>
    <w:p>
      <w:pPr>
        <w:spacing w:after="120" w:line="264" w:lineRule="auto"/>
      </w:pPr>
      <w:r>
        <w:rPr>
          <w:rFonts w:ascii="Calibri" w:hAnsi="Calibri"/>
          <w:b w:val="0"/>
          <w:i w:val="0"/>
          <w:color w:val="000000"/>
          <w:sz w:val="21"/>
        </w:rPr>
        <w:t>The 93.1% domain-classifier accuracy is the clearest shortcut warning: domain provenance is much easier to recover than a domain-independent deception concept. Domain-prior and metadata-only baselines further show that composition and shallow formatting carry label information. Out-of-fold label-disagreement analysis surfaced ambiguous job-scam positives and Twitter-rumour or SMS negatives, but these are suspected label issues rather than confirmed annotation errors.</w:t>
      </w:r>
    </w:p>
    <w:p>
      <w:pPr>
        <w:jc w:val="center"/>
      </w:pPr>
      <w:r>
        <w:drawing>
          <wp:inline xmlns:a="http://schemas.openxmlformats.org/drawingml/2006/main" xmlns:pic="http://schemas.openxmlformats.org/drawingml/2006/picture">
            <wp:extent cx="5806440" cy="1909500"/>
            <wp:docPr id="2" name="Picture 2" descr="Two TF-IDF SVD scatter plots colored first by domain and then by recorded deception label."/>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06440" cy="1909500"/>
                    </a:xfrm>
                    <a:prstGeom prst="rect"/>
                  </pic:spPr>
                </pic:pic>
              </a:graphicData>
            </a:graphic>
          </wp:inline>
        </w:drawing>
      </w:r>
    </w:p>
    <w:p>
      <w:pPr>
        <w:spacing w:before="40" w:after="160"/>
        <w:jc w:val="center"/>
      </w:pPr>
      <w:r>
        <w:rPr>
          <w:rFonts w:ascii="Calibri" w:hAnsi="Calibri"/>
          <w:b w:val="0"/>
          <w:i/>
          <w:color w:val="666666"/>
          <w:sz w:val="18"/>
        </w:rPr>
        <w:t>Figure 2. TF-IDF/SVD representation colored by domain and recorded label. Stored notebook output.</w:t>
      </w:r>
    </w:p>
    <w:p>
      <w:pPr>
        <w:pStyle w:val="Heading1"/>
        <w:keepNext/>
      </w:pPr>
      <w:r>
        <w:t>4. Experimental design</w:t>
      </w:r>
    </w:p>
    <w:p>
      <w:pPr>
        <w:pStyle w:val="Heading2"/>
        <w:keepNext/>
      </w:pPr>
      <w:r>
        <w:t>4.1 Leakage-resistant evaluation</w:t>
      </w:r>
    </w:p>
    <w:p>
      <w:pPr>
        <w:spacing w:after="120" w:line="264" w:lineRule="auto"/>
      </w:pPr>
      <w:r>
        <w:rPr>
          <w:rFonts w:ascii="Calibri" w:hAnsi="Calibri"/>
          <w:b w:val="0"/>
          <w:i w:val="0"/>
          <w:color w:val="000000"/>
          <w:sz w:val="21"/>
        </w:rPr>
        <w:t>In-domain experiments trained only on official training rows, selected thresholds and early-stopping states on validation rows, and used test labels only for final scoring. LODO experiments removed the held-out domain from training, prior estimation, early stopping, calibration, and threshold selection. Held-out labels entered only the final metric calculation.</w:t>
      </w:r>
    </w:p>
    <w:p>
      <w:pPr>
        <w:pStyle w:val="Heading2"/>
        <w:keepNext/>
      </w:pPr>
      <w:r>
        <w:t>4.2 Positive-unlabeled simulation</w:t>
      </w:r>
    </w:p>
    <w:p>
      <w:pPr>
        <w:spacing w:after="120" w:line="264" w:lineRule="auto"/>
      </w:pPr>
      <w:r>
        <w:rPr>
          <w:rFonts w:ascii="Calibri" w:hAnsi="Calibri"/>
          <w:b w:val="0"/>
          <w:i w:val="0"/>
          <w:color w:val="000000"/>
          <w:sz w:val="21"/>
        </w:rPr>
        <w:t>For each positive-label fraction, a seeded subset of deceptive training examples was revealed as P. All remaining positives and every negative became U. Ground-truth labels were removed from the training view; hidden labels were retained only by the experiment harness for evaluation. Consequently, the unlabeled pool remained a mixture rather than a pseudo-negative class.</w:t>
      </w:r>
    </w:p>
    <w:p>
      <w:pPr>
        <w:pStyle w:val="Heading2"/>
        <w:keepNext/>
      </w:pPr>
      <w:r>
        <w:t>4.3 nnPU objective</w:t>
      </w:r>
    </w:p>
    <w:p>
      <w:pPr>
        <w:spacing w:after="120" w:line="264" w:lineRule="auto"/>
      </w:pPr>
      <w:r>
        <w:rPr>
          <w:rFonts w:ascii="Calibri" w:hAnsi="Calibri"/>
          <w:b w:val="0"/>
          <w:i w:val="0"/>
          <w:color w:val="000000"/>
          <w:sz w:val="21"/>
        </w:rPr>
        <w:t>For score function f, logistic loss l, and positive class prior pi, the unbiased PU risk is pi E_P[l(f,+1)] + E_U[l(f,-1)] - pi E_P[l(f,-1)]. When the estimated negative-risk component becomes negative, the Kiryo non-negative correction reverses that component's gradient. The implementation returns positive, negative, corrected, and total risks and rejects invalid priors, shapes, empty batches, and non-finite logits.</w:t>
      </w:r>
    </w:p>
    <w:p>
      <w:pPr>
        <w:pStyle w:val="Heading2"/>
        <w:keepNext/>
      </w:pPr>
      <w:r>
        <w:t>4.4 PU-Mean Teacher detector</w:t>
      </w:r>
    </w:p>
    <w:p>
      <w:pPr>
        <w:spacing w:after="120" w:line="264" w:lineRule="auto"/>
      </w:pPr>
      <w:r>
        <w:rPr>
          <w:rFonts w:ascii="Calibri" w:hAnsi="Calibri"/>
          <w:b w:val="0"/>
          <w:i w:val="0"/>
          <w:color w:val="000000"/>
          <w:sz w:val="21"/>
        </w:rPr>
        <w:t>The combined model adds a sigmoid-ramped consistency loss to nnPU risk. A student receives stronger feature masking while an exponential-moving-average teacher receives a weaker view. Teacher probabilities contribute only when confidence exceeds 0.80. This differs from ordinary self-training: pseudo-label consistency supplements a valid PU objective and the unlabeled pool is never assigned a negative classification target.</w:t>
      </w:r>
    </w:p>
    <w:p>
      <w:pPr>
        <w:pStyle w:val="Heading2"/>
        <w:keepNext/>
      </w:pPr>
      <w:r>
        <w:t>4.5 Class-prior estimation</w:t>
      </w:r>
    </w:p>
    <w:p>
      <w:pPr>
        <w:spacing w:after="120" w:line="264" w:lineRule="auto"/>
      </w:pPr>
      <w:r>
        <w:rPr>
          <w:rFonts w:ascii="Calibri" w:hAnsi="Calibri"/>
          <w:b w:val="0"/>
          <w:i w:val="0"/>
          <w:color w:val="000000"/>
          <w:sz w:val="21"/>
        </w:rPr>
        <w:t>The notebook reported the true training prevalence only as a non-deployable oracle reference. A training-only Elkan-Noto-style estimate used out-of-fold probabilities for observed positive selection. Estimated priors increased from 0.063 at 1% revealed positives to 0.200 at 20%, while the oracle prevalence was 0.364. The gap demonstrates substantial prior-estimation bias in this quick-mode setup.</w:t>
      </w:r>
    </w:p>
    <w:p>
      <w:pPr>
        <w:pStyle w:val="Heading1"/>
        <w:keepNext/>
      </w:pPr>
      <w:r>
        <w:t>5. In-domain results</w:t>
      </w:r>
    </w:p>
    <w:tbl>
      <w:tblPr>
        <w:tblStyle w:val="TableGrid"/>
        <w:tblW w:type="dxa" w:w="9360"/>
        <w:tblLayout w:type="fixed"/>
        <w:tblLook w:firstColumn="1" w:firstRow="1" w:lastColumn="0" w:lastRow="0" w:noHBand="0" w:noVBand="1" w:val="04A0"/>
        <w:jc w:val="center"/>
        <w:tblInd w:w="120" w:type="dxa"/>
      </w:tblPr>
      <w:tblGrid>
        <w:gridCol w:w="2900"/>
        <w:gridCol w:w="1100"/>
        <w:gridCol w:w="900"/>
        <w:gridCol w:w="1100"/>
        <w:gridCol w:w="1100"/>
        <w:gridCol w:w="1100"/>
        <w:gridCol w:w="1160"/>
      </w:tblGrid>
      <w:tr>
        <w:trPr>
          <w:tblHeader w:val="true"/>
        </w:trPr>
        <w:tc>
          <w:tcPr>
            <w:tcW w:type="dxa" w:w="2900"/>
            <w:vAlign w:val="center"/>
            <w:tcMar>
              <w:top w:w="80" w:type="dxa"/>
              <w:start w:w="120" w:type="dxa"/>
              <w:bottom w:w="80" w:type="dxa"/>
              <w:end w:w="120" w:type="dxa"/>
            </w:tcMar>
            <w:shd w:fill="F2F4F7"/>
          </w:tcPr>
          <w:p>
            <w:pPr>
              <w:spacing w:after="0"/>
              <w:jc w:val="center"/>
            </w:pPr>
            <w:r>
              <w:rPr>
                <w:rFonts w:ascii="Calibri" w:hAnsi="Calibri"/>
                <w:b/>
                <w:i w:val="0"/>
                <w:color w:val="1F4D78"/>
                <w:sz w:val="18"/>
              </w:rPr>
              <w:t>Method</w:t>
            </w:r>
          </w:p>
        </w:tc>
        <w:tc>
          <w:tcPr>
            <w:tcW w:type="dxa" w:w="1100"/>
            <w:vAlign w:val="center"/>
            <w:tcMar>
              <w:top w:w="80" w:type="dxa"/>
              <w:start w:w="120" w:type="dxa"/>
              <w:bottom w:w="80" w:type="dxa"/>
              <w:end w:w="120" w:type="dxa"/>
            </w:tcMar>
            <w:shd w:fill="F2F4F7"/>
          </w:tcPr>
          <w:p>
            <w:pPr>
              <w:spacing w:after="0"/>
              <w:jc w:val="center"/>
            </w:pPr>
            <w:r>
              <w:rPr>
                <w:rFonts w:ascii="Calibri" w:hAnsi="Calibri"/>
                <w:b/>
                <w:i w:val="0"/>
                <w:color w:val="1F4D78"/>
                <w:sz w:val="18"/>
              </w:rPr>
              <w:t>P revealed</w:t>
            </w:r>
          </w:p>
        </w:tc>
        <w:tc>
          <w:tcPr>
            <w:tcW w:type="dxa" w:w="900"/>
            <w:vAlign w:val="center"/>
            <w:tcMar>
              <w:top w:w="80" w:type="dxa"/>
              <w:start w:w="120" w:type="dxa"/>
              <w:bottom w:w="80" w:type="dxa"/>
              <w:end w:w="120" w:type="dxa"/>
            </w:tcMar>
            <w:shd w:fill="F2F4F7"/>
          </w:tcPr>
          <w:p>
            <w:pPr>
              <w:spacing w:after="0"/>
              <w:jc w:val="center"/>
            </w:pPr>
            <w:r>
              <w:rPr>
                <w:rFonts w:ascii="Calibri" w:hAnsi="Calibri"/>
                <w:b/>
                <w:i w:val="0"/>
                <w:color w:val="1F4D78"/>
                <w:sz w:val="18"/>
              </w:rPr>
              <w:t>F1</w:t>
            </w:r>
          </w:p>
        </w:tc>
        <w:tc>
          <w:tcPr>
            <w:tcW w:type="dxa" w:w="1100"/>
            <w:vAlign w:val="center"/>
            <w:tcMar>
              <w:top w:w="80" w:type="dxa"/>
              <w:start w:w="120" w:type="dxa"/>
              <w:bottom w:w="80" w:type="dxa"/>
              <w:end w:w="120" w:type="dxa"/>
            </w:tcMar>
            <w:shd w:fill="F2F4F7"/>
          </w:tcPr>
          <w:p>
            <w:pPr>
              <w:spacing w:after="0"/>
              <w:jc w:val="center"/>
            </w:pPr>
            <w:r>
              <w:rPr>
                <w:rFonts w:ascii="Calibri" w:hAnsi="Calibri"/>
                <w:b/>
                <w:i w:val="0"/>
                <w:color w:val="1F4D78"/>
                <w:sz w:val="18"/>
              </w:rPr>
              <w:t>Macro F1</w:t>
            </w:r>
          </w:p>
        </w:tc>
        <w:tc>
          <w:tcPr>
            <w:tcW w:type="dxa" w:w="1100"/>
            <w:vAlign w:val="center"/>
            <w:tcMar>
              <w:top w:w="80" w:type="dxa"/>
              <w:start w:w="120" w:type="dxa"/>
              <w:bottom w:w="80" w:type="dxa"/>
              <w:end w:w="120" w:type="dxa"/>
            </w:tcMar>
            <w:shd w:fill="F2F4F7"/>
          </w:tcPr>
          <w:p>
            <w:pPr>
              <w:spacing w:after="0"/>
              <w:jc w:val="center"/>
            </w:pPr>
            <w:r>
              <w:rPr>
                <w:rFonts w:ascii="Calibri" w:hAnsi="Calibri"/>
                <w:b/>
                <w:i w:val="0"/>
                <w:color w:val="1F4D78"/>
                <w:sz w:val="18"/>
              </w:rPr>
              <w:t>PR-AUC</w:t>
            </w:r>
          </w:p>
        </w:tc>
        <w:tc>
          <w:tcPr>
            <w:tcW w:type="dxa" w:w="1100"/>
            <w:vAlign w:val="center"/>
            <w:tcMar>
              <w:top w:w="80" w:type="dxa"/>
              <w:start w:w="120" w:type="dxa"/>
              <w:bottom w:w="80" w:type="dxa"/>
              <w:end w:w="120" w:type="dxa"/>
            </w:tcMar>
            <w:shd w:fill="F2F4F7"/>
          </w:tcPr>
          <w:p>
            <w:pPr>
              <w:spacing w:after="0"/>
              <w:jc w:val="center"/>
            </w:pPr>
            <w:r>
              <w:rPr>
                <w:rFonts w:ascii="Calibri" w:hAnsi="Calibri"/>
                <w:b/>
                <w:i w:val="0"/>
                <w:color w:val="1F4D78"/>
                <w:sz w:val="18"/>
              </w:rPr>
              <w:t>ROC-AUC</w:t>
            </w:r>
          </w:p>
        </w:tc>
        <w:tc>
          <w:tcPr>
            <w:tcW w:type="dxa" w:w="1160"/>
            <w:vAlign w:val="center"/>
            <w:tcMar>
              <w:top w:w="80" w:type="dxa"/>
              <w:start w:w="120" w:type="dxa"/>
              <w:bottom w:w="80" w:type="dxa"/>
              <w:end w:w="120" w:type="dxa"/>
            </w:tcMar>
            <w:shd w:fill="F2F4F7"/>
          </w:tcPr>
          <w:p>
            <w:pPr>
              <w:spacing w:after="0"/>
              <w:jc w:val="center"/>
            </w:pPr>
            <w:r>
              <w:rPr>
                <w:rFonts w:ascii="Calibri" w:hAnsi="Calibri"/>
                <w:b/>
                <w:i w:val="0"/>
                <w:color w:val="1F4D78"/>
                <w:sz w:val="18"/>
              </w:rPr>
              <w:t>MCC</w:t>
            </w:r>
          </w:p>
        </w:tc>
      </w:tr>
      <w:tr>
        <w:tc>
          <w:tcPr>
            <w:tcW w:type="dxa" w:w="2900"/>
            <w:vAlign w:val="center"/>
            <w:tcMar>
              <w:top w:w="80" w:type="dxa"/>
              <w:start w:w="120" w:type="dxa"/>
              <w:bottom w:w="80" w:type="dxa"/>
              <w:end w:w="120" w:type="dxa"/>
            </w:tcMar>
          </w:tcPr>
          <w:p>
            <w:pPr>
              <w:spacing w:after="0"/>
              <w:jc w:val="left"/>
            </w:pPr>
            <w:r>
              <w:rPr>
                <w:rFonts w:ascii="Calibri" w:hAnsi="Calibri"/>
                <w:b w:val="0"/>
                <w:i w:val="0"/>
                <w:color w:val="000000"/>
                <w:sz w:val="18"/>
              </w:rPr>
              <w:t>Majority</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100%</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0.000</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0.389</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0.364</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0.500</w:t>
            </w:r>
          </w:p>
        </w:tc>
        <w:tc>
          <w:tcPr>
            <w:tcW w:type="dxa" w:w="1160"/>
            <w:vAlign w:val="center"/>
            <w:tcMar>
              <w:top w:w="80" w:type="dxa"/>
              <w:start w:w="120" w:type="dxa"/>
              <w:bottom w:w="80" w:type="dxa"/>
              <w:end w:w="120" w:type="dxa"/>
            </w:tcMar>
          </w:tcPr>
          <w:p>
            <w:pPr>
              <w:spacing w:after="0"/>
              <w:jc w:val="right"/>
            </w:pPr>
            <w:r>
              <w:rPr>
                <w:rFonts w:ascii="Calibri" w:hAnsi="Calibri"/>
                <w:b w:val="0"/>
                <w:i w:val="0"/>
                <w:color w:val="000000"/>
                <w:sz w:val="18"/>
              </w:rPr>
              <w:t>0.000</w:t>
            </w:r>
          </w:p>
        </w:tc>
      </w:tr>
      <w:tr>
        <w:tc>
          <w:tcPr>
            <w:tcW w:type="dxa" w:w="2900"/>
            <w:vAlign w:val="center"/>
            <w:tcMar>
              <w:top w:w="80" w:type="dxa"/>
              <w:start w:w="120" w:type="dxa"/>
              <w:bottom w:w="80" w:type="dxa"/>
              <w:end w:w="120" w:type="dxa"/>
            </w:tcMar>
          </w:tcPr>
          <w:p>
            <w:pPr>
              <w:spacing w:after="0"/>
              <w:jc w:val="left"/>
            </w:pPr>
            <w:r>
              <w:rPr>
                <w:rFonts w:ascii="Calibri" w:hAnsi="Calibri"/>
                <w:b w:val="0"/>
                <w:i w:val="0"/>
                <w:color w:val="000000"/>
                <w:sz w:val="18"/>
              </w:rPr>
              <w:t>Naive U-as-negative</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1%</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0.546</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0.390</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0.442</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0.588</w:t>
            </w:r>
          </w:p>
        </w:tc>
        <w:tc>
          <w:tcPr>
            <w:tcW w:type="dxa" w:w="1160"/>
            <w:vAlign w:val="center"/>
            <w:tcMar>
              <w:top w:w="80" w:type="dxa"/>
              <w:start w:w="120" w:type="dxa"/>
              <w:bottom w:w="80" w:type="dxa"/>
              <w:end w:w="120" w:type="dxa"/>
            </w:tcMar>
          </w:tcPr>
          <w:p>
            <w:pPr>
              <w:spacing w:after="0"/>
              <w:jc w:val="right"/>
            </w:pPr>
            <w:r>
              <w:rPr>
                <w:rFonts w:ascii="Calibri" w:hAnsi="Calibri"/>
                <w:b w:val="0"/>
                <w:i w:val="0"/>
                <w:color w:val="000000"/>
                <w:sz w:val="18"/>
              </w:rPr>
              <w:t>0.123</w:t>
            </w:r>
          </w:p>
        </w:tc>
      </w:tr>
      <w:tr>
        <w:tc>
          <w:tcPr>
            <w:tcW w:type="dxa" w:w="2900"/>
            <w:vAlign w:val="center"/>
            <w:tcMar>
              <w:top w:w="80" w:type="dxa"/>
              <w:start w:w="120" w:type="dxa"/>
              <w:bottom w:w="80" w:type="dxa"/>
              <w:end w:w="120" w:type="dxa"/>
            </w:tcMar>
          </w:tcPr>
          <w:p>
            <w:pPr>
              <w:spacing w:after="0"/>
              <w:jc w:val="left"/>
            </w:pPr>
            <w:r>
              <w:rPr>
                <w:rFonts w:ascii="Calibri" w:hAnsi="Calibri"/>
                <w:b w:val="0"/>
                <w:i w:val="0"/>
                <w:color w:val="000000"/>
                <w:sz w:val="18"/>
              </w:rPr>
              <w:t>nnPU</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1%</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0.544</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0.463</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0.457</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0.616</w:t>
            </w:r>
          </w:p>
        </w:tc>
        <w:tc>
          <w:tcPr>
            <w:tcW w:type="dxa" w:w="1160"/>
            <w:vAlign w:val="center"/>
            <w:tcMar>
              <w:top w:w="80" w:type="dxa"/>
              <w:start w:w="120" w:type="dxa"/>
              <w:bottom w:w="80" w:type="dxa"/>
              <w:end w:w="120" w:type="dxa"/>
            </w:tcMar>
          </w:tcPr>
          <w:p>
            <w:pPr>
              <w:spacing w:after="0"/>
              <w:jc w:val="right"/>
            </w:pPr>
            <w:r>
              <w:rPr>
                <w:rFonts w:ascii="Calibri" w:hAnsi="Calibri"/>
                <w:b w:val="0"/>
                <w:i w:val="0"/>
                <w:color w:val="000000"/>
                <w:sz w:val="18"/>
              </w:rPr>
              <w:t>0.134</w:t>
            </w:r>
          </w:p>
        </w:tc>
      </w:tr>
      <w:tr>
        <w:tc>
          <w:tcPr>
            <w:tcW w:type="dxa" w:w="2900"/>
            <w:vAlign w:val="center"/>
            <w:tcMar>
              <w:top w:w="80" w:type="dxa"/>
              <w:start w:w="120" w:type="dxa"/>
              <w:bottom w:w="80" w:type="dxa"/>
              <w:end w:w="120" w:type="dxa"/>
            </w:tcMar>
          </w:tcPr>
          <w:p>
            <w:pPr>
              <w:spacing w:after="0"/>
              <w:jc w:val="left"/>
            </w:pPr>
            <w:r>
              <w:rPr>
                <w:rFonts w:ascii="Calibri" w:hAnsi="Calibri"/>
                <w:b w:val="0"/>
                <w:i w:val="0"/>
                <w:color w:val="000000"/>
                <w:sz w:val="18"/>
              </w:rPr>
              <w:t>PU-Mean Teacher</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1%</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0.545</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0.412</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0.442</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0.607</w:t>
            </w:r>
          </w:p>
        </w:tc>
        <w:tc>
          <w:tcPr>
            <w:tcW w:type="dxa" w:w="1160"/>
            <w:vAlign w:val="center"/>
            <w:tcMar>
              <w:top w:w="80" w:type="dxa"/>
              <w:start w:w="120" w:type="dxa"/>
              <w:bottom w:w="80" w:type="dxa"/>
              <w:end w:w="120" w:type="dxa"/>
            </w:tcMar>
          </w:tcPr>
          <w:p>
            <w:pPr>
              <w:spacing w:after="0"/>
              <w:jc w:val="right"/>
            </w:pPr>
            <w:r>
              <w:rPr>
                <w:rFonts w:ascii="Calibri" w:hAnsi="Calibri"/>
                <w:b w:val="0"/>
                <w:i w:val="0"/>
                <w:color w:val="000000"/>
                <w:sz w:val="18"/>
              </w:rPr>
              <w:t>0.123</w:t>
            </w:r>
          </w:p>
        </w:tc>
      </w:tr>
      <w:tr>
        <w:tc>
          <w:tcPr>
            <w:tcW w:type="dxa" w:w="2900"/>
            <w:vAlign w:val="center"/>
            <w:tcMar>
              <w:top w:w="80" w:type="dxa"/>
              <w:start w:w="120" w:type="dxa"/>
              <w:bottom w:w="80" w:type="dxa"/>
              <w:end w:w="120" w:type="dxa"/>
            </w:tcMar>
          </w:tcPr>
          <w:p>
            <w:pPr>
              <w:spacing w:after="0"/>
              <w:jc w:val="left"/>
            </w:pPr>
            <w:r>
              <w:rPr>
                <w:rFonts w:ascii="Calibri" w:hAnsi="Calibri"/>
                <w:b w:val="0"/>
                <w:i w:val="0"/>
                <w:color w:val="000000"/>
                <w:sz w:val="18"/>
              </w:rPr>
              <w:t>Naive U-as-negative</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5%</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0.580</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0.552</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0.565</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0.690</w:t>
            </w:r>
          </w:p>
        </w:tc>
        <w:tc>
          <w:tcPr>
            <w:tcW w:type="dxa" w:w="1160"/>
            <w:vAlign w:val="center"/>
            <w:tcMar>
              <w:top w:w="80" w:type="dxa"/>
              <w:start w:w="120" w:type="dxa"/>
              <w:bottom w:w="80" w:type="dxa"/>
              <w:end w:w="120" w:type="dxa"/>
            </w:tcMar>
          </w:tcPr>
          <w:p>
            <w:pPr>
              <w:spacing w:after="0"/>
              <w:jc w:val="right"/>
            </w:pPr>
            <w:r>
              <w:rPr>
                <w:rFonts w:ascii="Calibri" w:hAnsi="Calibri"/>
                <w:b w:val="0"/>
                <w:i w:val="0"/>
                <w:color w:val="000000"/>
                <w:sz w:val="18"/>
              </w:rPr>
              <w:t>0.243</w:t>
            </w:r>
          </w:p>
        </w:tc>
      </w:tr>
      <w:tr>
        <w:tc>
          <w:tcPr>
            <w:tcW w:type="dxa" w:w="2900"/>
            <w:vAlign w:val="center"/>
            <w:tcMar>
              <w:top w:w="80" w:type="dxa"/>
              <w:start w:w="120" w:type="dxa"/>
              <w:bottom w:w="80" w:type="dxa"/>
              <w:end w:w="120" w:type="dxa"/>
            </w:tcMar>
          </w:tcPr>
          <w:p>
            <w:pPr>
              <w:spacing w:after="0"/>
              <w:jc w:val="left"/>
            </w:pPr>
            <w:r>
              <w:rPr>
                <w:rFonts w:ascii="Calibri" w:hAnsi="Calibri"/>
                <w:b w:val="0"/>
                <w:i w:val="0"/>
                <w:color w:val="000000"/>
                <w:sz w:val="18"/>
              </w:rPr>
              <w:t>nnPU</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5%</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0.602</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0.636</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0.550</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0.715</w:t>
            </w:r>
          </w:p>
        </w:tc>
        <w:tc>
          <w:tcPr>
            <w:tcW w:type="dxa" w:w="1160"/>
            <w:vAlign w:val="center"/>
            <w:tcMar>
              <w:top w:w="80" w:type="dxa"/>
              <w:start w:w="120" w:type="dxa"/>
              <w:bottom w:w="80" w:type="dxa"/>
              <w:end w:w="120" w:type="dxa"/>
            </w:tcMar>
          </w:tcPr>
          <w:p>
            <w:pPr>
              <w:spacing w:after="0"/>
              <w:jc w:val="right"/>
            </w:pPr>
            <w:r>
              <w:rPr>
                <w:rFonts w:ascii="Calibri" w:hAnsi="Calibri"/>
                <w:b w:val="0"/>
                <w:i w:val="0"/>
                <w:color w:val="000000"/>
                <w:sz w:val="18"/>
              </w:rPr>
              <w:t>0.314</w:t>
            </w:r>
          </w:p>
        </w:tc>
      </w:tr>
      <w:tr>
        <w:tc>
          <w:tcPr>
            <w:tcW w:type="dxa" w:w="2900"/>
            <w:vAlign w:val="center"/>
            <w:tcMar>
              <w:top w:w="80" w:type="dxa"/>
              <w:start w:w="120" w:type="dxa"/>
              <w:bottom w:w="80" w:type="dxa"/>
              <w:end w:w="120" w:type="dxa"/>
            </w:tcMar>
          </w:tcPr>
          <w:p>
            <w:pPr>
              <w:spacing w:after="0"/>
              <w:jc w:val="left"/>
            </w:pPr>
            <w:r>
              <w:rPr>
                <w:rFonts w:ascii="Calibri" w:hAnsi="Calibri"/>
                <w:b w:val="0"/>
                <w:i w:val="0"/>
                <w:color w:val="000000"/>
                <w:sz w:val="18"/>
              </w:rPr>
              <w:t>PU-Mean Teacher</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5%</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0.588</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0.580</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0.518</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0.682</w:t>
            </w:r>
          </w:p>
        </w:tc>
        <w:tc>
          <w:tcPr>
            <w:tcW w:type="dxa" w:w="1160"/>
            <w:vAlign w:val="center"/>
            <w:tcMar>
              <w:top w:w="80" w:type="dxa"/>
              <w:start w:w="120" w:type="dxa"/>
              <w:bottom w:w="80" w:type="dxa"/>
              <w:end w:w="120" w:type="dxa"/>
            </w:tcMar>
          </w:tcPr>
          <w:p>
            <w:pPr>
              <w:spacing w:after="0"/>
              <w:jc w:val="right"/>
            </w:pPr>
            <w:r>
              <w:rPr>
                <w:rFonts w:ascii="Calibri" w:hAnsi="Calibri"/>
                <w:b w:val="0"/>
                <w:i w:val="0"/>
                <w:color w:val="000000"/>
                <w:sz w:val="18"/>
              </w:rPr>
              <w:t>0.267</w:t>
            </w:r>
          </w:p>
        </w:tc>
      </w:tr>
      <w:tr>
        <w:tc>
          <w:tcPr>
            <w:tcW w:type="dxa" w:w="2900"/>
            <w:vAlign w:val="center"/>
            <w:tcMar>
              <w:top w:w="80" w:type="dxa"/>
              <w:start w:w="120" w:type="dxa"/>
              <w:bottom w:w="80" w:type="dxa"/>
              <w:end w:w="120" w:type="dxa"/>
            </w:tcMar>
          </w:tcPr>
          <w:p>
            <w:pPr>
              <w:spacing w:after="0"/>
              <w:jc w:val="left"/>
            </w:pPr>
            <w:r>
              <w:rPr>
                <w:rFonts w:ascii="Calibri" w:hAnsi="Calibri"/>
                <w:b w:val="0"/>
                <w:i w:val="0"/>
                <w:color w:val="000000"/>
                <w:sz w:val="18"/>
              </w:rPr>
              <w:t>Naive U-as-negative</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10%</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0.625</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0.629</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0.597</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0.741</w:t>
            </w:r>
          </w:p>
        </w:tc>
        <w:tc>
          <w:tcPr>
            <w:tcW w:type="dxa" w:w="1160"/>
            <w:vAlign w:val="center"/>
            <w:tcMar>
              <w:top w:w="80" w:type="dxa"/>
              <w:start w:w="120" w:type="dxa"/>
              <w:bottom w:w="80" w:type="dxa"/>
              <w:end w:w="120" w:type="dxa"/>
            </w:tcMar>
          </w:tcPr>
          <w:p>
            <w:pPr>
              <w:spacing w:after="0"/>
              <w:jc w:val="right"/>
            </w:pPr>
            <w:r>
              <w:rPr>
                <w:rFonts w:ascii="Calibri" w:hAnsi="Calibri"/>
                <w:b w:val="0"/>
                <w:i w:val="0"/>
                <w:color w:val="000000"/>
                <w:sz w:val="18"/>
              </w:rPr>
              <w:t>0.350</w:t>
            </w:r>
          </w:p>
        </w:tc>
      </w:tr>
      <w:tr>
        <w:tc>
          <w:tcPr>
            <w:tcW w:type="dxa" w:w="2900"/>
            <w:vAlign w:val="center"/>
            <w:tcMar>
              <w:top w:w="80" w:type="dxa"/>
              <w:start w:w="120" w:type="dxa"/>
              <w:bottom w:w="80" w:type="dxa"/>
              <w:end w:w="120" w:type="dxa"/>
            </w:tcMar>
          </w:tcPr>
          <w:p>
            <w:pPr>
              <w:spacing w:after="0"/>
              <w:jc w:val="left"/>
            </w:pPr>
            <w:r>
              <w:rPr>
                <w:rFonts w:ascii="Calibri" w:hAnsi="Calibri"/>
                <w:b w:val="0"/>
                <w:i w:val="0"/>
                <w:color w:val="000000"/>
                <w:sz w:val="18"/>
              </w:rPr>
              <w:t>nnPU</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10%</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0.628</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0.649</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0.603</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0.756</w:t>
            </w:r>
          </w:p>
        </w:tc>
        <w:tc>
          <w:tcPr>
            <w:tcW w:type="dxa" w:w="1160"/>
            <w:vAlign w:val="center"/>
            <w:tcMar>
              <w:top w:w="80" w:type="dxa"/>
              <w:start w:w="120" w:type="dxa"/>
              <w:bottom w:w="80" w:type="dxa"/>
              <w:end w:w="120" w:type="dxa"/>
            </w:tcMar>
          </w:tcPr>
          <w:p>
            <w:pPr>
              <w:spacing w:after="0"/>
              <w:jc w:val="right"/>
            </w:pPr>
            <w:r>
              <w:rPr>
                <w:rFonts w:ascii="Calibri" w:hAnsi="Calibri"/>
                <w:b w:val="0"/>
                <w:i w:val="0"/>
                <w:color w:val="000000"/>
                <w:sz w:val="18"/>
              </w:rPr>
              <w:t>0.360</w:t>
            </w:r>
          </w:p>
        </w:tc>
      </w:tr>
      <w:tr>
        <w:tc>
          <w:tcPr>
            <w:tcW w:type="dxa" w:w="2900"/>
            <w:vAlign w:val="center"/>
            <w:tcMar>
              <w:top w:w="80" w:type="dxa"/>
              <w:start w:w="120" w:type="dxa"/>
              <w:bottom w:w="80" w:type="dxa"/>
              <w:end w:w="120" w:type="dxa"/>
            </w:tcMar>
          </w:tcPr>
          <w:p>
            <w:pPr>
              <w:spacing w:after="0"/>
              <w:jc w:val="left"/>
            </w:pPr>
            <w:r>
              <w:rPr>
                <w:rFonts w:ascii="Calibri" w:hAnsi="Calibri"/>
                <w:b w:val="0"/>
                <w:i w:val="0"/>
                <w:color w:val="000000"/>
                <w:sz w:val="18"/>
              </w:rPr>
              <w:t>PU-Mean Teacher</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10%</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0.617</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0.643</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0.577</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0.733</w:t>
            </w:r>
          </w:p>
        </w:tc>
        <w:tc>
          <w:tcPr>
            <w:tcW w:type="dxa" w:w="1160"/>
            <w:vAlign w:val="center"/>
            <w:tcMar>
              <w:top w:w="80" w:type="dxa"/>
              <w:start w:w="120" w:type="dxa"/>
              <w:bottom w:w="80" w:type="dxa"/>
              <w:end w:w="120" w:type="dxa"/>
            </w:tcMar>
          </w:tcPr>
          <w:p>
            <w:pPr>
              <w:spacing w:after="0"/>
              <w:jc w:val="right"/>
            </w:pPr>
            <w:r>
              <w:rPr>
                <w:rFonts w:ascii="Calibri" w:hAnsi="Calibri"/>
                <w:b w:val="0"/>
                <w:i w:val="0"/>
                <w:color w:val="000000"/>
                <w:sz w:val="18"/>
              </w:rPr>
              <w:t>0.340</w:t>
            </w:r>
          </w:p>
        </w:tc>
      </w:tr>
      <w:tr>
        <w:tc>
          <w:tcPr>
            <w:tcW w:type="dxa" w:w="2900"/>
            <w:vAlign w:val="center"/>
            <w:tcMar>
              <w:top w:w="80" w:type="dxa"/>
              <w:start w:w="120" w:type="dxa"/>
              <w:bottom w:w="80" w:type="dxa"/>
              <w:end w:w="120" w:type="dxa"/>
            </w:tcMar>
          </w:tcPr>
          <w:p>
            <w:pPr>
              <w:spacing w:after="0"/>
              <w:jc w:val="left"/>
            </w:pPr>
            <w:r>
              <w:rPr>
                <w:rFonts w:ascii="Calibri" w:hAnsi="Calibri"/>
                <w:b w:val="0"/>
                <w:i w:val="0"/>
                <w:color w:val="000000"/>
                <w:sz w:val="18"/>
              </w:rPr>
              <w:t>Naive U-as-negative</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20%</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0.627</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0.668</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0.647</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0.769</w:t>
            </w:r>
          </w:p>
        </w:tc>
        <w:tc>
          <w:tcPr>
            <w:tcW w:type="dxa" w:w="1160"/>
            <w:vAlign w:val="center"/>
            <w:tcMar>
              <w:top w:w="80" w:type="dxa"/>
              <w:start w:w="120" w:type="dxa"/>
              <w:bottom w:w="80" w:type="dxa"/>
              <w:end w:w="120" w:type="dxa"/>
            </w:tcMar>
          </w:tcPr>
          <w:p>
            <w:pPr>
              <w:spacing w:after="0"/>
              <w:jc w:val="right"/>
            </w:pPr>
            <w:r>
              <w:rPr>
                <w:rFonts w:ascii="Calibri" w:hAnsi="Calibri"/>
                <w:b w:val="0"/>
                <w:i w:val="0"/>
                <w:color w:val="000000"/>
                <w:sz w:val="18"/>
              </w:rPr>
              <w:t>0.367</w:t>
            </w:r>
          </w:p>
        </w:tc>
      </w:tr>
      <w:tr>
        <w:tc>
          <w:tcPr>
            <w:tcW w:type="dxa" w:w="2900"/>
            <w:vAlign w:val="center"/>
            <w:tcMar>
              <w:top w:w="80" w:type="dxa"/>
              <w:start w:w="120" w:type="dxa"/>
              <w:bottom w:w="80" w:type="dxa"/>
              <w:end w:w="120" w:type="dxa"/>
            </w:tcMar>
          </w:tcPr>
          <w:p>
            <w:pPr>
              <w:spacing w:after="0"/>
              <w:jc w:val="left"/>
            </w:pPr>
            <w:r>
              <w:rPr>
                <w:rFonts w:ascii="Calibri" w:hAnsi="Calibri"/>
                <w:b w:val="0"/>
                <w:i w:val="0"/>
                <w:color w:val="000000"/>
                <w:sz w:val="18"/>
              </w:rPr>
              <w:t>nnPU</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20%</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0.653</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0.658</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0.632</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0.774</w:t>
            </w:r>
          </w:p>
        </w:tc>
        <w:tc>
          <w:tcPr>
            <w:tcW w:type="dxa" w:w="1160"/>
            <w:vAlign w:val="center"/>
            <w:tcMar>
              <w:top w:w="80" w:type="dxa"/>
              <w:start w:w="120" w:type="dxa"/>
              <w:bottom w:w="80" w:type="dxa"/>
              <w:end w:w="120" w:type="dxa"/>
            </w:tcMar>
          </w:tcPr>
          <w:p>
            <w:pPr>
              <w:spacing w:after="0"/>
              <w:jc w:val="right"/>
            </w:pPr>
            <w:r>
              <w:rPr>
                <w:rFonts w:ascii="Calibri" w:hAnsi="Calibri"/>
                <w:b w:val="0"/>
                <w:i w:val="0"/>
                <w:color w:val="000000"/>
                <w:sz w:val="18"/>
              </w:rPr>
              <w:t>0.408</w:t>
            </w:r>
          </w:p>
        </w:tc>
      </w:tr>
      <w:tr>
        <w:tc>
          <w:tcPr>
            <w:tcW w:type="dxa" w:w="2900"/>
            <w:vAlign w:val="center"/>
            <w:tcMar>
              <w:top w:w="80" w:type="dxa"/>
              <w:start w:w="120" w:type="dxa"/>
              <w:bottom w:w="80" w:type="dxa"/>
              <w:end w:w="120" w:type="dxa"/>
            </w:tcMar>
          </w:tcPr>
          <w:p>
            <w:pPr>
              <w:spacing w:after="0"/>
              <w:jc w:val="left"/>
            </w:pPr>
            <w:r>
              <w:rPr>
                <w:rFonts w:ascii="Calibri" w:hAnsi="Calibri"/>
                <w:b w:val="0"/>
                <w:i w:val="0"/>
                <w:color w:val="000000"/>
                <w:sz w:val="18"/>
              </w:rPr>
              <w:t>PU-Mean Teacher</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20%</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0.650</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0.658</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0.617</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0.768</w:t>
            </w:r>
          </w:p>
        </w:tc>
        <w:tc>
          <w:tcPr>
            <w:tcW w:type="dxa" w:w="1160"/>
            <w:vAlign w:val="center"/>
            <w:tcMar>
              <w:top w:w="80" w:type="dxa"/>
              <w:start w:w="120" w:type="dxa"/>
              <w:bottom w:w="80" w:type="dxa"/>
              <w:end w:w="120" w:type="dxa"/>
            </w:tcMar>
          </w:tcPr>
          <w:p>
            <w:pPr>
              <w:spacing w:after="0"/>
              <w:jc w:val="right"/>
            </w:pPr>
            <w:r>
              <w:rPr>
                <w:rFonts w:ascii="Calibri" w:hAnsi="Calibri"/>
                <w:b w:val="0"/>
                <w:i w:val="0"/>
                <w:color w:val="000000"/>
                <w:sz w:val="18"/>
              </w:rPr>
              <w:t>0.401</w:t>
            </w:r>
          </w:p>
        </w:tc>
      </w:tr>
      <w:tr>
        <w:tc>
          <w:tcPr>
            <w:tcW w:type="dxa" w:w="2900"/>
            <w:vAlign w:val="center"/>
            <w:tcMar>
              <w:top w:w="80" w:type="dxa"/>
              <w:start w:w="120" w:type="dxa"/>
              <w:bottom w:w="80" w:type="dxa"/>
              <w:end w:w="120" w:type="dxa"/>
            </w:tcMar>
          </w:tcPr>
          <w:p>
            <w:pPr>
              <w:spacing w:after="0"/>
              <w:jc w:val="left"/>
            </w:pPr>
            <w:r>
              <w:rPr>
                <w:rFonts w:ascii="Calibri" w:hAnsi="Calibri"/>
                <w:b w:val="0"/>
                <w:i w:val="0"/>
                <w:color w:val="000000"/>
                <w:sz w:val="18"/>
              </w:rPr>
              <w:t>Supervised TF-IDF upper bound</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100%</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0.712</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0.759</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0.775</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0.861</w:t>
            </w:r>
          </w:p>
        </w:tc>
        <w:tc>
          <w:tcPr>
            <w:tcW w:type="dxa" w:w="1160"/>
            <w:vAlign w:val="center"/>
            <w:tcMar>
              <w:top w:w="80" w:type="dxa"/>
              <w:start w:w="120" w:type="dxa"/>
              <w:bottom w:w="80" w:type="dxa"/>
              <w:end w:w="120" w:type="dxa"/>
            </w:tcMar>
          </w:tcPr>
          <w:p>
            <w:pPr>
              <w:spacing w:after="0"/>
              <w:jc w:val="right"/>
            </w:pPr>
            <w:r>
              <w:rPr>
                <w:rFonts w:ascii="Calibri" w:hAnsi="Calibri"/>
                <w:b w:val="0"/>
                <w:i w:val="0"/>
                <w:color w:val="000000"/>
                <w:sz w:val="18"/>
              </w:rPr>
              <w:t>0.528</w:t>
            </w:r>
          </w:p>
        </w:tc>
      </w:tr>
    </w:tbl>
    <w:p>
      <w:pPr>
        <w:spacing w:after="0"/>
      </w:pPr>
    </w:p>
    <w:p>
      <w:pPr>
        <w:spacing w:after="120" w:line="264" w:lineRule="auto"/>
      </w:pPr>
      <w:r>
        <w:rPr>
          <w:rFonts w:ascii="Calibri" w:hAnsi="Calibri"/>
          <w:b w:val="0"/>
          <w:i w:val="0"/>
          <w:color w:val="000000"/>
          <w:sz w:val="21"/>
        </w:rPr>
        <w:t>At matched label fractions, nnPU improved over the naive comparator most clearly at 5%, 10%, and 20% in F1, balanced ranking, or MCC, but not on every metric. At 10%, nnPU improved F1 by 0.003 and PR-AUC by 0.006. At 20%, it improved F1 by 0.026 and MCC by 0.041, while naive training retained a slightly higher PR-AUC. The combined consistency model did not surpass nnPU at any tested fraction on F1 or PR-AUC in this run.</w:t>
      </w:r>
    </w:p>
    <w:p>
      <w:pPr>
        <w:spacing w:after="120" w:line="264" w:lineRule="auto"/>
      </w:pPr>
      <w:r>
        <w:rPr>
          <w:rFonts w:ascii="Calibri" w:hAnsi="Calibri"/>
          <w:b w:val="0"/>
          <w:i w:val="0"/>
          <w:color w:val="000000"/>
          <w:sz w:val="21"/>
        </w:rPr>
        <w:t>The 10% oracle-prior nnPU reference achieved F1 0.646 and PR-AUC 0.637, compared with F1 0.628 and PR-AUC 0.603 using the training-only estimate. Prior multipliers of 0.75 and 1.25 changed results materially. Positive-prior estimation is therefore not a peripheral detail; it is a central source of deployable-model uncertainty.</w:t>
      </w:r>
    </w:p>
    <w:p>
      <w:pPr>
        <w:jc w:val="center"/>
      </w:pPr>
      <w:r>
        <w:drawing>
          <wp:inline xmlns:a="http://schemas.openxmlformats.org/drawingml/2006/main" xmlns:pic="http://schemas.openxmlformats.org/drawingml/2006/picture">
            <wp:extent cx="5715000" cy="3544747"/>
            <wp:docPr id="3" name="Picture 3" descr="Line chart comparing PR-AUC across revealed-positive fractions for naive, nnPU, and PU-Mean Teacher model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15000" cy="3544747"/>
                    </a:xfrm>
                    <a:prstGeom prst="rect"/>
                  </pic:spPr>
                </pic:pic>
              </a:graphicData>
            </a:graphic>
          </wp:inline>
        </w:drawing>
      </w:r>
    </w:p>
    <w:p>
      <w:pPr>
        <w:spacing w:before="40" w:after="160"/>
        <w:jc w:val="center"/>
      </w:pPr>
      <w:r>
        <w:rPr>
          <w:rFonts w:ascii="Calibri" w:hAnsi="Calibri"/>
          <w:b w:val="0"/>
          <w:i/>
          <w:color w:val="666666"/>
          <w:sz w:val="18"/>
        </w:rPr>
        <w:t>Figure 3. Label-efficiency curves for the naive, nnPU, and PU-Mean Teacher models. Stored notebook output.</w:t>
      </w:r>
    </w:p>
    <w:p>
      <w:pPr>
        <w:pStyle w:val="Heading1"/>
        <w:keepNext/>
      </w:pPr>
      <w:r>
        <w:t>6. Cross-domain evaluation</w:t>
      </w:r>
    </w:p>
    <w:tbl>
      <w:tblPr>
        <w:tblStyle w:val="TableGrid"/>
        <w:tblW w:type="dxa" w:w="9360"/>
        <w:tblLayout w:type="fixed"/>
        <w:tblLook w:firstColumn="1" w:firstRow="1" w:lastColumn="0" w:lastRow="0" w:noHBand="0" w:noVBand="1" w:val="04A0"/>
        <w:jc w:val="center"/>
        <w:tblInd w:w="120" w:type="dxa"/>
      </w:tblPr>
      <w:tblGrid>
        <w:gridCol w:w="1800"/>
        <w:gridCol w:w="2500"/>
        <w:gridCol w:w="900"/>
        <w:gridCol w:w="1100"/>
        <w:gridCol w:w="1000"/>
        <w:gridCol w:w="1000"/>
        <w:gridCol w:w="1060"/>
      </w:tblGrid>
      <w:tr>
        <w:trPr>
          <w:tblHeader w:val="true"/>
        </w:trPr>
        <w:tc>
          <w:tcPr>
            <w:tcW w:type="dxa" w:w="1800"/>
            <w:vAlign w:val="center"/>
            <w:tcMar>
              <w:top w:w="80" w:type="dxa"/>
              <w:start w:w="120" w:type="dxa"/>
              <w:bottom w:w="80" w:type="dxa"/>
              <w:end w:w="120" w:type="dxa"/>
            </w:tcMar>
            <w:shd w:fill="F2F4F7"/>
          </w:tcPr>
          <w:p>
            <w:pPr>
              <w:spacing w:after="0"/>
              <w:jc w:val="center"/>
            </w:pPr>
            <w:r>
              <w:rPr>
                <w:rFonts w:ascii="Calibri" w:hAnsi="Calibri"/>
                <w:b/>
                <w:i w:val="0"/>
                <w:color w:val="1F4D78"/>
                <w:sz w:val="18"/>
              </w:rPr>
              <w:t>Held-out domain</w:t>
            </w:r>
          </w:p>
        </w:tc>
        <w:tc>
          <w:tcPr>
            <w:tcW w:type="dxa" w:w="2500"/>
            <w:vAlign w:val="center"/>
            <w:tcMar>
              <w:top w:w="80" w:type="dxa"/>
              <w:start w:w="120" w:type="dxa"/>
              <w:bottom w:w="80" w:type="dxa"/>
              <w:end w:w="120" w:type="dxa"/>
            </w:tcMar>
            <w:shd w:fill="F2F4F7"/>
          </w:tcPr>
          <w:p>
            <w:pPr>
              <w:spacing w:after="0"/>
              <w:jc w:val="center"/>
            </w:pPr>
            <w:r>
              <w:rPr>
                <w:rFonts w:ascii="Calibri" w:hAnsi="Calibri"/>
                <w:b/>
                <w:i w:val="0"/>
                <w:color w:val="1F4D78"/>
                <w:sz w:val="18"/>
              </w:rPr>
              <w:t>Method</w:t>
            </w:r>
          </w:p>
        </w:tc>
        <w:tc>
          <w:tcPr>
            <w:tcW w:type="dxa" w:w="900"/>
            <w:vAlign w:val="center"/>
            <w:tcMar>
              <w:top w:w="80" w:type="dxa"/>
              <w:start w:w="120" w:type="dxa"/>
              <w:bottom w:w="80" w:type="dxa"/>
              <w:end w:w="120" w:type="dxa"/>
            </w:tcMar>
            <w:shd w:fill="F2F4F7"/>
          </w:tcPr>
          <w:p>
            <w:pPr>
              <w:spacing w:after="0"/>
              <w:jc w:val="center"/>
            </w:pPr>
            <w:r>
              <w:rPr>
                <w:rFonts w:ascii="Calibri" w:hAnsi="Calibri"/>
                <w:b/>
                <w:i w:val="0"/>
                <w:color w:val="1F4D78"/>
                <w:sz w:val="18"/>
              </w:rPr>
              <w:t>F1</w:t>
            </w:r>
          </w:p>
        </w:tc>
        <w:tc>
          <w:tcPr>
            <w:tcW w:type="dxa" w:w="1100"/>
            <w:vAlign w:val="center"/>
            <w:tcMar>
              <w:top w:w="80" w:type="dxa"/>
              <w:start w:w="120" w:type="dxa"/>
              <w:bottom w:w="80" w:type="dxa"/>
              <w:end w:w="120" w:type="dxa"/>
            </w:tcMar>
            <w:shd w:fill="F2F4F7"/>
          </w:tcPr>
          <w:p>
            <w:pPr>
              <w:spacing w:after="0"/>
              <w:jc w:val="center"/>
            </w:pPr>
            <w:r>
              <w:rPr>
                <w:rFonts w:ascii="Calibri" w:hAnsi="Calibri"/>
                <w:b/>
                <w:i w:val="0"/>
                <w:color w:val="1F4D78"/>
                <w:sz w:val="18"/>
              </w:rPr>
              <w:t>Macro F1</w:t>
            </w:r>
          </w:p>
        </w:tc>
        <w:tc>
          <w:tcPr>
            <w:tcW w:type="dxa" w:w="1000"/>
            <w:vAlign w:val="center"/>
            <w:tcMar>
              <w:top w:w="80" w:type="dxa"/>
              <w:start w:w="120" w:type="dxa"/>
              <w:bottom w:w="80" w:type="dxa"/>
              <w:end w:w="120" w:type="dxa"/>
            </w:tcMar>
            <w:shd w:fill="F2F4F7"/>
          </w:tcPr>
          <w:p>
            <w:pPr>
              <w:spacing w:after="0"/>
              <w:jc w:val="center"/>
            </w:pPr>
            <w:r>
              <w:rPr>
                <w:rFonts w:ascii="Calibri" w:hAnsi="Calibri"/>
                <w:b/>
                <w:i w:val="0"/>
                <w:color w:val="1F4D78"/>
                <w:sz w:val="18"/>
              </w:rPr>
              <w:t>PR-AUC</w:t>
            </w:r>
          </w:p>
        </w:tc>
        <w:tc>
          <w:tcPr>
            <w:tcW w:type="dxa" w:w="1000"/>
            <w:vAlign w:val="center"/>
            <w:tcMar>
              <w:top w:w="80" w:type="dxa"/>
              <w:start w:w="120" w:type="dxa"/>
              <w:bottom w:w="80" w:type="dxa"/>
              <w:end w:w="120" w:type="dxa"/>
            </w:tcMar>
            <w:shd w:fill="F2F4F7"/>
          </w:tcPr>
          <w:p>
            <w:pPr>
              <w:spacing w:after="0"/>
              <w:jc w:val="center"/>
            </w:pPr>
            <w:r>
              <w:rPr>
                <w:rFonts w:ascii="Calibri" w:hAnsi="Calibri"/>
                <w:b/>
                <w:i w:val="0"/>
                <w:color w:val="1F4D78"/>
                <w:sz w:val="18"/>
              </w:rPr>
              <w:t>ROC-AUC</w:t>
            </w:r>
          </w:p>
        </w:tc>
        <w:tc>
          <w:tcPr>
            <w:tcW w:type="dxa" w:w="1060"/>
            <w:vAlign w:val="center"/>
            <w:tcMar>
              <w:top w:w="80" w:type="dxa"/>
              <w:start w:w="120" w:type="dxa"/>
              <w:bottom w:w="80" w:type="dxa"/>
              <w:end w:w="120" w:type="dxa"/>
            </w:tcMar>
            <w:shd w:fill="F2F4F7"/>
          </w:tcPr>
          <w:p>
            <w:pPr>
              <w:spacing w:after="0"/>
              <w:jc w:val="center"/>
            </w:pPr>
            <w:r>
              <w:rPr>
                <w:rFonts w:ascii="Calibri" w:hAnsi="Calibri"/>
                <w:b/>
                <w:i w:val="0"/>
                <w:color w:val="1F4D78"/>
                <w:sz w:val="18"/>
              </w:rPr>
              <w:t>MCC</w:t>
            </w:r>
          </w:p>
        </w:tc>
      </w:tr>
      <w:tr>
        <w:tc>
          <w:tcPr>
            <w:tcW w:type="dxa" w:w="1800"/>
            <w:vAlign w:val="center"/>
            <w:tcMar>
              <w:top w:w="80" w:type="dxa"/>
              <w:start w:w="120" w:type="dxa"/>
              <w:bottom w:w="80" w:type="dxa"/>
              <w:end w:w="120" w:type="dxa"/>
            </w:tcMar>
          </w:tcPr>
          <w:p>
            <w:pPr>
              <w:spacing w:after="0"/>
              <w:jc w:val="left"/>
            </w:pPr>
            <w:r>
              <w:rPr>
                <w:rFonts w:ascii="Calibri" w:hAnsi="Calibri"/>
                <w:b w:val="0"/>
                <w:i w:val="0"/>
                <w:color w:val="000000"/>
                <w:sz w:val="18"/>
              </w:rPr>
              <w:t>Job scams</w:t>
            </w:r>
          </w:p>
        </w:tc>
        <w:tc>
          <w:tcPr>
            <w:tcW w:type="dxa" w:w="2500"/>
            <w:vAlign w:val="center"/>
            <w:tcMar>
              <w:top w:w="80" w:type="dxa"/>
              <w:start w:w="120" w:type="dxa"/>
              <w:bottom w:w="80" w:type="dxa"/>
              <w:end w:w="120" w:type="dxa"/>
            </w:tcMar>
          </w:tcPr>
          <w:p>
            <w:pPr>
              <w:spacing w:after="0"/>
              <w:jc w:val="left"/>
            </w:pPr>
            <w:r>
              <w:rPr>
                <w:rFonts w:ascii="Calibri" w:hAnsi="Calibri"/>
                <w:b w:val="0"/>
                <w:i w:val="0"/>
                <w:color w:val="000000"/>
                <w:sz w:val="18"/>
              </w:rPr>
              <w:t>Supervised TF-IDF</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0.089</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0.173</w:t>
            </w:r>
          </w:p>
        </w:tc>
        <w:tc>
          <w:tcPr>
            <w:tcW w:type="dxa" w:w="1000"/>
            <w:vAlign w:val="center"/>
            <w:tcMar>
              <w:top w:w="80" w:type="dxa"/>
              <w:start w:w="120" w:type="dxa"/>
              <w:bottom w:w="80" w:type="dxa"/>
              <w:end w:w="120" w:type="dxa"/>
            </w:tcMar>
          </w:tcPr>
          <w:p>
            <w:pPr>
              <w:spacing w:after="0"/>
              <w:jc w:val="right"/>
            </w:pPr>
            <w:r>
              <w:rPr>
                <w:rFonts w:ascii="Calibri" w:hAnsi="Calibri"/>
                <w:b w:val="0"/>
                <w:i w:val="0"/>
                <w:color w:val="000000"/>
                <w:sz w:val="18"/>
              </w:rPr>
              <w:t>0.061</w:t>
            </w:r>
          </w:p>
        </w:tc>
        <w:tc>
          <w:tcPr>
            <w:tcW w:type="dxa" w:w="1000"/>
            <w:vAlign w:val="center"/>
            <w:tcMar>
              <w:top w:w="80" w:type="dxa"/>
              <w:start w:w="120" w:type="dxa"/>
              <w:bottom w:w="80" w:type="dxa"/>
              <w:end w:w="120" w:type="dxa"/>
            </w:tcMar>
          </w:tcPr>
          <w:p>
            <w:pPr>
              <w:spacing w:after="0"/>
              <w:jc w:val="right"/>
            </w:pPr>
            <w:r>
              <w:rPr>
                <w:rFonts w:ascii="Calibri" w:hAnsi="Calibri"/>
                <w:b w:val="0"/>
                <w:i w:val="0"/>
                <w:color w:val="000000"/>
                <w:sz w:val="18"/>
              </w:rPr>
              <w:t>0.620</w:t>
            </w:r>
          </w:p>
        </w:tc>
        <w:tc>
          <w:tcPr>
            <w:tcW w:type="dxa" w:w="1060"/>
            <w:vAlign w:val="center"/>
            <w:tcMar>
              <w:top w:w="80" w:type="dxa"/>
              <w:start w:w="120" w:type="dxa"/>
              <w:bottom w:w="80" w:type="dxa"/>
              <w:end w:w="120" w:type="dxa"/>
            </w:tcMar>
          </w:tcPr>
          <w:p>
            <w:pPr>
              <w:spacing w:after="0"/>
              <w:jc w:val="right"/>
            </w:pPr>
            <w:r>
              <w:rPr>
                <w:rFonts w:ascii="Calibri" w:hAnsi="Calibri"/>
                <w:b w:val="0"/>
                <w:i w:val="0"/>
                <w:color w:val="000000"/>
                <w:sz w:val="18"/>
              </w:rPr>
              <w:t>0.057</w:t>
            </w:r>
          </w:p>
        </w:tc>
      </w:tr>
      <w:tr>
        <w:tc>
          <w:tcPr>
            <w:tcW w:type="dxa" w:w="1800"/>
            <w:vAlign w:val="center"/>
            <w:tcMar>
              <w:top w:w="80" w:type="dxa"/>
              <w:start w:w="120" w:type="dxa"/>
              <w:bottom w:w="80" w:type="dxa"/>
              <w:end w:w="120" w:type="dxa"/>
            </w:tcMar>
          </w:tcPr>
          <w:p>
            <w:pPr>
              <w:spacing w:after="0"/>
              <w:jc w:val="left"/>
            </w:pPr>
            <w:r>
              <w:rPr>
                <w:rFonts w:ascii="Calibri" w:hAnsi="Calibri"/>
                <w:b w:val="0"/>
                <w:i w:val="0"/>
                <w:color w:val="000000"/>
                <w:sz w:val="18"/>
              </w:rPr>
              <w:t>Job scams</w:t>
            </w:r>
          </w:p>
        </w:tc>
        <w:tc>
          <w:tcPr>
            <w:tcW w:type="dxa" w:w="2500"/>
            <w:vAlign w:val="center"/>
            <w:tcMar>
              <w:top w:w="80" w:type="dxa"/>
              <w:start w:w="120" w:type="dxa"/>
              <w:bottom w:w="80" w:type="dxa"/>
              <w:end w:w="120" w:type="dxa"/>
            </w:tcMar>
          </w:tcPr>
          <w:p>
            <w:pPr>
              <w:spacing w:after="0"/>
              <w:jc w:val="left"/>
            </w:pPr>
            <w:r>
              <w:rPr>
                <w:rFonts w:ascii="Calibri" w:hAnsi="Calibri"/>
                <w:b w:val="0"/>
                <w:i w:val="0"/>
                <w:color w:val="000000"/>
                <w:sz w:val="18"/>
              </w:rPr>
              <w:t>PU-Mean Teacher 10%</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0.085</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0.173</w:t>
            </w:r>
          </w:p>
        </w:tc>
        <w:tc>
          <w:tcPr>
            <w:tcW w:type="dxa" w:w="1000"/>
            <w:vAlign w:val="center"/>
            <w:tcMar>
              <w:top w:w="80" w:type="dxa"/>
              <w:start w:w="120" w:type="dxa"/>
              <w:bottom w:w="80" w:type="dxa"/>
              <w:end w:w="120" w:type="dxa"/>
            </w:tcMar>
          </w:tcPr>
          <w:p>
            <w:pPr>
              <w:spacing w:after="0"/>
              <w:jc w:val="right"/>
            </w:pPr>
            <w:r>
              <w:rPr>
                <w:rFonts w:ascii="Calibri" w:hAnsi="Calibri"/>
                <w:b w:val="0"/>
                <w:i w:val="0"/>
                <w:color w:val="000000"/>
                <w:sz w:val="18"/>
              </w:rPr>
              <w:t>0.096</w:t>
            </w:r>
          </w:p>
        </w:tc>
        <w:tc>
          <w:tcPr>
            <w:tcW w:type="dxa" w:w="1000"/>
            <w:vAlign w:val="center"/>
            <w:tcMar>
              <w:top w:w="80" w:type="dxa"/>
              <w:start w:w="120" w:type="dxa"/>
              <w:bottom w:w="80" w:type="dxa"/>
              <w:end w:w="120" w:type="dxa"/>
            </w:tcMar>
          </w:tcPr>
          <w:p>
            <w:pPr>
              <w:spacing w:after="0"/>
              <w:jc w:val="right"/>
            </w:pPr>
            <w:r>
              <w:rPr>
                <w:rFonts w:ascii="Calibri" w:hAnsi="Calibri"/>
                <w:b w:val="0"/>
                <w:i w:val="0"/>
                <w:color w:val="000000"/>
                <w:sz w:val="18"/>
              </w:rPr>
              <w:t>0.639</w:t>
            </w:r>
          </w:p>
        </w:tc>
        <w:tc>
          <w:tcPr>
            <w:tcW w:type="dxa" w:w="1060"/>
            <w:vAlign w:val="center"/>
            <w:tcMar>
              <w:top w:w="80" w:type="dxa"/>
              <w:start w:w="120" w:type="dxa"/>
              <w:bottom w:w="80" w:type="dxa"/>
              <w:end w:w="120" w:type="dxa"/>
            </w:tcMar>
          </w:tcPr>
          <w:p>
            <w:pPr>
              <w:spacing w:after="0"/>
              <w:jc w:val="right"/>
            </w:pPr>
            <w:r>
              <w:rPr>
                <w:rFonts w:ascii="Calibri" w:hAnsi="Calibri"/>
                <w:b w:val="0"/>
                <w:i w:val="0"/>
                <w:color w:val="000000"/>
                <w:sz w:val="18"/>
              </w:rPr>
              <w:t>0.031</w:t>
            </w:r>
          </w:p>
        </w:tc>
      </w:tr>
      <w:tr>
        <w:tc>
          <w:tcPr>
            <w:tcW w:type="dxa" w:w="1800"/>
            <w:vAlign w:val="center"/>
            <w:tcMar>
              <w:top w:w="80" w:type="dxa"/>
              <w:start w:w="120" w:type="dxa"/>
              <w:bottom w:w="80" w:type="dxa"/>
              <w:end w:w="120" w:type="dxa"/>
            </w:tcMar>
          </w:tcPr>
          <w:p>
            <w:pPr>
              <w:spacing w:after="0"/>
              <w:jc w:val="left"/>
            </w:pPr>
            <w:r>
              <w:rPr>
                <w:rFonts w:ascii="Calibri" w:hAnsi="Calibri"/>
                <w:b w:val="0"/>
                <w:i w:val="0"/>
                <w:color w:val="000000"/>
                <w:sz w:val="18"/>
              </w:rPr>
              <w:t>Product reviews</w:t>
            </w:r>
          </w:p>
        </w:tc>
        <w:tc>
          <w:tcPr>
            <w:tcW w:type="dxa" w:w="2500"/>
            <w:vAlign w:val="center"/>
            <w:tcMar>
              <w:top w:w="80" w:type="dxa"/>
              <w:start w:w="120" w:type="dxa"/>
              <w:bottom w:w="80" w:type="dxa"/>
              <w:end w:w="120" w:type="dxa"/>
            </w:tcMar>
          </w:tcPr>
          <w:p>
            <w:pPr>
              <w:spacing w:after="0"/>
              <w:jc w:val="left"/>
            </w:pPr>
            <w:r>
              <w:rPr>
                <w:rFonts w:ascii="Calibri" w:hAnsi="Calibri"/>
                <w:b w:val="0"/>
                <w:i w:val="0"/>
                <w:color w:val="000000"/>
                <w:sz w:val="18"/>
              </w:rPr>
              <w:t>Supervised TF-IDF</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0.210</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0.416</w:t>
            </w:r>
          </w:p>
        </w:tc>
        <w:tc>
          <w:tcPr>
            <w:tcW w:type="dxa" w:w="1000"/>
            <w:vAlign w:val="center"/>
            <w:tcMar>
              <w:top w:w="80" w:type="dxa"/>
              <w:start w:w="120" w:type="dxa"/>
              <w:bottom w:w="80" w:type="dxa"/>
              <w:end w:w="120" w:type="dxa"/>
            </w:tcMar>
          </w:tcPr>
          <w:p>
            <w:pPr>
              <w:spacing w:after="0"/>
              <w:jc w:val="right"/>
            </w:pPr>
            <w:r>
              <w:rPr>
                <w:rFonts w:ascii="Calibri" w:hAnsi="Calibri"/>
                <w:b w:val="0"/>
                <w:i w:val="0"/>
                <w:color w:val="000000"/>
                <w:sz w:val="18"/>
              </w:rPr>
              <w:t>0.490</w:t>
            </w:r>
          </w:p>
        </w:tc>
        <w:tc>
          <w:tcPr>
            <w:tcW w:type="dxa" w:w="1000"/>
            <w:vAlign w:val="center"/>
            <w:tcMar>
              <w:top w:w="80" w:type="dxa"/>
              <w:start w:w="120" w:type="dxa"/>
              <w:bottom w:w="80" w:type="dxa"/>
              <w:end w:w="120" w:type="dxa"/>
            </w:tcMar>
          </w:tcPr>
          <w:p>
            <w:pPr>
              <w:spacing w:after="0"/>
              <w:jc w:val="right"/>
            </w:pPr>
            <w:r>
              <w:rPr>
                <w:rFonts w:ascii="Calibri" w:hAnsi="Calibri"/>
                <w:b w:val="0"/>
                <w:i w:val="0"/>
                <w:color w:val="000000"/>
                <w:sz w:val="18"/>
              </w:rPr>
              <w:t>0.478</w:t>
            </w:r>
          </w:p>
        </w:tc>
        <w:tc>
          <w:tcPr>
            <w:tcW w:type="dxa" w:w="1060"/>
            <w:vAlign w:val="center"/>
            <w:tcMar>
              <w:top w:w="80" w:type="dxa"/>
              <w:start w:w="120" w:type="dxa"/>
              <w:bottom w:w="80" w:type="dxa"/>
              <w:end w:w="120" w:type="dxa"/>
            </w:tcMar>
          </w:tcPr>
          <w:p>
            <w:pPr>
              <w:spacing w:after="0"/>
              <w:jc w:val="right"/>
            </w:pPr>
            <w:r>
              <w:rPr>
                <w:rFonts w:ascii="Calibri" w:hAnsi="Calibri"/>
                <w:b w:val="0"/>
                <w:i w:val="0"/>
                <w:color w:val="000000"/>
                <w:sz w:val="18"/>
              </w:rPr>
              <w:t>-0.034</w:t>
            </w:r>
          </w:p>
        </w:tc>
      </w:tr>
      <w:tr>
        <w:tc>
          <w:tcPr>
            <w:tcW w:type="dxa" w:w="1800"/>
            <w:vAlign w:val="center"/>
            <w:tcMar>
              <w:top w:w="80" w:type="dxa"/>
              <w:start w:w="120" w:type="dxa"/>
              <w:bottom w:w="80" w:type="dxa"/>
              <w:end w:w="120" w:type="dxa"/>
            </w:tcMar>
          </w:tcPr>
          <w:p>
            <w:pPr>
              <w:spacing w:after="0"/>
              <w:jc w:val="left"/>
            </w:pPr>
            <w:r>
              <w:rPr>
                <w:rFonts w:ascii="Calibri" w:hAnsi="Calibri"/>
                <w:b w:val="0"/>
                <w:i w:val="0"/>
                <w:color w:val="000000"/>
                <w:sz w:val="18"/>
              </w:rPr>
              <w:t>Product reviews</w:t>
            </w:r>
          </w:p>
        </w:tc>
        <w:tc>
          <w:tcPr>
            <w:tcW w:type="dxa" w:w="2500"/>
            <w:vAlign w:val="center"/>
            <w:tcMar>
              <w:top w:w="80" w:type="dxa"/>
              <w:start w:w="120" w:type="dxa"/>
              <w:bottom w:w="80" w:type="dxa"/>
              <w:end w:w="120" w:type="dxa"/>
            </w:tcMar>
          </w:tcPr>
          <w:p>
            <w:pPr>
              <w:spacing w:after="0"/>
              <w:jc w:val="left"/>
            </w:pPr>
            <w:r>
              <w:rPr>
                <w:rFonts w:ascii="Calibri" w:hAnsi="Calibri"/>
                <w:b w:val="0"/>
                <w:i w:val="0"/>
                <w:color w:val="000000"/>
                <w:sz w:val="18"/>
              </w:rPr>
              <w:t>PU-Mean Teacher 10%</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0.536</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0.495</w:t>
            </w:r>
          </w:p>
        </w:tc>
        <w:tc>
          <w:tcPr>
            <w:tcW w:type="dxa" w:w="1000"/>
            <w:vAlign w:val="center"/>
            <w:tcMar>
              <w:top w:w="80" w:type="dxa"/>
              <w:start w:w="120" w:type="dxa"/>
              <w:bottom w:w="80" w:type="dxa"/>
              <w:end w:w="120" w:type="dxa"/>
            </w:tcMar>
          </w:tcPr>
          <w:p>
            <w:pPr>
              <w:spacing w:after="0"/>
              <w:jc w:val="right"/>
            </w:pPr>
            <w:r>
              <w:rPr>
                <w:rFonts w:ascii="Calibri" w:hAnsi="Calibri"/>
                <w:b w:val="0"/>
                <w:i w:val="0"/>
                <w:color w:val="000000"/>
                <w:sz w:val="18"/>
              </w:rPr>
              <w:t>0.482</w:t>
            </w:r>
          </w:p>
        </w:tc>
        <w:tc>
          <w:tcPr>
            <w:tcW w:type="dxa" w:w="1000"/>
            <w:vAlign w:val="center"/>
            <w:tcMar>
              <w:top w:w="80" w:type="dxa"/>
              <w:start w:w="120" w:type="dxa"/>
              <w:bottom w:w="80" w:type="dxa"/>
              <w:end w:w="120" w:type="dxa"/>
            </w:tcMar>
          </w:tcPr>
          <w:p>
            <w:pPr>
              <w:spacing w:after="0"/>
              <w:jc w:val="right"/>
            </w:pPr>
            <w:r>
              <w:rPr>
                <w:rFonts w:ascii="Calibri" w:hAnsi="Calibri"/>
                <w:b w:val="0"/>
                <w:i w:val="0"/>
                <w:color w:val="000000"/>
                <w:sz w:val="18"/>
              </w:rPr>
              <w:t>0.474</w:t>
            </w:r>
          </w:p>
        </w:tc>
        <w:tc>
          <w:tcPr>
            <w:tcW w:type="dxa" w:w="1060"/>
            <w:vAlign w:val="center"/>
            <w:tcMar>
              <w:top w:w="80" w:type="dxa"/>
              <w:start w:w="120" w:type="dxa"/>
              <w:bottom w:w="80" w:type="dxa"/>
              <w:end w:w="120" w:type="dxa"/>
            </w:tcMar>
          </w:tcPr>
          <w:p>
            <w:pPr>
              <w:spacing w:after="0"/>
              <w:jc w:val="right"/>
            </w:pPr>
            <w:r>
              <w:rPr>
                <w:rFonts w:ascii="Calibri" w:hAnsi="Calibri"/>
                <w:b w:val="0"/>
                <w:i w:val="0"/>
                <w:color w:val="000000"/>
                <w:sz w:val="18"/>
              </w:rPr>
              <w:t>-0.004</w:t>
            </w:r>
          </w:p>
        </w:tc>
      </w:tr>
      <w:tr>
        <w:tc>
          <w:tcPr>
            <w:tcW w:type="dxa" w:w="1800"/>
            <w:vAlign w:val="center"/>
            <w:tcMar>
              <w:top w:w="80" w:type="dxa"/>
              <w:start w:w="120" w:type="dxa"/>
              <w:bottom w:w="80" w:type="dxa"/>
              <w:end w:w="120" w:type="dxa"/>
            </w:tcMar>
          </w:tcPr>
          <w:p>
            <w:pPr>
              <w:spacing w:after="0"/>
              <w:jc w:val="left"/>
            </w:pPr>
            <w:r>
              <w:rPr>
                <w:rFonts w:ascii="Calibri" w:hAnsi="Calibri"/>
                <w:b w:val="0"/>
                <w:i w:val="0"/>
                <w:color w:val="000000"/>
                <w:sz w:val="18"/>
              </w:rPr>
              <w:t>Phishing</w:t>
            </w:r>
          </w:p>
        </w:tc>
        <w:tc>
          <w:tcPr>
            <w:tcW w:type="dxa" w:w="2500"/>
            <w:vAlign w:val="center"/>
            <w:tcMar>
              <w:top w:w="80" w:type="dxa"/>
              <w:start w:w="120" w:type="dxa"/>
              <w:bottom w:w="80" w:type="dxa"/>
              <w:end w:w="120" w:type="dxa"/>
            </w:tcMar>
          </w:tcPr>
          <w:p>
            <w:pPr>
              <w:spacing w:after="0"/>
              <w:jc w:val="left"/>
            </w:pPr>
            <w:r>
              <w:rPr>
                <w:rFonts w:ascii="Calibri" w:hAnsi="Calibri"/>
                <w:b w:val="0"/>
                <w:i w:val="0"/>
                <w:color w:val="000000"/>
                <w:sz w:val="18"/>
              </w:rPr>
              <w:t>Supervised TF-IDF</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0.453</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0.495</w:t>
            </w:r>
          </w:p>
        </w:tc>
        <w:tc>
          <w:tcPr>
            <w:tcW w:type="dxa" w:w="1000"/>
            <w:vAlign w:val="center"/>
            <w:tcMar>
              <w:top w:w="80" w:type="dxa"/>
              <w:start w:w="120" w:type="dxa"/>
              <w:bottom w:w="80" w:type="dxa"/>
              <w:end w:w="120" w:type="dxa"/>
            </w:tcMar>
          </w:tcPr>
          <w:p>
            <w:pPr>
              <w:spacing w:after="0"/>
              <w:jc w:val="right"/>
            </w:pPr>
            <w:r>
              <w:rPr>
                <w:rFonts w:ascii="Calibri" w:hAnsi="Calibri"/>
                <w:b w:val="0"/>
                <w:i w:val="0"/>
                <w:color w:val="000000"/>
                <w:sz w:val="18"/>
              </w:rPr>
              <w:t>0.382</w:t>
            </w:r>
          </w:p>
        </w:tc>
        <w:tc>
          <w:tcPr>
            <w:tcW w:type="dxa" w:w="1000"/>
            <w:vAlign w:val="center"/>
            <w:tcMar>
              <w:top w:w="80" w:type="dxa"/>
              <w:start w:w="120" w:type="dxa"/>
              <w:bottom w:w="80" w:type="dxa"/>
              <w:end w:w="120" w:type="dxa"/>
            </w:tcMar>
          </w:tcPr>
          <w:p>
            <w:pPr>
              <w:spacing w:after="0"/>
              <w:jc w:val="right"/>
            </w:pPr>
            <w:r>
              <w:rPr>
                <w:rFonts w:ascii="Calibri" w:hAnsi="Calibri"/>
                <w:b w:val="0"/>
                <w:i w:val="0"/>
                <w:color w:val="000000"/>
                <w:sz w:val="18"/>
              </w:rPr>
              <w:t>0.505</w:t>
            </w:r>
          </w:p>
        </w:tc>
        <w:tc>
          <w:tcPr>
            <w:tcW w:type="dxa" w:w="1060"/>
            <w:vAlign w:val="center"/>
            <w:tcMar>
              <w:top w:w="80" w:type="dxa"/>
              <w:start w:w="120" w:type="dxa"/>
              <w:bottom w:w="80" w:type="dxa"/>
              <w:end w:w="120" w:type="dxa"/>
            </w:tcMar>
          </w:tcPr>
          <w:p>
            <w:pPr>
              <w:spacing w:after="0"/>
              <w:jc w:val="right"/>
            </w:pPr>
            <w:r>
              <w:rPr>
                <w:rFonts w:ascii="Calibri" w:hAnsi="Calibri"/>
                <w:b w:val="0"/>
                <w:i w:val="0"/>
                <w:color w:val="000000"/>
                <w:sz w:val="18"/>
              </w:rPr>
              <w:t>0.004</w:t>
            </w:r>
          </w:p>
        </w:tc>
      </w:tr>
      <w:tr>
        <w:tc>
          <w:tcPr>
            <w:tcW w:type="dxa" w:w="1800"/>
            <w:vAlign w:val="center"/>
            <w:tcMar>
              <w:top w:w="80" w:type="dxa"/>
              <w:start w:w="120" w:type="dxa"/>
              <w:bottom w:w="80" w:type="dxa"/>
              <w:end w:w="120" w:type="dxa"/>
            </w:tcMar>
          </w:tcPr>
          <w:p>
            <w:pPr>
              <w:spacing w:after="0"/>
              <w:jc w:val="left"/>
            </w:pPr>
            <w:r>
              <w:rPr>
                <w:rFonts w:ascii="Calibri" w:hAnsi="Calibri"/>
                <w:b w:val="0"/>
                <w:i w:val="0"/>
                <w:color w:val="000000"/>
                <w:sz w:val="18"/>
              </w:rPr>
              <w:t>Phishing</w:t>
            </w:r>
          </w:p>
        </w:tc>
        <w:tc>
          <w:tcPr>
            <w:tcW w:type="dxa" w:w="2500"/>
            <w:vAlign w:val="center"/>
            <w:tcMar>
              <w:top w:w="80" w:type="dxa"/>
              <w:start w:w="120" w:type="dxa"/>
              <w:bottom w:w="80" w:type="dxa"/>
              <w:end w:w="120" w:type="dxa"/>
            </w:tcMar>
          </w:tcPr>
          <w:p>
            <w:pPr>
              <w:spacing w:after="0"/>
              <w:jc w:val="left"/>
            </w:pPr>
            <w:r>
              <w:rPr>
                <w:rFonts w:ascii="Calibri" w:hAnsi="Calibri"/>
                <w:b w:val="0"/>
                <w:i w:val="0"/>
                <w:color w:val="000000"/>
                <w:sz w:val="18"/>
              </w:rPr>
              <w:t>PU-Mean Teacher 10%</w:t>
            </w:r>
          </w:p>
        </w:tc>
        <w:tc>
          <w:tcPr>
            <w:tcW w:type="dxa" w:w="900"/>
            <w:vAlign w:val="center"/>
            <w:tcMar>
              <w:top w:w="80" w:type="dxa"/>
              <w:start w:w="120" w:type="dxa"/>
              <w:bottom w:w="80" w:type="dxa"/>
              <w:end w:w="120" w:type="dxa"/>
            </w:tcMar>
          </w:tcPr>
          <w:p>
            <w:pPr>
              <w:spacing w:after="0"/>
              <w:jc w:val="right"/>
            </w:pPr>
            <w:r>
              <w:rPr>
                <w:rFonts w:ascii="Calibri" w:hAnsi="Calibri"/>
                <w:b w:val="0"/>
                <w:i w:val="0"/>
                <w:color w:val="000000"/>
                <w:sz w:val="18"/>
              </w:rPr>
              <w:t>0.586</w:t>
            </w:r>
          </w:p>
        </w:tc>
        <w:tc>
          <w:tcPr>
            <w:tcW w:type="dxa" w:w="1100"/>
            <w:vAlign w:val="center"/>
            <w:tcMar>
              <w:top w:w="80" w:type="dxa"/>
              <w:start w:w="120" w:type="dxa"/>
              <w:bottom w:w="80" w:type="dxa"/>
              <w:end w:w="120" w:type="dxa"/>
            </w:tcMar>
          </w:tcPr>
          <w:p>
            <w:pPr>
              <w:spacing w:after="0"/>
              <w:jc w:val="right"/>
            </w:pPr>
            <w:r>
              <w:rPr>
                <w:rFonts w:ascii="Calibri" w:hAnsi="Calibri"/>
                <w:b w:val="0"/>
                <w:i w:val="0"/>
                <w:color w:val="000000"/>
                <w:sz w:val="18"/>
              </w:rPr>
              <w:t>0.458</w:t>
            </w:r>
          </w:p>
        </w:tc>
        <w:tc>
          <w:tcPr>
            <w:tcW w:type="dxa" w:w="1000"/>
            <w:vAlign w:val="center"/>
            <w:tcMar>
              <w:top w:w="80" w:type="dxa"/>
              <w:start w:w="120" w:type="dxa"/>
              <w:bottom w:w="80" w:type="dxa"/>
              <w:end w:w="120" w:type="dxa"/>
            </w:tcMar>
          </w:tcPr>
          <w:p>
            <w:pPr>
              <w:spacing w:after="0"/>
              <w:jc w:val="right"/>
            </w:pPr>
            <w:r>
              <w:rPr>
                <w:rFonts w:ascii="Calibri" w:hAnsi="Calibri"/>
                <w:b w:val="0"/>
                <w:i w:val="0"/>
                <w:color w:val="000000"/>
                <w:sz w:val="18"/>
              </w:rPr>
              <w:t>0.532</w:t>
            </w:r>
          </w:p>
        </w:tc>
        <w:tc>
          <w:tcPr>
            <w:tcW w:type="dxa" w:w="1000"/>
            <w:vAlign w:val="center"/>
            <w:tcMar>
              <w:top w:w="80" w:type="dxa"/>
              <w:start w:w="120" w:type="dxa"/>
              <w:bottom w:w="80" w:type="dxa"/>
              <w:end w:w="120" w:type="dxa"/>
            </w:tcMar>
          </w:tcPr>
          <w:p>
            <w:pPr>
              <w:spacing w:after="0"/>
              <w:jc w:val="right"/>
            </w:pPr>
            <w:r>
              <w:rPr>
                <w:rFonts w:ascii="Calibri" w:hAnsi="Calibri"/>
                <w:b w:val="0"/>
                <w:i w:val="0"/>
                <w:color w:val="000000"/>
                <w:sz w:val="18"/>
              </w:rPr>
              <w:t>0.646</w:t>
            </w:r>
          </w:p>
        </w:tc>
        <w:tc>
          <w:tcPr>
            <w:tcW w:type="dxa" w:w="1060"/>
            <w:vAlign w:val="center"/>
            <w:tcMar>
              <w:top w:w="80" w:type="dxa"/>
              <w:start w:w="120" w:type="dxa"/>
              <w:bottom w:w="80" w:type="dxa"/>
              <w:end w:w="120" w:type="dxa"/>
            </w:tcMar>
          </w:tcPr>
          <w:p>
            <w:pPr>
              <w:spacing w:after="0"/>
              <w:jc w:val="right"/>
            </w:pPr>
            <w:r>
              <w:rPr>
                <w:rFonts w:ascii="Calibri" w:hAnsi="Calibri"/>
                <w:b w:val="0"/>
                <w:i w:val="0"/>
                <w:color w:val="000000"/>
                <w:sz w:val="18"/>
              </w:rPr>
              <w:t>0.158</w:t>
            </w:r>
          </w:p>
        </w:tc>
      </w:tr>
    </w:tbl>
    <w:p>
      <w:pPr>
        <w:spacing w:after="0"/>
      </w:pPr>
    </w:p>
    <w:p>
      <w:pPr>
        <w:spacing w:after="120" w:line="264" w:lineRule="auto"/>
      </w:pPr>
      <w:r>
        <w:rPr>
          <w:rFonts w:ascii="Calibri" w:hAnsi="Calibri"/>
          <w:b w:val="0"/>
          <w:i w:val="0"/>
          <w:color w:val="000000"/>
          <w:sz w:val="21"/>
        </w:rPr>
        <w:t>LODO results were substantially weaker than in-domain results. Job-scam F1 remained near 0.09, reflecting severe imbalance and distribution shift. Product-review ranking was near chance for both models despite the combined model's thresholded F1 of 0.536; its MCC remained approximately zero. Phishing was the strongest combined-model holdout, with ROC-AUC 0.646 and MCC 0.158, but false-positive rates remained operationally high. These results do not establish domain independence.</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4E5"/>
          </w:tcPr>
          <w:p>
            <w:pPr>
              <w:spacing w:after="0"/>
            </w:pPr>
            <w:r>
              <w:rPr>
                <w:rFonts w:ascii="Calibri" w:hAnsi="Calibri"/>
                <w:b/>
                <w:i w:val="0"/>
                <w:color w:val="1F4D78"/>
                <w:sz w:val="20"/>
              </w:rPr>
              <w:t xml:space="preserve">Interpretation  </w:t>
            </w:r>
            <w:r>
              <w:rPr>
                <w:rFonts w:ascii="Calibri" w:hAnsi="Calibri"/>
                <w:b w:val="0"/>
                <w:i w:val="0"/>
                <w:color w:val="000000"/>
                <w:sz w:val="20"/>
              </w:rPr>
              <w:t>Thresholded F1 can look favorable even when ranking and correlation metrics remain weak. Cross-domain conclusions must consider PR-AUC, ROC-AUC, MCC, prevalence, and false-positive burden together.</w:t>
            </w:r>
          </w:p>
        </w:tc>
      </w:tr>
    </w:tbl>
    <w:p>
      <w:pPr>
        <w:spacing w:after="0"/>
      </w:pPr>
    </w:p>
    <w:p>
      <w:pPr>
        <w:pStyle w:val="Heading1"/>
        <w:keepNext/>
      </w:pPr>
      <w:r>
        <w:t>7. Error analysis and interpretability</w:t>
      </w:r>
    </w:p>
    <w:p>
      <w:pPr>
        <w:spacing w:after="120" w:line="264" w:lineRule="auto"/>
      </w:pPr>
      <w:r>
        <w:rPr>
          <w:rFonts w:ascii="Calibri" w:hAnsi="Calibri"/>
          <w:b w:val="0"/>
          <w:i w:val="0"/>
          <w:color w:val="000000"/>
          <w:sz w:val="21"/>
        </w:rPr>
        <w:t>The executed notebook stratified false positives and false negatives by domain, text length, and URL presence, and displayed a small set of truncated high-confidence errors. Classical TF-IDF coefficients highlighted URL artifacts, political names, product-review and job-posting templates, source-specific vocabulary, and formatting cues. These coefficients are associations rather than causal explanations. Attention weights were not used as definitive explanations.</w:t>
      </w:r>
    </w:p>
    <w:p>
      <w:pPr>
        <w:spacing w:after="120" w:line="264" w:lineRule="auto"/>
      </w:pPr>
      <w:r>
        <w:rPr>
          <w:rFonts w:ascii="Calibri" w:hAnsi="Calibri"/>
          <w:b w:val="0"/>
          <w:i w:val="0"/>
          <w:color w:val="000000"/>
          <w:sz w:val="21"/>
        </w:rPr>
        <w:t>A bootstrap over test examples gave a 95% percentile interval of approximately 0.595 to 0.636 for the selected 10% PU-Mean Teacher F1. This interval reflects test-sample variation only; it does not capture seed, representation, hyperparameter, or domain uncertainty.</w:t>
      </w:r>
    </w:p>
    <w:p>
      <w:pPr>
        <w:jc w:val="center"/>
      </w:pPr>
      <w:r>
        <w:drawing>
          <wp:inline xmlns:a="http://schemas.openxmlformats.org/drawingml/2006/main" xmlns:pic="http://schemas.openxmlformats.org/drawingml/2006/picture">
            <wp:extent cx="5715000" cy="1433344"/>
            <wp:docPr id="4" name="Picture 4" descr="Three diagnostic panels showing precision-recall, calibration, and confusion matrix for the selected combined model."/>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15000" cy="1433344"/>
                    </a:xfrm>
                    <a:prstGeom prst="rect"/>
                  </pic:spPr>
                </pic:pic>
              </a:graphicData>
            </a:graphic>
          </wp:inline>
        </w:drawing>
      </w:r>
    </w:p>
    <w:p>
      <w:pPr>
        <w:spacing w:before="40" w:after="160"/>
        <w:jc w:val="center"/>
      </w:pPr>
      <w:r>
        <w:rPr>
          <w:rFonts w:ascii="Calibri" w:hAnsi="Calibri"/>
          <w:b w:val="0"/>
          <w:i/>
          <w:color w:val="666666"/>
          <w:sz w:val="18"/>
        </w:rPr>
        <w:t>Figure 4. Precision-recall, calibration, and confusion-matrix diagnostics for the selected combined model. Stored notebook output.</w:t>
      </w:r>
    </w:p>
    <w:p>
      <w:pPr>
        <w:pStyle w:val="Heading1"/>
        <w:keepNext/>
      </w:pPr>
      <w:r>
        <w:t>8. Threats to validity and limitations</w:t>
      </w:r>
    </w:p>
    <w:p>
      <w:pPr>
        <w:pStyle w:val="ListBullet"/>
        <w:spacing w:after="80" w:line="280" w:lineRule="auto"/>
        <w:ind w:left="720" w:hanging="360"/>
      </w:pPr>
      <w:r>
        <w:rPr>
          <w:rFonts w:ascii="Calibri" w:hAnsi="Calibri"/>
          <w:b w:val="0"/>
          <w:i w:val="0"/>
          <w:color w:val="000000"/>
          <w:sz w:val="21"/>
        </w:rPr>
        <w:t>Only one random seed was executed, so no training-variance estimate or valid paired significance test is available.</w:t>
      </w:r>
    </w:p>
    <w:p>
      <w:pPr>
        <w:pStyle w:val="ListBullet"/>
        <w:spacing w:after="80" w:line="280" w:lineRule="auto"/>
        <w:ind w:left="720" w:hanging="360"/>
      </w:pPr>
      <w:r>
        <w:rPr>
          <w:rFonts w:ascii="Calibri" w:hAnsi="Calibri"/>
          <w:b w:val="0"/>
          <w:i w:val="0"/>
          <w:color w:val="000000"/>
          <w:sz w:val="21"/>
        </w:rPr>
        <w:t>Quick mode capped every domain/split at 500 stratified examples; its results must not be presented as full-dataset performance.</w:t>
      </w:r>
    </w:p>
    <w:p>
      <w:pPr>
        <w:pStyle w:val="ListBullet"/>
        <w:spacing w:after="80" w:line="280" w:lineRule="auto"/>
        <w:ind w:left="720" w:hanging="360"/>
      </w:pPr>
      <w:r>
        <w:rPr>
          <w:rFonts w:ascii="Calibri" w:hAnsi="Calibri"/>
          <w:b w:val="0"/>
          <w:i w:val="0"/>
          <w:color w:val="000000"/>
          <w:sz w:val="21"/>
        </w:rPr>
        <w:t>PU labels were simulated by hiding known positives. Real labeling mechanisms may violate selected-completely-at-random assumptions.</w:t>
      </w:r>
    </w:p>
    <w:p>
      <w:pPr>
        <w:pStyle w:val="ListBullet"/>
        <w:spacing w:after="80" w:line="280" w:lineRule="auto"/>
        <w:ind w:left="720" w:hanging="360"/>
      </w:pPr>
      <w:r>
        <w:rPr>
          <w:rFonts w:ascii="Calibri" w:hAnsi="Calibri"/>
          <w:b w:val="0"/>
          <w:i w:val="0"/>
          <w:color w:val="000000"/>
          <w:sz w:val="21"/>
        </w:rPr>
        <w:t>The Elkan-Noto-style prior estimate substantially underestimated the oracle prior, and the optimal prior may vary by domain.</w:t>
      </w:r>
    </w:p>
    <w:p>
      <w:pPr>
        <w:pStyle w:val="ListBullet"/>
        <w:spacing w:after="80" w:line="280" w:lineRule="auto"/>
        <w:ind w:left="720" w:hanging="360"/>
      </w:pPr>
      <w:r>
        <w:rPr>
          <w:rFonts w:ascii="Calibri" w:hAnsi="Calibri"/>
          <w:b w:val="0"/>
          <w:i w:val="0"/>
          <w:color w:val="000000"/>
          <w:sz w:val="21"/>
        </w:rPr>
        <w:t>Near-duplicate and provenance artifacts can inflate in-domain performance and complicate attribution to deception semantics.</w:t>
      </w:r>
    </w:p>
    <w:p>
      <w:pPr>
        <w:pStyle w:val="ListBullet"/>
        <w:spacing w:after="80" w:line="280" w:lineRule="auto"/>
        <w:ind w:left="720" w:hanging="360"/>
      </w:pPr>
      <w:r>
        <w:rPr>
          <w:rFonts w:ascii="Calibri" w:hAnsi="Calibri"/>
          <w:b w:val="0"/>
          <w:i w:val="0"/>
          <w:color w:val="000000"/>
          <w:sz w:val="21"/>
        </w:rPr>
        <w:t>Reduced LODO covered only job scams, product reviews, and phishing; all seven rotations remain necessary.</w:t>
      </w:r>
    </w:p>
    <w:p>
      <w:pPr>
        <w:pStyle w:val="ListBullet"/>
        <w:spacing w:after="80" w:line="280" w:lineRule="auto"/>
        <w:ind w:left="720" w:hanging="360"/>
      </w:pPr>
      <w:r>
        <w:rPr>
          <w:rFonts w:ascii="Calibri" w:hAnsi="Calibri"/>
          <w:b w:val="0"/>
          <w:i w:val="0"/>
          <w:color w:val="000000"/>
          <w:sz w:val="21"/>
        </w:rPr>
        <w:t>Frozen sentence embeddings and small MLPs are computationally appropriate for quick mode but are not a substitute for a controlled GPU fine-tuning study.</w:t>
      </w:r>
    </w:p>
    <w:p>
      <w:pPr>
        <w:pStyle w:val="ListBullet"/>
        <w:spacing w:after="80" w:line="280" w:lineRule="auto"/>
        <w:ind w:left="720" w:hanging="360"/>
      </w:pPr>
      <w:r>
        <w:rPr>
          <w:rFonts w:ascii="Calibri" w:hAnsi="Calibri"/>
          <w:b w:val="0"/>
          <w:i w:val="0"/>
          <w:color w:val="000000"/>
          <w:sz w:val="21"/>
        </w:rPr>
        <w:t>Deception detection is not factual verification and cannot establish speaker intent.</w:t>
      </w:r>
    </w:p>
    <w:p>
      <w:pPr>
        <w:pStyle w:val="Heading1"/>
        <w:keepNext/>
      </w:pPr>
      <w:r>
        <w:t>9. Ethical and operational considerations</w:t>
      </w:r>
    </w:p>
    <w:p>
      <w:pPr>
        <w:spacing w:after="120" w:line="264" w:lineRule="auto"/>
      </w:pPr>
      <w:r>
        <w:rPr>
          <w:rFonts w:ascii="Calibri" w:hAnsi="Calibri"/>
          <w:b w:val="0"/>
          <w:i w:val="0"/>
          <w:color w:val="000000"/>
          <w:sz w:val="21"/>
        </w:rPr>
        <w:t>False positives may harm job applicants, political speakers, reviewers, or ordinary message senders. The observed cross-domain false-positive burdens make autonomous enforcement especially inappropriate. Any downstream system should operate as a human-reviewed alerting aid with calibrated domain-specific thresholds, audit logs, appeal mechanisms, privacy safeguards, subgroup evaluation, and drift monitoring.</w:t>
      </w:r>
    </w:p>
    <w:p>
      <w:pPr>
        <w:spacing w:after="120" w:line="264" w:lineRule="auto"/>
      </w:pPr>
      <w:r>
        <w:rPr>
          <w:rFonts w:ascii="Calibri" w:hAnsi="Calibri"/>
          <w:b w:val="0"/>
          <w:i w:val="0"/>
          <w:color w:val="000000"/>
          <w:sz w:val="21"/>
        </w:rPr>
        <w:t>Dataset labels inherit the assumptions and provenance of constituent sources. A production claim requires source-by-source licensing and documentation review, external validation on post-collection data, and explicit analysis of whether protected or socially sensitive attributes are indirectly encoded by domain or source vocabulary.</w:t>
      </w:r>
    </w:p>
    <w:p>
      <w:pPr>
        <w:pStyle w:val="Heading1"/>
        <w:keepNext/>
      </w:pPr>
      <w:r>
        <w:t>10. Reproducibility and verification</w:t>
      </w:r>
    </w:p>
    <w:tbl>
      <w:tblPr>
        <w:tblStyle w:val="TableGrid"/>
        <w:tblW w:type="dxa" w:w="9360"/>
        <w:tblLayout w:type="fixed"/>
        <w:tblLook w:firstColumn="1" w:firstRow="1" w:lastColumn="0" w:lastRow="0" w:noHBand="0" w:noVBand="1" w:val="04A0"/>
        <w:jc w:val="center"/>
        <w:tblInd w:w="120" w:type="dxa"/>
      </w:tblPr>
      <w:tblGrid>
        <w:gridCol w:w="2500"/>
        <w:gridCol w:w="6860"/>
      </w:tblGrid>
      <w:tr>
        <w:trPr>
          <w:tblHeader w:val="true"/>
        </w:trPr>
        <w:tc>
          <w:tcPr>
            <w:tcW w:type="dxa" w:w="2500"/>
            <w:vAlign w:val="center"/>
            <w:tcMar>
              <w:top w:w="80" w:type="dxa"/>
              <w:start w:w="120" w:type="dxa"/>
              <w:bottom w:w="80" w:type="dxa"/>
              <w:end w:w="120" w:type="dxa"/>
            </w:tcMar>
            <w:shd w:fill="F2F4F7"/>
          </w:tcPr>
          <w:p>
            <w:pPr>
              <w:spacing w:after="0"/>
              <w:jc w:val="center"/>
            </w:pPr>
            <w:r>
              <w:rPr>
                <w:rFonts w:ascii="Calibri" w:hAnsi="Calibri"/>
                <w:b/>
                <w:i w:val="0"/>
                <w:color w:val="1F4D78"/>
                <w:sz w:val="18"/>
              </w:rPr>
              <w:t>Control</w:t>
            </w:r>
          </w:p>
        </w:tc>
        <w:tc>
          <w:tcPr>
            <w:tcW w:type="dxa" w:w="6860"/>
            <w:vAlign w:val="center"/>
            <w:tcMar>
              <w:top w:w="80" w:type="dxa"/>
              <w:start w:w="120" w:type="dxa"/>
              <w:bottom w:w="80" w:type="dxa"/>
              <w:end w:w="120" w:type="dxa"/>
            </w:tcMar>
            <w:shd w:fill="F2F4F7"/>
          </w:tcPr>
          <w:p>
            <w:pPr>
              <w:spacing w:after="0"/>
              <w:jc w:val="center"/>
            </w:pPr>
            <w:r>
              <w:rPr>
                <w:rFonts w:ascii="Calibri" w:hAnsi="Calibri"/>
                <w:b/>
                <w:i w:val="0"/>
                <w:color w:val="1F4D78"/>
                <w:sz w:val="18"/>
              </w:rPr>
              <w:t>Evidence</w:t>
            </w:r>
          </w:p>
        </w:tc>
      </w:tr>
      <w:tr>
        <w:tc>
          <w:tcPr>
            <w:tcW w:type="dxa" w:w="2500"/>
            <w:vAlign w:val="center"/>
            <w:tcMar>
              <w:top w:w="80" w:type="dxa"/>
              <w:start w:w="120" w:type="dxa"/>
              <w:bottom w:w="80" w:type="dxa"/>
              <w:end w:w="120" w:type="dxa"/>
            </w:tcMar>
          </w:tcPr>
          <w:p>
            <w:pPr>
              <w:spacing w:after="0"/>
              <w:jc w:val="left"/>
            </w:pPr>
            <w:r>
              <w:rPr>
                <w:rFonts w:ascii="Calibri" w:hAnsi="Calibri"/>
                <w:b w:val="0"/>
                <w:i w:val="0"/>
                <w:color w:val="000000"/>
                <w:sz w:val="18"/>
              </w:rPr>
              <w:t>Notebook execution</w:t>
            </w:r>
          </w:p>
        </w:tc>
        <w:tc>
          <w:tcPr>
            <w:tcW w:type="dxa" w:w="6860"/>
            <w:vAlign w:val="center"/>
            <w:tcMar>
              <w:top w:w="80" w:type="dxa"/>
              <w:start w:w="120" w:type="dxa"/>
              <w:bottom w:w="80" w:type="dxa"/>
              <w:end w:w="120" w:type="dxa"/>
            </w:tcMar>
          </w:tcPr>
          <w:p>
            <w:pPr>
              <w:spacing w:after="0"/>
              <w:jc w:val="left"/>
            </w:pPr>
            <w:r>
              <w:rPr>
                <w:rFonts w:ascii="Calibri" w:hAnsi="Calibri"/>
                <w:b w:val="0"/>
                <w:i w:val="0"/>
                <w:color w:val="000000"/>
                <w:sz w:val="18"/>
              </w:rPr>
              <w:t>14/14 code cells executed; zero stored error outputs</w:t>
            </w:r>
          </w:p>
        </w:tc>
      </w:tr>
      <w:tr>
        <w:tc>
          <w:tcPr>
            <w:tcW w:type="dxa" w:w="2500"/>
            <w:vAlign w:val="center"/>
            <w:tcMar>
              <w:top w:w="80" w:type="dxa"/>
              <w:start w:w="120" w:type="dxa"/>
              <w:bottom w:w="80" w:type="dxa"/>
              <w:end w:w="120" w:type="dxa"/>
            </w:tcMar>
          </w:tcPr>
          <w:p>
            <w:pPr>
              <w:spacing w:after="0"/>
              <w:jc w:val="left"/>
            </w:pPr>
            <w:r>
              <w:rPr>
                <w:rFonts w:ascii="Calibri" w:hAnsi="Calibri"/>
                <w:b w:val="0"/>
                <w:i w:val="0"/>
                <w:color w:val="000000"/>
                <w:sz w:val="18"/>
              </w:rPr>
              <w:t>Unit tests</w:t>
            </w:r>
          </w:p>
        </w:tc>
        <w:tc>
          <w:tcPr>
            <w:tcW w:type="dxa" w:w="6860"/>
            <w:vAlign w:val="center"/>
            <w:tcMar>
              <w:top w:w="80" w:type="dxa"/>
              <w:start w:w="120" w:type="dxa"/>
              <w:bottom w:w="80" w:type="dxa"/>
              <w:end w:w="120" w:type="dxa"/>
            </w:tcMar>
          </w:tcPr>
          <w:p>
            <w:pPr>
              <w:spacing w:after="0"/>
              <w:jc w:val="left"/>
            </w:pPr>
            <w:r>
              <w:rPr>
                <w:rFonts w:ascii="Calibri" w:hAnsi="Calibri"/>
                <w:b w:val="0"/>
                <w:i w:val="0"/>
                <w:color w:val="000000"/>
                <w:sz w:val="18"/>
              </w:rPr>
              <w:t>8 passed: finite loss, gradients, shapes, correction, invalid inputs, NaN safeguards</w:t>
            </w:r>
          </w:p>
        </w:tc>
      </w:tr>
      <w:tr>
        <w:tc>
          <w:tcPr>
            <w:tcW w:type="dxa" w:w="2500"/>
            <w:vAlign w:val="center"/>
            <w:tcMar>
              <w:top w:w="80" w:type="dxa"/>
              <w:start w:w="120" w:type="dxa"/>
              <w:bottom w:w="80" w:type="dxa"/>
              <w:end w:w="120" w:type="dxa"/>
            </w:tcMar>
          </w:tcPr>
          <w:p>
            <w:pPr>
              <w:spacing w:after="0"/>
              <w:jc w:val="left"/>
            </w:pPr>
            <w:r>
              <w:rPr>
                <w:rFonts w:ascii="Calibri" w:hAnsi="Calibri"/>
                <w:b w:val="0"/>
                <w:i w:val="0"/>
                <w:color w:val="000000"/>
                <w:sz w:val="18"/>
              </w:rPr>
              <w:t>Dataset pin</w:t>
            </w:r>
          </w:p>
        </w:tc>
        <w:tc>
          <w:tcPr>
            <w:tcW w:type="dxa" w:w="6860"/>
            <w:vAlign w:val="center"/>
            <w:tcMar>
              <w:top w:w="80" w:type="dxa"/>
              <w:start w:w="120" w:type="dxa"/>
              <w:bottom w:w="80" w:type="dxa"/>
              <w:end w:w="120" w:type="dxa"/>
            </w:tcMar>
          </w:tcPr>
          <w:p>
            <w:pPr>
              <w:spacing w:after="0"/>
              <w:jc w:val="left"/>
            </w:pPr>
            <w:r>
              <w:rPr>
                <w:rFonts w:ascii="Calibri" w:hAnsi="Calibri"/>
                <w:b w:val="0"/>
                <w:i w:val="0"/>
                <w:color w:val="000000"/>
                <w:sz w:val="18"/>
              </w:rPr>
              <w:t>aaaf94b336c563a14806bb4f3f58727bed9ed8d4</w:t>
            </w:r>
          </w:p>
        </w:tc>
      </w:tr>
      <w:tr>
        <w:tc>
          <w:tcPr>
            <w:tcW w:type="dxa" w:w="2500"/>
            <w:vAlign w:val="center"/>
            <w:tcMar>
              <w:top w:w="80" w:type="dxa"/>
              <w:start w:w="120" w:type="dxa"/>
              <w:bottom w:w="80" w:type="dxa"/>
              <w:end w:w="120" w:type="dxa"/>
            </w:tcMar>
          </w:tcPr>
          <w:p>
            <w:pPr>
              <w:spacing w:after="0"/>
              <w:jc w:val="left"/>
            </w:pPr>
            <w:r>
              <w:rPr>
                <w:rFonts w:ascii="Calibri" w:hAnsi="Calibri"/>
                <w:b w:val="0"/>
                <w:i w:val="0"/>
                <w:color w:val="000000"/>
                <w:sz w:val="18"/>
              </w:rPr>
              <w:t>Randomness</w:t>
            </w:r>
          </w:p>
        </w:tc>
        <w:tc>
          <w:tcPr>
            <w:tcW w:type="dxa" w:w="6860"/>
            <w:vAlign w:val="center"/>
            <w:tcMar>
              <w:top w:w="80" w:type="dxa"/>
              <w:start w:w="120" w:type="dxa"/>
              <w:bottom w:w="80" w:type="dxa"/>
              <w:end w:w="120" w:type="dxa"/>
            </w:tcMar>
          </w:tcPr>
          <w:p>
            <w:pPr>
              <w:spacing w:after="0"/>
              <w:jc w:val="left"/>
            </w:pPr>
            <w:r>
              <w:rPr>
                <w:rFonts w:ascii="Calibri" w:hAnsi="Calibri"/>
                <w:b w:val="0"/>
                <w:i w:val="0"/>
                <w:color w:val="000000"/>
                <w:sz w:val="18"/>
              </w:rPr>
              <w:t>Seed 42; deterministic PyTorch settings where practical</w:t>
            </w:r>
          </w:p>
        </w:tc>
      </w:tr>
      <w:tr>
        <w:tc>
          <w:tcPr>
            <w:tcW w:type="dxa" w:w="2500"/>
            <w:vAlign w:val="center"/>
            <w:tcMar>
              <w:top w:w="80" w:type="dxa"/>
              <w:start w:w="120" w:type="dxa"/>
              <w:bottom w:w="80" w:type="dxa"/>
              <w:end w:w="120" w:type="dxa"/>
            </w:tcMar>
          </w:tcPr>
          <w:p>
            <w:pPr>
              <w:spacing w:after="0"/>
              <w:jc w:val="left"/>
            </w:pPr>
            <w:r>
              <w:rPr>
                <w:rFonts w:ascii="Calibri" w:hAnsi="Calibri"/>
                <w:b w:val="0"/>
                <w:i w:val="0"/>
                <w:color w:val="000000"/>
                <w:sz w:val="18"/>
              </w:rPr>
              <w:t>Test-label isolation</w:t>
            </w:r>
          </w:p>
        </w:tc>
        <w:tc>
          <w:tcPr>
            <w:tcW w:type="dxa" w:w="6860"/>
            <w:vAlign w:val="center"/>
            <w:tcMar>
              <w:top w:w="80" w:type="dxa"/>
              <w:start w:w="120" w:type="dxa"/>
              <w:bottom w:w="80" w:type="dxa"/>
              <w:end w:w="120" w:type="dxa"/>
            </w:tcMar>
          </w:tcPr>
          <w:p>
            <w:pPr>
              <w:spacing w:after="0"/>
              <w:jc w:val="left"/>
            </w:pPr>
            <w:r>
              <w:rPr>
                <w:rFonts w:ascii="Calibri" w:hAnsi="Calibri"/>
                <w:b w:val="0"/>
                <w:i w:val="0"/>
                <w:color w:val="000000"/>
                <w:sz w:val="18"/>
              </w:rPr>
              <w:t>No fitting, prior estimation, early stopping, calibration, or threshold selection used test labels</w:t>
            </w:r>
          </w:p>
        </w:tc>
      </w:tr>
      <w:tr>
        <w:tc>
          <w:tcPr>
            <w:tcW w:type="dxa" w:w="2500"/>
            <w:vAlign w:val="center"/>
            <w:tcMar>
              <w:top w:w="80" w:type="dxa"/>
              <w:start w:w="120" w:type="dxa"/>
              <w:bottom w:w="80" w:type="dxa"/>
              <w:end w:w="120" w:type="dxa"/>
            </w:tcMar>
          </w:tcPr>
          <w:p>
            <w:pPr>
              <w:spacing w:after="0"/>
              <w:jc w:val="left"/>
            </w:pPr>
            <w:r>
              <w:rPr>
                <w:rFonts w:ascii="Calibri" w:hAnsi="Calibri"/>
                <w:b w:val="0"/>
                <w:i w:val="0"/>
                <w:color w:val="000000"/>
                <w:sz w:val="18"/>
              </w:rPr>
              <w:t>Artifact hygiene</w:t>
            </w:r>
          </w:p>
        </w:tc>
        <w:tc>
          <w:tcPr>
            <w:tcW w:type="dxa" w:w="6860"/>
            <w:vAlign w:val="center"/>
            <w:tcMar>
              <w:top w:w="80" w:type="dxa"/>
              <w:start w:w="120" w:type="dxa"/>
              <w:bottom w:w="80" w:type="dxa"/>
              <w:end w:w="120" w:type="dxa"/>
            </w:tcMar>
          </w:tcPr>
          <w:p>
            <w:pPr>
              <w:spacing w:after="0"/>
              <w:jc w:val="left"/>
            </w:pPr>
            <w:r>
              <w:rPr>
                <w:rFonts w:ascii="Calibri" w:hAnsi="Calibri"/>
                <w:b w:val="0"/>
                <w:i w:val="0"/>
                <w:color w:val="000000"/>
                <w:sz w:val="18"/>
              </w:rPr>
              <w:t>Data, caches, checkpoints, embeddings, outputs, and virtual environments are Git-ignored</w:t>
            </w:r>
          </w:p>
        </w:tc>
      </w:tr>
    </w:tbl>
    <w:p>
      <w:pPr>
        <w:spacing w:after="0"/>
      </w:pPr>
    </w:p>
    <w:p>
      <w:pPr>
        <w:pStyle w:val="Heading1"/>
        <w:keepNext/>
      </w:pPr>
      <w:r>
        <w:t>11. Conclusions and recommended next experiments</w:t>
      </w:r>
    </w:p>
    <w:p>
      <w:pPr>
        <w:spacing w:after="120" w:line="264" w:lineRule="auto"/>
      </w:pPr>
      <w:r>
        <w:rPr>
          <w:rFonts w:ascii="Calibri" w:hAnsi="Calibri"/>
          <w:b w:val="0"/>
          <w:i w:val="0"/>
          <w:color w:val="000000"/>
          <w:sz w:val="21"/>
        </w:rPr>
        <w:t>Valid nnPU learning was competitive with and sometimes better than treating the unlabeled pool as negative, especially as more positives were revealed. However, the gains were modest and metric-dependent. Mean Teacher consistency did not add value consistently in the executed configuration. Strong domain separability, near-duplicate leakage risk, prior-estimation bias, and weak LODO results indicate that benchmark provenance remains a larger obstacle than in-domain classifier capacity.</w:t>
      </w:r>
    </w:p>
    <w:p>
      <w:pPr>
        <w:spacing w:after="120" w:line="264" w:lineRule="auto"/>
      </w:pPr>
      <w:r>
        <w:rPr>
          <w:rFonts w:ascii="Calibri" w:hAnsi="Calibri"/>
          <w:b w:val="0"/>
          <w:i w:val="0"/>
          <w:color w:val="000000"/>
          <w:sz w:val="21"/>
        </w:rPr>
        <w:t>The next experiment should run three or more paired seeds across all four label fractions and all seven LODO rotations after cluster-level near-duplicate control. It should estimate domain-conditional priors, tune confidence and consistency schedules strictly within validation data, and compare frozen representations with compact-transformer fine-tuning on GPU. Paired permutation or Wilcoxon comparisons should be reported only after sufficient matched runs exist.</w:t>
      </w:r>
    </w:p>
    <w:tbl>
      <w:tblPr>
        <w:tblStyle w:val="TableGrid"/>
        <w:tblW w:type="dxa" w:w="9360"/>
        <w:jc w:val="center"/>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0"/>
            </w:pPr>
            <w:r>
              <w:rPr>
                <w:rFonts w:ascii="Calibri" w:hAnsi="Calibri"/>
                <w:b/>
                <w:i w:val="0"/>
                <w:color w:val="1F4D78"/>
                <w:sz w:val="20"/>
              </w:rPr>
              <w:t xml:space="preserve">Bottom line  </w:t>
            </w:r>
            <w:r>
              <w:rPr>
                <w:rFonts w:ascii="Calibri" w:hAnsi="Calibri"/>
                <w:b w:val="0"/>
                <w:i w:val="0"/>
                <w:color w:val="000000"/>
                <w:sz w:val="20"/>
              </w:rPr>
              <w:t>The executed evidence supports PU learning as a principled alternative to pseudo-negative training, but it does not support a claim of domain-independent deception detection or a consistent benefit from Mean Teacher consistency.</w:t>
            </w:r>
          </w:p>
        </w:tc>
      </w:tr>
    </w:tbl>
    <w:p>
      <w:pPr>
        <w:spacing w:after="0"/>
      </w:pPr>
    </w:p>
    <w:p>
      <w:pPr>
        <w:pStyle w:val="Heading1"/>
        <w:keepNext/>
      </w:pPr>
      <w:r>
        <w:t>References</w:t>
      </w:r>
    </w:p>
    <w:p>
      <w:pPr>
        <w:spacing w:after="100"/>
        <w:ind w:left="360" w:hanging="360"/>
      </w:pPr>
      <w:r>
        <w:rPr>
          <w:rFonts w:ascii="Calibri" w:hAnsi="Calibri"/>
          <w:b w:val="0"/>
          <w:i w:val="0"/>
          <w:color w:val="000000"/>
          <w:sz w:val="19"/>
        </w:rPr>
        <w:t>DiFrauD dataset repository. Hugging Face: https://huggingface.co/datasets/difraud/difraud. Revision aaaf94b336c563a14806bb4f3f58727bed9ed8d4.</w:t>
      </w:r>
    </w:p>
    <w:p>
      <w:pPr>
        <w:spacing w:after="100"/>
        <w:ind w:left="360" w:hanging="360"/>
      </w:pPr>
      <w:r>
        <w:rPr>
          <w:rFonts w:ascii="Calibri" w:hAnsi="Calibri"/>
          <w:b w:val="0"/>
          <w:i w:val="0"/>
          <w:color w:val="000000"/>
          <w:sz w:val="19"/>
        </w:rPr>
        <w:t>Kiryo, R., Niu, G., du Plessis, M. C., and Sugiyama, M. (2017). Positive-Unlabeled Learning with Non-Negative Risk Estimator. Advances in Neural Information Processing Systems.</w:t>
      </w:r>
    </w:p>
    <w:p>
      <w:pPr>
        <w:spacing w:after="100"/>
        <w:ind w:left="360" w:hanging="360"/>
      </w:pPr>
      <w:r>
        <w:rPr>
          <w:rFonts w:ascii="Calibri" w:hAnsi="Calibri"/>
          <w:b w:val="0"/>
          <w:i w:val="0"/>
          <w:color w:val="000000"/>
          <w:sz w:val="19"/>
        </w:rPr>
        <w:t>Tarvainen, A., and Valpola, H. (2017). Mean Teachers Are Better Role Models: Weight-Averaged Consistency Targets Improve Semi-Supervised Deep Learning Results. Advances in Neural Information Processing Systems.</w:t>
      </w:r>
    </w:p>
    <w:p>
      <w:pPr>
        <w:spacing w:after="100"/>
        <w:ind w:left="360" w:hanging="360"/>
      </w:pPr>
      <w:r>
        <w:rPr>
          <w:rFonts w:ascii="Calibri" w:hAnsi="Calibri"/>
          <w:b w:val="0"/>
          <w:i w:val="0"/>
          <w:color w:val="000000"/>
          <w:sz w:val="19"/>
        </w:rPr>
        <w:t>Elkan, C., and Noto, K. (2008). Learning Classifiers from Only Positive and Unlabeled Data. Proceedings of KDD.</w:t>
      </w:r>
    </w:p>
    <w:sectPr w:rsidR="00FC693F" w:rsidRPr="0006063C" w:rsidSect="00034616">
      <w:headerReference w:type="default" r:id="rId9"/>
      <w:footerReference w:type="default" r:id="rId10"/>
      <w:pgSz w:w="12240" w:h="15840"/>
      <w:pgMar w:top="1152"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7"/>
      </w:rPr>
      <w:t xml:space="preserve">DiFrauD PU and Semi-Supervised Study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6666"/>
        <w:sz w:val="17"/>
      </w:rPr>
      <w:t>DIFRAUD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Positive-Unlabeled and Mean Teacher Learning for Cross-Domain Deception Detection</dc:title>
  <dc:subject>Technical report based on the executed DiFrauD quick-mode notebook</dc:subject>
  <dc:creator>DiFrauD research project</dc:creator>
  <cp:keywords>DiFrauD, positive-unlabeled learning, nnPU, Mean Teacher, deception detection</cp:keywords>
  <dc:description>generated by python-docx</dc:description>
  <cp:lastModifiedBy/>
  <cp:revision>1</cp:revision>
  <dcterms:created xsi:type="dcterms:W3CDTF">2013-12-23T23:15:00Z</dcterms:created>
  <dcterms:modified xsi:type="dcterms:W3CDTF">2013-12-23T23:15:00Z</dcterms:modified>
  <cp:category/>
</cp:coreProperties>
</file>