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color w:val="1A1A1A"/>
          <w:sz w:val="40"/>
        </w:rPr>
        <w:t xml:space="preserve">Ananya Patel</w:t>
      </w:r>
    </w:p>
    <w:p>
      <w:pPr>
        <w:spacing w:before="0" w:after="40"/>
      </w:pPr>
      <w:r>
        <w:rPr>
          <w:b w:val="0"/>
          <w:i w:val="0"/>
          <w:color w:val="444444"/>
          <w:sz w:val="22"/>
        </w:rPr>
        <w:t xml:space="preserve">Finance &amp; Accounting | Financial Analysis &amp; Market Research (MBA Finance &amp; Marketing, Ravenshaw University)</w:t>
      </w:r>
    </w:p>
    <w:p>
      <w:pPr>
        <w:spacing w:before="0" w:after="80"/>
      </w:pPr>
      <w:r>
        <w:rPr>
          <w:b w:val="0"/>
          <w:i w:val="0"/>
          <w:color w:val="444444"/>
          <w:sz w:val="20"/>
        </w:rPr>
        <w:t xml:space="preserve">+91 9337807451 | ananyaapatel101@gmail.com | linkedin.com/in/ananya-patel-894557263 | Bhubaneswar, India</w:t>
      </w:r>
    </w:p>
    <w:p>
      <w:pPr>
        <w:spacing w:before="380" w:after="80"/>
        <w:pBdr>
          <w:bottom w:val="single" w:sz="6" w:space="2" w:color="555555"/>
        </w:pBdr>
      </w:pPr>
      <w:r>
        <w:rPr>
          <w:b/>
          <w:i w:val="0"/>
          <w:color w:val="1A1A1A"/>
          <w:sz w:val="23"/>
        </w:rPr>
        <w:t xml:space="preserve">PROFESSIONAL SUMMARY</w:t>
      </w:r>
    </w:p>
    <w:p>
      <w:pPr>
        <w:spacing w:before="0" w:after="40"/>
      </w:pPr>
      <w:r>
        <w:rPr>
          <w:b w:val="0"/>
          <w:i w:val="0"/>
          <w:color w:val="1A1A1A"/>
          <w:sz w:val="23"/>
        </w:rPr>
        <w:t xml:space="preserve">Finance and accounting postgraduate with ratio analysis, working-capital and opex work from an internship at Mahanadi Coalfields Limited (Coal India). Trained in SAP FICO on S/4HANA, with a self-built, end-to-end SAP FICO implementation covering FI setup, procure-to-pay, order-to-cash, asset accounting and month-end close. Advanced Excel and Power BI.</w:t>
      </w:r>
    </w:p>
    <w:p>
      <w:pPr>
        <w:spacing w:before="380" w:after="80"/>
        <w:pBdr>
          <w:bottom w:val="single" w:sz="6" w:space="2" w:color="555555"/>
        </w:pBdr>
      </w:pPr>
      <w:r>
        <w:rPr>
          <w:b/>
          <w:i w:val="0"/>
          <w:color w:val="1A1A1A"/>
          <w:sz w:val="23"/>
        </w:rPr>
        <w:t xml:space="preserve">TECHNICAL SKILLS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Financial Analysis: </w:t>
      </w:r>
      <w:r>
        <w:rPr>
          <w:sz w:val="23"/>
        </w:rPr>
        <w:t xml:space="preserve">Ratio analysis (liquidity, profitability, solvency, efficiency), working capital and cash-conversion assessment, financial statement analysis, operational expenditure tracking, budgeting and variance review.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Accounting &amp; ERP: </w:t>
      </w:r>
      <w:r>
        <w:rPr>
          <w:sz w:val="23"/>
        </w:rPr>
        <w:t xml:space="preserve">SAP S/4HANA (FICO) — General Ledger, Accounts Payable, Accounts Receivable, Asset and Bank Accounting; enterprise structure and FI global settings, chart of accounts and Schedule III financial statement versions, month-end close (FBS1/F.81), MM–FI and SD–FI integration (OBYC, VKOA), GST tax codes, SAP Credit Management, Business Partner, automatic payment program (F110). Tally ERP.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Data &amp; Reporting: </w:t>
      </w:r>
      <w:r>
        <w:rPr>
          <w:sz w:val="23"/>
        </w:rPr>
        <w:t xml:space="preserve">Advanced Excel (pivot tables, VLOOKUP/XLOOKUP, financial functions, dashboards), Power BI, Tableau, SQL, PowerPoint reporting.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Research &amp; Markets: </w:t>
      </w:r>
      <w:r>
        <w:rPr>
          <w:sz w:val="23"/>
        </w:rPr>
        <w:t xml:space="preserve">Commodity and secondary market research, macroeconomic driver analysis (inflation, interest rates, exchange rates), demand–supply assessment, safe-haven and investment asset evaluation.</w:t>
      </w:r>
    </w:p>
    <w:p>
      <w:pPr>
        <w:spacing w:before="380" w:after="80"/>
        <w:pBdr>
          <w:bottom w:val="single" w:sz="6" w:space="2" w:color="555555"/>
        </w:pBdr>
      </w:pPr>
      <w:r>
        <w:rPr>
          <w:b/>
          <w:i w:val="0"/>
          <w:color w:val="1A1A1A"/>
          <w:sz w:val="23"/>
        </w:rPr>
        <w:t xml:space="preserve">WORK EXPERIENCE &amp; INTERNSHIPS</w:t>
      </w:r>
    </w:p>
    <w:p>
      <w:pPr>
        <w:spacing w:before="100" w:after="20"/>
      </w:pPr>
      <w:r>
        <w:rPr>
          <w:b/>
          <w:sz w:val="22"/>
        </w:rPr>
        <w:t xml:space="preserve">Finance Intern — Mahanadi Coalfields Limited</w:t>
      </w:r>
      <w:r>
        <w:rPr>
          <w:color w:val="444444"/>
          <w:sz w:val="20"/>
        </w:rPr>
        <w:t xml:space="preserve">    New Town, Kolkata, India | May 2025 – Jul 2025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 xml:space="preserve">A Coal India subsidiary and one of India’s largest coal producers.</w:t>
      </w:r>
    </w:p>
    <w:p>
      <w:pPr>
        <w:pStyle w:val="ListBullet"/>
        <w:spacing w:after="100"/>
        <w:ind w:left="317"/>
      </w:pPr>
      <w:r>
        <w:rPr>
          <w:sz w:val="23"/>
        </w:rPr>
        <w:t xml:space="preserve">Assessed financial position through ratio analysis — liquidity, profitability, solvency and efficiency ratios drawn from published statements and compared across periods to surface the underlying trends.</w:t>
      </w:r>
    </w:p>
    <w:p>
      <w:pPr>
        <w:pStyle w:val="ListBullet"/>
        <w:spacing w:after="100"/>
        <w:ind w:left="317"/>
      </w:pPr>
      <w:r>
        <w:rPr>
          <w:sz w:val="23"/>
        </w:rPr>
        <w:t xml:space="preserve">Calculated working capital and its components to gauge short-term liquidity and cash lock-up.</w:t>
      </w:r>
    </w:p>
    <w:p>
      <w:pPr>
        <w:pStyle w:val="ListBullet"/>
        <w:spacing w:after="100"/>
        <w:ind w:left="317"/>
      </w:pPr>
      <w:r>
        <w:rPr>
          <w:sz w:val="23"/>
        </w:rPr>
        <w:t xml:space="preserve">Tracked day-to-day operational expenditure and grouped it into recurring cost heads, giving a structured spend view for budgeting and variance review.</w:t>
      </w:r>
    </w:p>
    <w:p>
      <w:pPr>
        <w:pStyle w:val="ListBullet"/>
        <w:spacing w:after="100"/>
        <w:ind w:left="317"/>
      </w:pPr>
      <w:r>
        <w:rPr>
          <w:sz w:val="23"/>
        </w:rPr>
        <w:t xml:space="preserve">Built the Excel workbooks so every figure traced back to a source line in the financial statements.</w:t>
      </w:r>
    </w:p>
    <w:p>
      <w:pPr>
        <w:spacing w:before="380" w:after="80"/>
        <w:pBdr>
          <w:bottom w:val="single" w:sz="6" w:space="2" w:color="555555"/>
        </w:pBdr>
      </w:pPr>
      <w:r>
        <w:rPr>
          <w:b/>
          <w:i w:val="0"/>
          <w:color w:val="1A1A1A"/>
          <w:sz w:val="23"/>
        </w:rPr>
        <w:t xml:space="preserve">EDUCATION</w:t>
      </w:r>
    </w:p>
    <w:p>
      <w:pPr>
        <w:spacing w:before="100" w:after="20"/>
      </w:pPr>
      <w:r>
        <w:rPr>
          <w:b/>
          <w:sz w:val="22"/>
        </w:rPr>
        <w:t xml:space="preserve">MBA (Finance &amp; Marketing) — Ravenshaw University</w:t>
      </w:r>
      <w:r>
        <w:rPr>
          <w:color w:val="444444"/>
          <w:sz w:val="20"/>
        </w:rPr>
        <w:t xml:space="preserve">    Cuttack, India | Jul 2024 – Jun 2026</w:t>
      </w:r>
    </w:p>
    <w:p>
      <w:pPr>
        <w:pStyle w:val="ListBullet"/>
        <w:spacing w:after="100"/>
        <w:ind w:left="317"/>
      </w:pPr>
      <w:r>
        <w:rPr>
          <w:sz w:val="23"/>
        </w:rPr>
        <w:t xml:space="preserve">Sports Secretary, 2024 – 2026. Coursework: Strategic Financial Management, Financial Management, Financial Markets &amp; Services, Accounting for Managers, Business Law, Marketing Management.</w:t>
      </w:r>
    </w:p>
    <w:p>
      <w:pPr>
        <w:spacing w:before="100" w:after="20"/>
      </w:pPr>
      <w:r>
        <w:rPr>
          <w:b/>
          <w:sz w:val="22"/>
        </w:rPr>
        <w:t xml:space="preserve">BBA (Finance) — Ravenshaw University</w:t>
      </w:r>
      <w:r>
        <w:rPr>
          <w:color w:val="444444"/>
          <w:sz w:val="20"/>
        </w:rPr>
        <w:t xml:space="preserve">    Cuttack, India | Jul 2021 – Jun 2024</w:t>
      </w:r>
    </w:p>
    <w:p>
      <w:pPr>
        <w:pageBreakBefore/>
        <w:spacing w:before="380" w:after="80"/>
        <w:pBdr>
          <w:bottom w:val="single" w:sz="6" w:space="2" w:color="555555"/>
        </w:pBdr>
      </w:pPr>
      <w:r>
        <w:rPr>
          <w:b/>
          <w:i w:val="0"/>
          <w:color w:val="1A1A1A"/>
          <w:sz w:val="23"/>
        </w:rPr>
        <w:t xml:space="preserve">KEY PROJECTS</w:t>
      </w:r>
    </w:p>
    <w:p>
      <w:pPr>
        <w:keepNext/>
        <w:spacing w:before="140" w:after="20"/>
      </w:pPr>
      <w:r>
        <w:rPr>
          <w:b/>
          <w:i w:val="0"/>
          <w:color w:val="1A1A1A"/>
          <w:sz w:val="22"/>
        </w:rPr>
        <w:t xml:space="preserve">1. Global Gold Market: Price Drivers and Investment Role</w:t>
      </w:r>
    </w:p>
    <w:p>
      <w:pPr>
        <w:keepNext/>
        <w:spacing w:before="0" w:after="40"/>
      </w:pPr>
      <w:r>
        <w:rPr>
          <w:b w:val="0"/>
          <w:i/>
          <w:color w:val="444444"/>
          <w:sz w:val="19"/>
        </w:rPr>
        <w:t xml:space="preserve">MBA research project · Ravenshaw University (2024–2026)</w:t>
      </w:r>
    </w:p>
    <w:p>
      <w:pPr>
        <w:pStyle w:val="ListBullet"/>
        <w:spacing w:after="100"/>
        <w:ind w:left="317"/>
      </w:pPr>
      <w:r>
        <w:rPr>
          <w:sz w:val="23"/>
        </w:rPr>
        <w:t xml:space="preserve">Studied how inflation, interest rates, exchange rates and economic uncertainty move the gold price, using secondary research on global demand and supply.</w:t>
      </w:r>
    </w:p>
    <w:p>
      <w:pPr>
        <w:pStyle w:val="ListBullet"/>
        <w:spacing w:after="100"/>
        <w:ind w:left="317"/>
      </w:pPr>
      <w:r>
        <w:rPr>
          <w:sz w:val="23"/>
        </w:rPr>
        <w:t xml:space="preserve">Assessed whether gold works as a safe haven and deserves a place in an investment portfolio.</w:t>
      </w:r>
    </w:p>
    <w:p>
      <w:pPr>
        <w:keepNext/>
        <w:spacing w:before="140" w:after="20"/>
      </w:pPr>
      <w:r>
        <w:rPr>
          <w:b/>
          <w:i w:val="0"/>
          <w:color w:val="1A1A1A"/>
          <w:sz w:val="22"/>
        </w:rPr>
        <w:t xml:space="preserve">2. SAP S/4HANA FICO End-to-End Implementation: XYZ Pvt Ltd</w:t>
      </w:r>
    </w:p>
    <w:p>
      <w:pPr>
        <w:keepNext/>
        <w:spacing w:before="0" w:after="40"/>
      </w:pPr>
      <w:r>
        <w:rPr>
          <w:b w:val="0"/>
          <w:i/>
          <w:color w:val="444444"/>
          <w:sz w:val="19"/>
        </w:rPr>
        <w:t xml:space="preserve">Self project · Sep 2026, during SAP FICO training (AppliSAP) · One fictional company code (IN10) with figures tied across every module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Financial accounting setup: </w:t>
      </w:r>
      <w:r>
        <w:rPr>
          <w:sz w:val="23"/>
        </w:rPr>
        <w:t xml:space="preserve">Configured the company code from scratch (ledger, April–March fiscal year, posting periods, document types, number ranges, user tolerance limits), so entries in closed months and postings above a user's approval limit are blocked; 12 test cases prove each control.</w:t>
      </w:r>
    </w:p>
    <w:p>
      <w:pPr>
        <w:pStyle w:val="ListBullet2"/>
        <w:spacing w:after="100"/>
        <w:ind w:left="700" w:hanging="220"/>
      </w:pPr>
      <w:r>
        <w:rPr>
          <w:sz w:val="23"/>
        </w:rPr>
        <w:t xml:space="preserve">Documented every setting in a configuration workbook, with the reason for each value, ready for sign-off.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Procure-to-pay (MM–FI): </w:t>
      </w:r>
      <w:r>
        <w:rPr>
          <w:sz w:val="23"/>
        </w:rPr>
        <w:t xml:space="preserve">Ran a purchase from requisition to a ₹6,84,400 payment run (F110), with automatic account postings (OBYC), a three-way match and GST input credit, so the company pays only for goods received, at the agreed price, and only once.</w:t>
      </w:r>
    </w:p>
    <w:p>
      <w:pPr>
        <w:pStyle w:val="ListBullet2"/>
        <w:spacing w:after="100"/>
        <w:ind w:left="700" w:hanging="220"/>
      </w:pPr>
      <w:r>
        <w:rPr>
          <w:sz w:val="23"/>
        </w:rPr>
        <w:t xml:space="preserve">12 test cases cover price and quantity blocks, duplicate invoices and payment due dates.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Order-to-cash (SD–FI): </w:t>
      </w:r>
      <w:r>
        <w:rPr>
          <w:sz w:val="23"/>
        </w:rPr>
        <w:t xml:space="preserve">Ran a sale from sales order with a credit check to delivery, a GST invoice and customer payment with a 2% early-payment discount and the customer's TDS, so credit-limit breaches are stopped and short payments are cleared correctly.</w:t>
      </w:r>
    </w:p>
    <w:p>
      <w:pPr>
        <w:pStyle w:val="ListBullet2"/>
        <w:spacing w:after="100"/>
        <w:ind w:left="700" w:hanging="220"/>
      </w:pPr>
      <w:r>
        <w:rPr>
          <w:sz w:val="23"/>
        </w:rPr>
        <w:t xml:space="preserve">12 test cases cover credit blocks, stock availability, billing errors and payment tolerances.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Asset accounting (FI-AA): </w:t>
      </w:r>
      <w:r>
        <w:rPr>
          <w:sz w:val="23"/>
        </w:rPr>
        <w:t xml:space="preserve">Set up Companies Act and Income Tax Act depreciation, capitalised a ₹21.60 lakh machine through assets under construction, sold an old lathe at a ₹44,000 profit and ran monthly depreciation (AFAB).</w:t>
      </w:r>
    </w:p>
    <w:p>
      <w:pPr>
        <w:pStyle w:val="ListBullet2"/>
        <w:spacing w:after="100"/>
        <w:ind w:left="700" w:hanging="220"/>
      </w:pPr>
      <w:r>
        <w:rPr>
          <w:sz w:val="23"/>
        </w:rPr>
        <w:t xml:space="preserve">12 test cases cover posting periods, tolerances and the year-end close; the 11-asset register ties to the ledger.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Month-end close and reporting: </w:t>
      </w:r>
      <w:r>
        <w:rPr>
          <w:sz w:val="23"/>
        </w:rPr>
        <w:t xml:space="preserve">Built a 38-account chart of accounts and a Schedule III financial statement version, then closed September with six accruals and deferrals (FBS1, reversed with F.81); without them profit would have been overstated by ₹2.74 lakh. Results shown in a Power BI dashboard.</w:t>
      </w:r>
    </w:p>
    <w:p>
      <w:pPr>
        <w:pStyle w:val="ListBullet2"/>
        <w:spacing w:after="100"/>
        <w:ind w:left="700" w:hanging="220"/>
      </w:pPr>
      <w:r>
        <w:rPr>
          <w:sz w:val="23"/>
        </w:rPr>
        <w:t xml:space="preserve">Interactive statements let a reviewer switch each accrual on or off and watch the Balance Sheet, P&amp;L and ratios recompute.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One set of books: </w:t>
      </w:r>
      <w:r>
        <w:rPr>
          <w:sz w:val="23"/>
        </w:rPr>
        <w:t xml:space="preserve">The goods-received-not-invoiced balance (₹3.40 lakh), customer balances (₹64.80 lakh) and the 11-asset register all tie to the 30 Sep 2026 Balance Sheet and P&amp;L. Full write-ups and live simulators are in the online portfolio.</w:t>
      </w:r>
    </w:p>
    <w:p>
      <w:pPr>
        <w:spacing w:before="380" w:after="80"/>
        <w:pBdr>
          <w:bottom w:val="single" w:sz="6" w:space="2" w:color="555555"/>
        </w:pBdr>
      </w:pPr>
      <w:r>
        <w:rPr>
          <w:b/>
          <w:i w:val="0"/>
          <w:color w:val="1A1A1A"/>
          <w:sz w:val="23"/>
        </w:rPr>
        <w:t xml:space="preserve">CERTIFICATIONS &amp; LANGUAGES</w:t>
      </w:r>
    </w:p>
    <w:p>
      <w:pPr>
        <w:pStyle w:val="ListBullet"/>
        <w:spacing w:after="100"/>
        <w:ind w:left="317"/>
      </w:pPr>
      <w:r>
        <w:rPr>
          <w:sz w:val="23"/>
        </w:rPr>
        <w:t xml:space="preserve">SAP FICO (Financial Accounting &amp; Controlling) on SAP S/4HANA — AppliSAP (expected Sep 2026).</w:t>
      </w:r>
    </w:p>
    <w:p>
      <w:pPr>
        <w:pStyle w:val="ListBullet"/>
        <w:spacing w:after="100"/>
        <w:ind w:left="317"/>
      </w:pPr>
      <w:r>
        <w:rPr>
          <w:b/>
          <w:sz w:val="23"/>
        </w:rPr>
        <w:t xml:space="preserve">Languages: </w:t>
      </w:r>
      <w:r>
        <w:rPr>
          <w:sz w:val="23"/>
        </w:rPr>
        <w:t xml:space="preserve">English (C2 – Proficient) | Hindi (Proficient) | Odia (Proficient)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