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633B6">
      <w:pPr>
        <w:spacing w:before="120" w:after="60"/>
        <w:jc w:val="both"/>
        <w:rPr>
          <w:rFonts w:hint="default" w:ascii="Arial" w:hAnsi="Arial" w:cs="Arial"/>
        </w:rPr>
      </w:pPr>
      <w:r>
        <w:rPr>
          <w:rFonts w:hint="default" w:ascii="Arial" w:hAnsi="Arial" w:cs="Arial"/>
        </w:rPr>
        <w:drawing>
          <wp:inline distT="0" distB="0" distL="114300" distR="114300">
            <wp:extent cx="6116955" cy="1926590"/>
            <wp:effectExtent l="0" t="0" r="444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116955" cy="1926590"/>
                    </a:xfrm>
                    <a:prstGeom prst="rect">
                      <a:avLst/>
                    </a:prstGeom>
                    <a:noFill/>
                    <a:ln>
                      <a:noFill/>
                    </a:ln>
                  </pic:spPr>
                </pic:pic>
              </a:graphicData>
            </a:graphic>
          </wp:inline>
        </w:drawing>
      </w:r>
    </w:p>
    <w:p w14:paraId="00AC012B">
      <w:pPr>
        <w:spacing w:before="120" w:after="60"/>
        <w:jc w:val="both"/>
        <w:rPr>
          <w:rFonts w:hint="default" w:ascii="Arial" w:hAnsi="Arial" w:cs="Arial"/>
        </w:rPr>
      </w:pPr>
    </w:p>
    <w:p w14:paraId="71D8420F">
      <w:pPr>
        <w:spacing w:before="480" w:after="120"/>
        <w:jc w:val="center"/>
        <w:rPr>
          <w:rFonts w:hint="default" w:ascii="Arial" w:hAnsi="Arial" w:cs="Arial"/>
        </w:rPr>
      </w:pPr>
      <w:r>
        <w:rPr>
          <w:rFonts w:hint="default" w:ascii="Arial" w:hAnsi="Arial" w:eastAsia="Arial" w:cs="Arial"/>
          <w:b/>
          <w:bCs/>
          <w:caps/>
          <w:color w:val="2E5496"/>
          <w:sz w:val="44"/>
          <w:szCs w:val="44"/>
        </w:rPr>
        <w:t>CAPSTONE PROJECT REPORT</w:t>
      </w:r>
    </w:p>
    <w:p w14:paraId="63C5C0CC">
      <w:pPr>
        <w:pBdr>
          <w:bottom w:val="single" w:color="2E5496" w:sz="6" w:space="1"/>
        </w:pBdr>
        <w:spacing w:before="0" w:after="0"/>
        <w:rPr>
          <w:rFonts w:hint="default" w:ascii="Arial" w:hAnsi="Arial" w:cs="Arial"/>
        </w:rPr>
      </w:pPr>
    </w:p>
    <w:p w14:paraId="605A4064">
      <w:pPr>
        <w:spacing w:before="200" w:after="0"/>
        <w:rPr>
          <w:rFonts w:hint="default" w:ascii="Arial" w:hAnsi="Arial" w:cs="Arial"/>
        </w:rPr>
      </w:pPr>
    </w:p>
    <w:p w14:paraId="38C140A0">
      <w:pPr>
        <w:jc w:val="center"/>
        <w:rPr>
          <w:rFonts w:hint="default" w:ascii="Arial" w:hAnsi="Arial" w:cs="Arial"/>
        </w:rPr>
      </w:pPr>
      <w:r>
        <w:rPr>
          <w:rFonts w:hint="default" w:ascii="Arial" w:hAnsi="Arial" w:eastAsia="Arial" w:cs="Arial"/>
          <w:i/>
          <w:iCs/>
          <w:color w:val="555555"/>
          <w:sz w:val="22"/>
          <w:szCs w:val="22"/>
        </w:rPr>
        <w:t>Submitted By</w:t>
      </w:r>
    </w:p>
    <w:p w14:paraId="4EB289E7">
      <w:pPr>
        <w:spacing w:before="60" w:after="0"/>
        <w:rPr>
          <w:rFonts w:hint="default" w:ascii="Arial" w:hAnsi="Arial" w:cs="Arial"/>
        </w:rPr>
      </w:pPr>
    </w:p>
    <w:p w14:paraId="359F94C8">
      <w:pPr>
        <w:jc w:val="center"/>
        <w:rPr>
          <w:rFonts w:hint="default" w:ascii="Arial" w:hAnsi="Arial" w:cs="Arial"/>
          <w:lang w:val="en-US"/>
        </w:rPr>
      </w:pPr>
      <w:r>
        <w:rPr>
          <w:rFonts w:hint="default" w:ascii="Arial" w:hAnsi="Arial" w:cs="Arial"/>
          <w:b/>
          <w:bCs/>
          <w:color w:val="1F3864"/>
          <w:sz w:val="36"/>
          <w:szCs w:val="36"/>
          <w:lang w:val="en-US"/>
        </w:rPr>
        <w:t xml:space="preserve">Ananya </w:t>
      </w:r>
      <w:r>
        <w:rPr>
          <w:rFonts w:hint="default" w:cs="Arial"/>
          <w:b/>
          <w:bCs/>
          <w:color w:val="1F3864"/>
          <w:sz w:val="36"/>
          <w:szCs w:val="36"/>
          <w:lang w:val="en-US"/>
        </w:rPr>
        <w:t>Prasad</w:t>
      </w:r>
    </w:p>
    <w:p w14:paraId="19585988">
      <w:pPr>
        <w:spacing w:before="80" w:after="0"/>
        <w:rPr>
          <w:rFonts w:hint="default" w:ascii="Arial" w:hAnsi="Arial" w:cs="Arial"/>
        </w:rPr>
      </w:pPr>
    </w:p>
    <w:p w14:paraId="6C1A8BA1">
      <w:pPr>
        <w:jc w:val="center"/>
        <w:rPr>
          <w:rFonts w:hint="default" w:ascii="Arial" w:hAnsi="Arial" w:cs="Arial"/>
        </w:rPr>
      </w:pPr>
      <w:r>
        <w:rPr>
          <w:rFonts w:hint="default" w:ascii="Arial" w:hAnsi="Arial" w:eastAsia="Arial" w:cs="Arial"/>
          <w:color w:val="1A1A1A"/>
          <w:sz w:val="24"/>
          <w:szCs w:val="24"/>
        </w:rPr>
        <w:t>Roll Number: [</w:t>
      </w:r>
      <w:r>
        <w:rPr>
          <w:rFonts w:hint="default" w:ascii="Arial" w:hAnsi="Arial" w:cs="Arial"/>
          <w:color w:val="1A1A1A"/>
          <w:sz w:val="24"/>
          <w:szCs w:val="24"/>
          <w:lang w:val="en-US"/>
        </w:rPr>
        <w:t>23</w:t>
      </w:r>
      <w:r>
        <w:rPr>
          <w:rFonts w:hint="default" w:cs="Arial"/>
          <w:color w:val="1A1A1A"/>
          <w:sz w:val="24"/>
          <w:szCs w:val="24"/>
          <w:lang w:val="en-US"/>
        </w:rPr>
        <w:t>05354</w:t>
      </w:r>
      <w:r>
        <w:rPr>
          <w:rFonts w:hint="default" w:ascii="Arial" w:hAnsi="Arial" w:eastAsia="Arial" w:cs="Arial"/>
          <w:color w:val="1A1A1A"/>
          <w:sz w:val="24"/>
          <w:szCs w:val="24"/>
        </w:rPr>
        <w:t>]</w:t>
      </w:r>
    </w:p>
    <w:p w14:paraId="28F72A03">
      <w:pPr>
        <w:jc w:val="center"/>
        <w:rPr>
          <w:rFonts w:hint="default" w:ascii="Arial" w:hAnsi="Arial" w:cs="Arial"/>
          <w:lang w:val="en-US"/>
        </w:rPr>
      </w:pPr>
      <w:r>
        <w:rPr>
          <w:rFonts w:hint="default" w:ascii="Arial" w:hAnsi="Arial" w:eastAsia="Arial" w:cs="Arial"/>
          <w:color w:val="1A1A1A"/>
          <w:sz w:val="24"/>
          <w:szCs w:val="24"/>
        </w:rPr>
        <w:t xml:space="preserve">Program: </w:t>
      </w:r>
      <w:r>
        <w:rPr>
          <w:rFonts w:hint="default" w:ascii="Arial" w:hAnsi="Arial" w:cs="Arial"/>
          <w:color w:val="1A1A1A"/>
          <w:sz w:val="24"/>
          <w:szCs w:val="24"/>
          <w:lang w:val="en-US"/>
        </w:rPr>
        <w:t>SAP Integration Developer</w:t>
      </w:r>
    </w:p>
    <w:p w14:paraId="3C67F363">
      <w:pPr>
        <w:jc w:val="center"/>
        <w:rPr>
          <w:rFonts w:hint="default" w:ascii="Arial" w:hAnsi="Arial" w:cs="Arial"/>
        </w:rPr>
      </w:pPr>
      <w:r>
        <w:rPr>
          <w:rFonts w:hint="default" w:ascii="Arial" w:hAnsi="Arial" w:eastAsia="Arial" w:cs="Arial"/>
          <w:color w:val="1A1A1A"/>
          <w:sz w:val="24"/>
          <w:szCs w:val="24"/>
        </w:rPr>
        <w:t>University: Kalinga Institute of Industrial Technology (KIIT)</w:t>
      </w:r>
    </w:p>
    <w:p w14:paraId="028E35A3">
      <w:pPr>
        <w:jc w:val="center"/>
        <w:rPr>
          <w:rFonts w:hint="default" w:ascii="Arial" w:hAnsi="Arial" w:cs="Arial"/>
        </w:rPr>
      </w:pPr>
      <w:r>
        <w:rPr>
          <w:rFonts w:hint="default" w:ascii="Arial" w:hAnsi="Arial" w:eastAsia="Arial" w:cs="Arial"/>
          <w:color w:val="1A1A1A"/>
          <w:sz w:val="24"/>
          <w:szCs w:val="24"/>
        </w:rPr>
        <w:t>Submission Date: April 21, 2026</w:t>
      </w:r>
    </w:p>
    <w:p w14:paraId="4B30D72C">
      <w:pPr>
        <w:spacing w:before="400" w:after="0"/>
        <w:rPr>
          <w:rFonts w:hint="default" w:ascii="Arial" w:hAnsi="Arial" w:cs="Arial"/>
        </w:rPr>
      </w:pPr>
    </w:p>
    <w:p w14:paraId="29390556">
      <w:pPr>
        <w:spacing w:before="80" w:after="60"/>
        <w:jc w:val="center"/>
        <w:rPr>
          <w:rFonts w:hint="default" w:ascii="Arial" w:hAnsi="Arial" w:cs="Arial"/>
          <w:sz w:val="32"/>
          <w:szCs w:val="32"/>
        </w:rPr>
      </w:pPr>
      <w:r>
        <w:rPr>
          <w:rFonts w:hint="default" w:ascii="Arial" w:hAnsi="Arial" w:eastAsia="Arial" w:cs="Arial"/>
          <w:b/>
          <w:bCs/>
          <w:color w:val="2E5496"/>
          <w:sz w:val="32"/>
          <w:szCs w:val="32"/>
        </w:rPr>
        <w:t>PROCURE-TO-PAY (P2P) PROCESS FLOW IN SAP</w:t>
      </w:r>
    </w:p>
    <w:p w14:paraId="0FA0908E">
      <w:pPr>
        <w:spacing w:before="120" w:after="0"/>
        <w:rPr>
          <w:rFonts w:hint="default" w:ascii="Arial" w:hAnsi="Arial" w:cs="Arial"/>
        </w:rPr>
      </w:pPr>
    </w:p>
    <w:p w14:paraId="3760ED54">
      <w:pPr>
        <w:spacing w:before="40"/>
        <w:jc w:val="center"/>
        <w:rPr>
          <w:rFonts w:hint="default" w:ascii="Arial" w:hAnsi="Arial" w:cs="Arial"/>
        </w:rPr>
      </w:pPr>
      <w:r>
        <w:rPr>
          <w:rFonts w:hint="default" w:ascii="Arial" w:hAnsi="Arial" w:cs="Arial"/>
        </w:rPr>
        <w:drawing>
          <wp:inline distT="0" distB="0" distL="114300" distR="114300">
            <wp:extent cx="6356350" cy="1731645"/>
            <wp:effectExtent l="0" t="0" r="635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6356350" cy="1731645"/>
                    </a:xfrm>
                    <a:prstGeom prst="rect">
                      <a:avLst/>
                    </a:prstGeom>
                    <a:noFill/>
                    <a:ln>
                      <a:noFill/>
                    </a:ln>
                  </pic:spPr>
                </pic:pic>
              </a:graphicData>
            </a:graphic>
          </wp:inline>
        </w:drawing>
      </w:r>
    </w:p>
    <w:p w14:paraId="1A3437F9">
      <w:pPr>
        <w:spacing w:before="40"/>
        <w:jc w:val="center"/>
        <w:rPr>
          <w:rFonts w:hint="default" w:ascii="Arial" w:hAnsi="Arial" w:cs="Arial"/>
        </w:rPr>
      </w:pPr>
    </w:p>
    <w:p w14:paraId="0FF3CDD0">
      <w:pPr>
        <w:spacing w:before="40"/>
        <w:jc w:val="center"/>
        <w:rPr>
          <w:rFonts w:hint="default" w:ascii="Arial" w:hAnsi="Arial" w:cs="Arial"/>
        </w:rPr>
      </w:pPr>
      <w:r>
        <w:rPr>
          <w:rFonts w:hint="default" w:ascii="Arial" w:hAnsi="Arial" w:eastAsia="Arial" w:cs="Arial"/>
          <w:i/>
          <w:iCs/>
          <w:color w:val="555555"/>
          <w:sz w:val="20"/>
          <w:szCs w:val="20"/>
        </w:rPr>
        <w:t>Figure 1: End-to-End Procure-to-Pay (P2P) Process Flow in SAP</w:t>
      </w:r>
    </w:p>
    <w:p w14:paraId="3CD1FA60">
      <w:pPr>
        <w:rPr>
          <w:rFonts w:hint="default" w:ascii="Arial" w:hAnsi="Arial" w:cs="Arial"/>
        </w:rPr>
        <w:sectPr>
          <w:headerReference r:id="rId3" w:type="default"/>
          <w:footerReference r:id="rId4" w:type="default"/>
          <w:pgSz w:w="11906" w:h="16838"/>
          <w:pgMar w:top="1080" w:right="1134" w:bottom="1080" w:left="1134" w:header="708" w:footer="708" w:gutter="0"/>
          <w:pgNumType w:fmt="decimal"/>
          <w:cols w:space="720" w:num="1"/>
          <w:docGrid w:linePitch="360" w:charSpace="0"/>
        </w:sectPr>
      </w:pPr>
    </w:p>
    <w:p w14:paraId="1A040418">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1. Introduction</w:t>
      </w:r>
    </w:p>
    <w:p w14:paraId="3D14C4F0">
      <w:pPr>
        <w:pStyle w:val="16"/>
        <w:keepNext w:val="0"/>
        <w:keepLines w:val="0"/>
        <w:widowControl/>
        <w:suppressLineNumbers w:val="0"/>
        <w:spacing w:line="240" w:lineRule="auto"/>
        <w:rPr>
          <w:sz w:val="24"/>
          <w:szCs w:val="24"/>
        </w:rPr>
      </w:pPr>
      <w:r>
        <w:rPr>
          <w:sz w:val="24"/>
          <w:szCs w:val="24"/>
        </w:rPr>
        <w:t>SAP (Systems, Applications, and Products in Data Processing) is a leading enterprise resource planning (ERP) solution used by hundreds of thousands of organizations worldwide to streamline and integrate essential business functions such as finance, procurement, logistics, and human resources. By bringing all data into a centralized system, SAP removes data silos and enables real-time visibility across departments, improving decision-making and operational efficiency.</w:t>
      </w:r>
    </w:p>
    <w:p w14:paraId="69B21FE2">
      <w:pPr>
        <w:pStyle w:val="16"/>
        <w:keepNext w:val="0"/>
        <w:keepLines w:val="0"/>
        <w:widowControl/>
        <w:suppressLineNumbers w:val="0"/>
        <w:spacing w:line="240" w:lineRule="auto"/>
        <w:rPr>
          <w:sz w:val="24"/>
          <w:szCs w:val="24"/>
        </w:rPr>
      </w:pPr>
      <w:r>
        <w:rPr>
          <w:sz w:val="24"/>
          <w:szCs w:val="24"/>
        </w:rPr>
        <w:t>Within SAP, the Materials Management (MM) module manages procurement and inventory processes, covering the entire purchasing lifecycle from vendor selection to goods receipt and invoice verification. The Procure-to-Pay (P2P) process represents this complete cycle, starting from identifying a material requirement and ending with vendor payment. In SAP MM, P2P is automated and system-driven, replacing manual processes to ensure accuracy, compliance, and efficiency, while also enhancing working capital management, vendor relationships, and financial transparency.</w:t>
      </w:r>
    </w:p>
    <w:p w14:paraId="242E9DFF">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2. Problem Statement</w:t>
      </w:r>
    </w:p>
    <w:p w14:paraId="6C75FF6C">
      <w:pPr>
        <w:pBdr>
          <w:bottom w:val="single" w:color="2E5496" w:sz="6" w:space="4"/>
        </w:pBdr>
        <w:spacing w:before="320" w:after="80"/>
        <w:rPr>
          <w:rFonts w:hint="default" w:ascii="Arial" w:hAnsi="Arial" w:eastAsia="SimSun" w:cs="Arial"/>
          <w:sz w:val="24"/>
          <w:szCs w:val="24"/>
        </w:rPr>
      </w:pPr>
      <w:r>
        <w:rPr>
          <w:rFonts w:hint="default" w:ascii="Arial" w:hAnsi="Arial" w:eastAsia="SimSun" w:cs="Arial"/>
          <w:sz w:val="24"/>
          <w:szCs w:val="24"/>
        </w:rPr>
        <w:t>Organizations using manual procurement systems face inefficiencies such as duplicate orders, lack of approval control, and inconsistent vendor pricing due to the absence of a centralized system. Poor coordination between purchase orders, goods receipts, and invoices leads to inventory mismatches, errors in invoice verification, delayed payments, and potential fraud. Additionally, weak audit trails make compliance difficult. This project addresses these challenges by implementing an integrated Procure-to-Pay (P2P) process in SAP MM, enabling a real-time, automated, and controlled procurement workflow.</w:t>
      </w:r>
    </w:p>
    <w:p w14:paraId="7E31CBB2">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3. Project Objectives</w:t>
      </w:r>
    </w:p>
    <w:p w14:paraId="1C916402">
      <w:pPr>
        <w:spacing w:before="60" w:after="80" w:line="276" w:lineRule="auto"/>
        <w:jc w:val="both"/>
        <w:rPr>
          <w:rFonts w:hint="default" w:ascii="Arial" w:hAnsi="Arial" w:cs="Arial"/>
          <w:sz w:val="24"/>
          <w:szCs w:val="24"/>
        </w:rPr>
      </w:pPr>
      <w:r>
        <w:rPr>
          <w:rFonts w:hint="default" w:ascii="Arial" w:hAnsi="Arial" w:eastAsia="Arial" w:cs="Arial"/>
          <w:i w:val="0"/>
          <w:iCs w:val="0"/>
          <w:color w:val="1A1A1A"/>
          <w:sz w:val="24"/>
          <w:szCs w:val="24"/>
        </w:rPr>
        <w:t>The key objectives of this capstone project are:</w:t>
      </w:r>
    </w:p>
    <w:p w14:paraId="4688D10D">
      <w:pPr>
        <w:pStyle w:val="19"/>
        <w:numPr>
          <w:ilvl w:val="0"/>
          <w:numId w:val="1"/>
        </w:numPr>
        <w:spacing w:before="60" w:after="60" w:line="276" w:lineRule="auto"/>
        <w:rPr>
          <w:rFonts w:hint="default" w:ascii="Arial" w:hAnsi="Arial" w:cs="Arial"/>
          <w:sz w:val="24"/>
          <w:szCs w:val="24"/>
        </w:rPr>
      </w:pPr>
      <w:r>
        <w:rPr>
          <w:rFonts w:hint="default" w:ascii="Arial" w:hAnsi="Arial" w:eastAsia="Arial" w:cs="Arial"/>
          <w:color w:val="1A1A1A"/>
          <w:sz w:val="24"/>
          <w:szCs w:val="24"/>
        </w:rPr>
        <w:t>Configure a complete organizational structure in SAP for a fictitious company to serve as the P2P implementation context.</w:t>
      </w:r>
    </w:p>
    <w:p w14:paraId="3071B8B3">
      <w:pPr>
        <w:pStyle w:val="19"/>
        <w:numPr>
          <w:ilvl w:val="0"/>
          <w:numId w:val="1"/>
        </w:numPr>
        <w:spacing w:before="60" w:after="60" w:line="276" w:lineRule="auto"/>
        <w:rPr>
          <w:rFonts w:hint="default" w:ascii="Arial" w:hAnsi="Arial" w:cs="Arial"/>
          <w:sz w:val="24"/>
          <w:szCs w:val="24"/>
        </w:rPr>
      </w:pPr>
      <w:r>
        <w:rPr>
          <w:rFonts w:hint="default" w:ascii="Arial" w:hAnsi="Arial" w:eastAsia="Arial" w:cs="Arial"/>
          <w:color w:val="1A1A1A"/>
          <w:sz w:val="24"/>
          <w:szCs w:val="24"/>
        </w:rPr>
        <w:t>Demonstrate end-to-end P2P process execution in SAP MM — from vendor master creation through final payment posting.</w:t>
      </w:r>
    </w:p>
    <w:p w14:paraId="35FA9465">
      <w:pPr>
        <w:pStyle w:val="19"/>
        <w:numPr>
          <w:ilvl w:val="0"/>
          <w:numId w:val="1"/>
        </w:numPr>
        <w:spacing w:before="60" w:after="60" w:line="276" w:lineRule="auto"/>
        <w:rPr>
          <w:rFonts w:hint="default" w:ascii="Arial" w:hAnsi="Arial" w:cs="Arial"/>
          <w:sz w:val="24"/>
          <w:szCs w:val="24"/>
        </w:rPr>
      </w:pPr>
      <w:r>
        <w:rPr>
          <w:rFonts w:hint="default" w:ascii="Arial" w:hAnsi="Arial" w:eastAsia="Arial" w:cs="Arial"/>
          <w:color w:val="1A1A1A"/>
          <w:sz w:val="24"/>
          <w:szCs w:val="24"/>
        </w:rPr>
        <w:t>Integrate SAP MM with the FI module to reflect real-world cross-functional financial dependencies including GR/IR clearing and vendor liability management.</w:t>
      </w:r>
    </w:p>
    <w:p w14:paraId="39AF4ED5">
      <w:pPr>
        <w:pStyle w:val="19"/>
        <w:numPr>
          <w:ilvl w:val="0"/>
          <w:numId w:val="1"/>
        </w:numPr>
        <w:spacing w:before="60" w:after="60" w:line="276" w:lineRule="auto"/>
        <w:rPr>
          <w:rFonts w:hint="default" w:ascii="Arial" w:hAnsi="Arial" w:cs="Arial"/>
          <w:sz w:val="24"/>
          <w:szCs w:val="24"/>
        </w:rPr>
      </w:pPr>
      <w:r>
        <w:rPr>
          <w:rFonts w:hint="default" w:ascii="Arial" w:hAnsi="Arial" w:eastAsia="Arial" w:cs="Arial"/>
          <w:color w:val="1A1A1A"/>
          <w:sz w:val="24"/>
          <w:szCs w:val="24"/>
        </w:rPr>
        <w:t>Document all relevant SAP transaction codes, master data objects, and configuration steps required for the P2P cycle.</w:t>
      </w:r>
    </w:p>
    <w:p w14:paraId="2846FB10">
      <w:pPr>
        <w:pStyle w:val="19"/>
        <w:numPr>
          <w:ilvl w:val="0"/>
          <w:numId w:val="1"/>
        </w:numPr>
        <w:spacing w:before="60" w:after="60" w:line="276" w:lineRule="auto"/>
        <w:rPr>
          <w:rFonts w:hint="default" w:ascii="Arial" w:hAnsi="Arial" w:cs="Arial"/>
          <w:sz w:val="24"/>
          <w:szCs w:val="24"/>
        </w:rPr>
      </w:pPr>
      <w:r>
        <w:rPr>
          <w:rFonts w:hint="default" w:ascii="Arial" w:hAnsi="Arial" w:eastAsia="Arial" w:cs="Arial"/>
          <w:color w:val="1A1A1A"/>
          <w:sz w:val="24"/>
          <w:szCs w:val="24"/>
        </w:rPr>
        <w:t>Validate system behavior through purchase order creation, goods receipt three-way matching, invoice verification, and payment processing.</w:t>
      </w:r>
    </w:p>
    <w:p w14:paraId="6E0F4669">
      <w:pPr>
        <w:pStyle w:val="19"/>
        <w:numPr>
          <w:ilvl w:val="0"/>
          <w:numId w:val="1"/>
        </w:numPr>
        <w:spacing w:before="60" w:after="60" w:line="276" w:lineRule="auto"/>
        <w:rPr>
          <w:rFonts w:hint="default" w:ascii="Arial" w:hAnsi="Arial" w:cs="Arial"/>
          <w:sz w:val="24"/>
          <w:szCs w:val="24"/>
        </w:rPr>
      </w:pPr>
      <w:r>
        <w:rPr>
          <w:rFonts w:hint="default" w:ascii="Arial" w:hAnsi="Arial" w:eastAsia="Arial" w:cs="Arial"/>
          <w:color w:val="1A1A1A"/>
          <w:sz w:val="24"/>
          <w:szCs w:val="24"/>
        </w:rPr>
        <w:t>Create a reusable implementation blueprint that demonstrates SAP MM best practices for procurement automation.</w:t>
      </w:r>
    </w:p>
    <w:p w14:paraId="46C50FA2">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4. Company Blueprint / Organizational Structure</w:t>
      </w:r>
    </w:p>
    <w:p w14:paraId="6372718A">
      <w:pPr>
        <w:spacing w:before="60" w:after="80" w:line="276" w:lineRule="auto"/>
        <w:jc w:val="both"/>
        <w:rPr>
          <w:rFonts w:hint="default" w:ascii="Arial" w:hAnsi="Arial" w:cs="Arial"/>
          <w:sz w:val="24"/>
          <w:szCs w:val="24"/>
          <w:lang w:val="en-US"/>
        </w:rPr>
      </w:pPr>
      <w:r>
        <w:rPr>
          <w:rFonts w:hint="default" w:ascii="Arial" w:hAnsi="Arial" w:eastAsia="Arial" w:cs="Arial"/>
          <w:i w:val="0"/>
          <w:iCs w:val="0"/>
          <w:color w:val="1A1A1A"/>
          <w:sz w:val="24"/>
          <w:szCs w:val="24"/>
        </w:rPr>
        <w:t xml:space="preserve">A fictitious company, </w:t>
      </w:r>
      <w:r>
        <w:rPr>
          <w:rFonts w:hint="default" w:cs="Arial"/>
          <w:i w:val="0"/>
          <w:iCs w:val="0"/>
          <w:color w:val="1A1A1A"/>
          <w:sz w:val="24"/>
          <w:szCs w:val="24"/>
          <w:lang w:val="en-US"/>
        </w:rPr>
        <w:t>ABC</w:t>
      </w:r>
      <w:r>
        <w:rPr>
          <w:rFonts w:hint="default" w:ascii="Arial" w:hAnsi="Arial" w:eastAsia="Arial" w:cs="Arial"/>
          <w:i w:val="0"/>
          <w:iCs w:val="0"/>
          <w:color w:val="1A1A1A"/>
          <w:sz w:val="24"/>
          <w:szCs w:val="24"/>
        </w:rPr>
        <w:t xml:space="preserve"> Pvt. Ltd., was configured in SAP to serve as the implementation context. The organizational structure follows SAP MM best practices and mirrors a real-world manufacturing and trading entity</w:t>
      </w:r>
      <w:r>
        <w:rPr>
          <w:rFonts w:hint="default" w:cs="Arial"/>
          <w:i w:val="0"/>
          <w:iCs w:val="0"/>
          <w:color w:val="1A1A1A"/>
          <w:sz w:val="24"/>
          <w:szCs w:val="24"/>
          <w:lang w:val="en-US"/>
        </w:rPr>
        <w:t>(in the attached pdf)</w:t>
      </w:r>
    </w:p>
    <w:p w14:paraId="02408D5E">
      <w:pPr>
        <w:spacing w:before="120" w:after="0"/>
        <w:rPr>
          <w:rFonts w:hint="default" w:ascii="Arial" w:hAnsi="Arial" w:cs="Arial"/>
          <w:sz w:val="24"/>
          <w:szCs w:val="24"/>
        </w:rPr>
      </w:pPr>
    </w:p>
    <w:p w14:paraId="4CFA8398">
      <w:pPr>
        <w:spacing w:before="120" w:after="0"/>
        <w:rPr>
          <w:rFonts w:hint="default" w:ascii="Arial" w:hAnsi="Arial" w:cs="Arial"/>
        </w:rPr>
      </w:pPr>
    </w:p>
    <w:p w14:paraId="77A3D639">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5. SAP Modules Used</w:t>
      </w:r>
    </w:p>
    <w:p w14:paraId="3CEC589A">
      <w:pPr>
        <w:spacing w:before="60" w:after="80" w:line="276" w:lineRule="auto"/>
        <w:jc w:val="both"/>
        <w:rPr>
          <w:rFonts w:hint="default" w:ascii="Arial" w:hAnsi="Arial" w:cs="Arial"/>
          <w:sz w:val="24"/>
          <w:szCs w:val="24"/>
          <w:lang w:val="en-US"/>
        </w:rPr>
      </w:pPr>
      <w:r>
        <w:rPr>
          <w:rFonts w:hint="default" w:ascii="Arial" w:hAnsi="Arial" w:eastAsia="Arial" w:cs="Arial"/>
          <w:i w:val="0"/>
          <w:iCs w:val="0"/>
          <w:color w:val="1A1A1A"/>
          <w:sz w:val="24"/>
          <w:szCs w:val="24"/>
        </w:rPr>
        <w:t>The P2P process spans two tightly integrated SAP modules working in real time across the full procurement lifecycle</w:t>
      </w:r>
      <w:r>
        <w:rPr>
          <w:rFonts w:hint="default" w:cs="Arial"/>
          <w:i w:val="0"/>
          <w:iCs w:val="0"/>
          <w:color w:val="1A1A1A"/>
          <w:sz w:val="24"/>
          <w:szCs w:val="24"/>
          <w:lang w:val="en-US"/>
        </w:rPr>
        <w:t xml:space="preserve"> (in attached pdf )</w:t>
      </w:r>
    </w:p>
    <w:p w14:paraId="7BEE4871">
      <w:pPr>
        <w:spacing w:before="120" w:after="0"/>
        <w:rPr>
          <w:rFonts w:hint="default" w:ascii="Arial" w:hAnsi="Arial" w:cs="Arial"/>
          <w:sz w:val="24"/>
          <w:szCs w:val="24"/>
        </w:rPr>
      </w:pPr>
    </w:p>
    <w:p w14:paraId="048A4605">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6. End-to-End P2P Process</w:t>
      </w:r>
    </w:p>
    <w:p w14:paraId="2E885487">
      <w:pPr>
        <w:spacing w:before="240" w:after="80"/>
        <w:rPr>
          <w:rFonts w:hint="default" w:ascii="Arial" w:hAnsi="Arial" w:cs="Arial"/>
        </w:rPr>
      </w:pPr>
      <w:r>
        <w:rPr>
          <w:rFonts w:hint="default" w:ascii="Arial" w:hAnsi="Arial" w:eastAsia="Arial" w:cs="Arial"/>
          <w:b/>
          <w:bCs/>
          <w:color w:val="2E5496"/>
          <w:sz w:val="24"/>
          <w:szCs w:val="24"/>
        </w:rPr>
        <w:t>6.1 Vendor Master Creation (XK01)</w:t>
      </w:r>
    </w:p>
    <w:p w14:paraId="4707F6B9">
      <w:pPr>
        <w:spacing w:before="60" w:after="80" w:line="276" w:lineRule="auto"/>
        <w:jc w:val="both"/>
        <w:rPr>
          <w:rFonts w:hint="default" w:ascii="Arial" w:hAnsi="Arial" w:cs="Arial"/>
          <w:sz w:val="24"/>
          <w:szCs w:val="24"/>
        </w:rPr>
      </w:pPr>
      <w:r>
        <w:rPr>
          <w:rFonts w:hint="default" w:ascii="Arial" w:hAnsi="Arial" w:eastAsia="Arial" w:cs="Arial"/>
          <w:i w:val="0"/>
          <w:iCs w:val="0"/>
          <w:color w:val="1A1A1A"/>
          <w:sz w:val="24"/>
          <w:szCs w:val="24"/>
        </w:rPr>
        <w:t>The Vendor Master is the foundational record in SAP MM for all procurement activities. Created using T-Code XK01, it stores data across three organizational views: General Data (vendor name, address, bank details, communication), Company Code Data (reconciliation account, payment terms, withholding tax), and Purchasing Organization Data (order currency, incoterms, purchasing group assignment). The vendor master acts as the single source of truth for all procurement and payment transactions linked to that supplier. Without a valid, active vendor master record, no purchase order can be generated, ensuring that only approved vendors enter the procurement workflow. Proper configuration of payment terms in the vendor master directly affects cash flow management and early payment discount calculations.</w:t>
      </w:r>
    </w:p>
    <w:p w14:paraId="24089353">
      <w:pPr>
        <w:spacing w:before="240" w:after="80"/>
        <w:rPr>
          <w:rFonts w:hint="default" w:ascii="Arial" w:hAnsi="Arial" w:cs="Arial"/>
        </w:rPr>
      </w:pPr>
      <w:r>
        <w:rPr>
          <w:rFonts w:hint="default" w:ascii="Arial" w:hAnsi="Arial" w:eastAsia="Arial" w:cs="Arial"/>
          <w:b/>
          <w:bCs/>
          <w:color w:val="2E5496"/>
          <w:sz w:val="24"/>
          <w:szCs w:val="24"/>
        </w:rPr>
        <w:t>6.2 Material Master Setup (MM01 / MM02)</w:t>
      </w:r>
    </w:p>
    <w:p w14:paraId="74D19FE1">
      <w:pPr>
        <w:spacing w:before="60" w:after="80" w:line="276" w:lineRule="auto"/>
        <w:jc w:val="both"/>
        <w:rPr>
          <w:rFonts w:hint="default" w:ascii="Arial" w:hAnsi="Arial" w:cs="Arial"/>
          <w:sz w:val="24"/>
          <w:szCs w:val="24"/>
        </w:rPr>
      </w:pPr>
      <w:r>
        <w:rPr>
          <w:rFonts w:hint="default" w:ascii="Arial" w:hAnsi="Arial" w:eastAsia="Arial" w:cs="Arial"/>
          <w:i w:val="0"/>
          <w:iCs w:val="0"/>
          <w:color w:val="1A1A1A"/>
          <w:sz w:val="24"/>
          <w:szCs w:val="24"/>
        </w:rPr>
        <w:t>The Material Master record consolidates all product-related information required across SAP modules for procurement. Created using T-Code MM01, the relevant views for P2P include: Basic Data 1 &amp; 2 (description, unit of measure, weight, dimensions), Purchasing View (purchasing group, order unit, over-delivery tolerance), MRP View (procurement type, planned delivery time, safety stock levels), Accounting 1 View (valuation class, price control — standard vs. moving average), and Plant/Storage Location Data. The valuation class in the accounting view determines which General Ledger accounts are posted during goods receipt and invoice verification, making accurate material master configuration essential for correct financial postings. Materials using Moving Average Price (MAP) reflect real-time cost fluctuations, while Standard Price materials isolate variances in a price difference account.</w:t>
      </w:r>
    </w:p>
    <w:p w14:paraId="67305D94">
      <w:pPr>
        <w:spacing w:before="120" w:after="0"/>
        <w:rPr>
          <w:rFonts w:hint="default" w:ascii="Arial" w:hAnsi="Arial" w:cs="Arial"/>
        </w:rPr>
      </w:pPr>
    </w:p>
    <w:p w14:paraId="53633DB7">
      <w:pPr>
        <w:spacing w:before="240" w:after="80"/>
        <w:rPr>
          <w:rFonts w:hint="default" w:ascii="Arial" w:hAnsi="Arial" w:cs="Arial"/>
        </w:rPr>
      </w:pPr>
      <w:r>
        <w:rPr>
          <w:rFonts w:hint="default" w:ascii="Arial" w:hAnsi="Arial" w:eastAsia="Arial" w:cs="Arial"/>
          <w:b/>
          <w:bCs/>
          <w:color w:val="2E5496"/>
          <w:sz w:val="24"/>
          <w:szCs w:val="24"/>
        </w:rPr>
        <w:t>6.3 Purchase Requisition (ME51N)</w:t>
      </w:r>
    </w:p>
    <w:p w14:paraId="752B59B1">
      <w:pPr>
        <w:pStyle w:val="16"/>
        <w:keepNext w:val="0"/>
        <w:keepLines w:val="0"/>
        <w:widowControl/>
        <w:suppressLineNumbers w:val="0"/>
        <w:rPr>
          <w:rFonts w:hint="default" w:ascii="Arial" w:hAnsi="Arial" w:cs="Arial"/>
          <w:sz w:val="22"/>
          <w:szCs w:val="22"/>
        </w:rPr>
      </w:pPr>
      <w:r>
        <w:rPr>
          <w:rFonts w:hint="default" w:ascii="Arial" w:hAnsi="Arial" w:cs="Arial"/>
          <w:sz w:val="24"/>
          <w:szCs w:val="24"/>
        </w:rPr>
        <w:t>A Purchase Requisition (PR) is an internal document used to request materials from the purchasing department. Created using T-Code ME51N, it includes details such as plant, material, quantity, delivery date, and account assignment. It is not legally binding and serves only as an internal approval request. PRs can be configured for managerial approval before processing and, once approved, can be converted into an RFQ or Purchase Order with full traceability. They can also be automatically generated through MRP runs (MD01/MD02) based on stock requirements, enabling demand-driven procurement.</w:t>
      </w:r>
    </w:p>
    <w:p w14:paraId="07207F4C">
      <w:pPr>
        <w:spacing w:before="240" w:after="80"/>
        <w:rPr>
          <w:rFonts w:hint="default" w:ascii="Arial" w:hAnsi="Arial" w:cs="Arial"/>
        </w:rPr>
      </w:pPr>
      <w:r>
        <w:rPr>
          <w:rFonts w:hint="default" w:ascii="Arial" w:hAnsi="Arial" w:eastAsia="Arial" w:cs="Arial"/>
          <w:b/>
          <w:bCs/>
          <w:color w:val="2E5496"/>
          <w:sz w:val="24"/>
          <w:szCs w:val="24"/>
        </w:rPr>
        <w:t>6.4 Purchase Order Creation (ME21N)</w:t>
      </w:r>
    </w:p>
    <w:p w14:paraId="189E9A0D">
      <w:pPr>
        <w:spacing w:before="60" w:after="80" w:line="276" w:lineRule="auto"/>
        <w:jc w:val="both"/>
        <w:rPr>
          <w:rFonts w:hint="default" w:ascii="Arial" w:hAnsi="Arial" w:cs="Arial"/>
          <w:sz w:val="24"/>
          <w:szCs w:val="24"/>
        </w:rPr>
      </w:pPr>
      <w:r>
        <w:rPr>
          <w:rFonts w:hint="default" w:ascii="Arial" w:hAnsi="Arial" w:eastAsia="Arial" w:cs="Arial"/>
          <w:i w:val="0"/>
          <w:iCs w:val="0"/>
          <w:color w:val="1A1A1A"/>
          <w:sz w:val="24"/>
          <w:szCs w:val="24"/>
        </w:rPr>
        <w:t>The Purchase Order (PO) is the legally binding commercial document issued to the vendor, and forms the cornerstone of the P2P process. Created using T-Code ME21N, it references the purchase requisition and captures the vendor, purchasing organization, plant, material, quantity, agreed unit price, delivery schedule, payment terms, and incoterms. SAP supports multiple PO types: Standard (NB), Subcontracting, Consignment, and Stock Transport Orders. Pricing conditions in the PO can be configured using condition records for automatic price determination based on vendor and material combinations. Upon saving the PO, the system assigns a document number and the PO becomes available for goods receipt. The PO also triggers commitment accounting in Controlling (CO), reserving budget against the relevant cost object before goods are physically received, providing real-time budget monitoring capability.</w:t>
      </w:r>
    </w:p>
    <w:p w14:paraId="47EB7195">
      <w:pPr>
        <w:spacing w:before="240" w:after="80"/>
        <w:rPr>
          <w:rFonts w:hint="default" w:ascii="Arial" w:hAnsi="Arial" w:cs="Arial"/>
        </w:rPr>
      </w:pPr>
      <w:r>
        <w:rPr>
          <w:rFonts w:hint="default" w:ascii="Arial" w:hAnsi="Arial" w:eastAsia="Arial" w:cs="Arial"/>
          <w:b/>
          <w:bCs/>
          <w:color w:val="2E5496"/>
          <w:sz w:val="24"/>
          <w:szCs w:val="24"/>
        </w:rPr>
        <w:t>6.5 Goods Receipt (MIGO)</w:t>
      </w:r>
    </w:p>
    <w:p w14:paraId="07906023">
      <w:pPr>
        <w:spacing w:before="120" w:after="0"/>
        <w:rPr>
          <w:rFonts w:hint="default" w:ascii="Arial" w:hAnsi="Arial" w:eastAsia="SimSun" w:cs="Arial"/>
          <w:sz w:val="24"/>
          <w:szCs w:val="24"/>
          <w:lang w:val="en-US"/>
        </w:rPr>
      </w:pPr>
      <w:r>
        <w:rPr>
          <w:rFonts w:hint="default" w:ascii="Arial" w:hAnsi="Arial" w:eastAsia="SimSun" w:cs="Arial"/>
          <w:sz w:val="24"/>
          <w:szCs w:val="24"/>
        </w:rPr>
        <w:t>Goods Receipt (GR) confirms that ordered materials have been physically received at the plant. It is processed using T-Code MIGO (movement type 101) with reference to the Purchase Order and triggers updates in both MM and FI. In MM, stock levels increase and the open PO quantity is reduced. In FI, a dual entry is posted — inventory is debited and the GR/IR clearing account is credited, creating a temporary liability. The process also generates linked Material and Accounting documents for audit purposes, while enforcing three-way matching (PO, GR, Invoice) to prevent discrepancies and unauthorized receipts</w:t>
      </w:r>
      <w:r>
        <w:rPr>
          <w:rFonts w:hint="default" w:ascii="Arial" w:hAnsi="Arial" w:eastAsia="SimSun" w:cs="Arial"/>
          <w:sz w:val="24"/>
          <w:szCs w:val="24"/>
          <w:lang w:val="en-US"/>
        </w:rPr>
        <w:t>.</w:t>
      </w:r>
    </w:p>
    <w:p w14:paraId="76F28D08">
      <w:pPr>
        <w:spacing w:before="240" w:after="80"/>
        <w:rPr>
          <w:rFonts w:hint="default" w:ascii="Arial" w:hAnsi="Arial" w:eastAsia="Arial" w:cs="Arial"/>
          <w:b/>
          <w:bCs/>
          <w:color w:val="2E5496"/>
          <w:sz w:val="24"/>
          <w:szCs w:val="24"/>
        </w:rPr>
      </w:pPr>
    </w:p>
    <w:p w14:paraId="45DC8419">
      <w:pPr>
        <w:spacing w:before="240" w:after="80"/>
        <w:rPr>
          <w:rFonts w:hint="default" w:ascii="Arial" w:hAnsi="Arial" w:cs="Arial"/>
        </w:rPr>
      </w:pPr>
      <w:r>
        <w:rPr>
          <w:rFonts w:hint="default" w:ascii="Arial" w:hAnsi="Arial" w:eastAsia="Arial" w:cs="Arial"/>
          <w:b/>
          <w:bCs/>
          <w:color w:val="2E5496"/>
          <w:sz w:val="24"/>
          <w:szCs w:val="24"/>
        </w:rPr>
        <w:t>6.6 Invoice Verification (MIRO)</w:t>
      </w:r>
    </w:p>
    <w:p w14:paraId="4C77A574">
      <w:pPr>
        <w:spacing w:before="60" w:after="80" w:line="276" w:lineRule="auto"/>
        <w:jc w:val="both"/>
        <w:rPr>
          <w:rFonts w:hint="default" w:ascii="Arial" w:hAnsi="Arial" w:cs="Arial"/>
          <w:sz w:val="24"/>
          <w:szCs w:val="24"/>
        </w:rPr>
      </w:pPr>
      <w:r>
        <w:rPr>
          <w:rFonts w:hint="default" w:ascii="Arial" w:hAnsi="Arial" w:eastAsia="Arial" w:cs="Arial"/>
          <w:i w:val="0"/>
          <w:iCs w:val="0"/>
          <w:color w:val="1A1A1A"/>
          <w:sz w:val="24"/>
          <w:szCs w:val="24"/>
        </w:rPr>
        <w:t>Invoice Verification is the process of validating the vendor's invoice against the Purchase Order and Goods Receipt before approving it for payment. Executed using T-Code MIRO, the accountant enters the vendor invoice number, invoice date, and amount. SAP automatically performs a three-way match: comparing the invoice price and quantity against the PO price and the GR quantity. If the invoice values fall within the configured tolerance limits, the system posts the accounting entry: debit to GR/IR Clearing (clearing the temporary liability created at GR) and credit to the Vendor Account (creating the actual accounts payable liability). If variances exceed tolerance, the invoice is automatically blocked for payment pending resolution. MIRO also supports handling of planned delivery costs (freight, insurance) included in the PO and properly distributes them to inventory or expense accounts based on condition type configuration.</w:t>
      </w:r>
    </w:p>
    <w:p w14:paraId="599E23E9">
      <w:pPr>
        <w:spacing w:before="120" w:after="0"/>
        <w:rPr>
          <w:rFonts w:hint="default" w:ascii="Arial" w:hAnsi="Arial" w:cs="Arial"/>
        </w:rPr>
      </w:pPr>
    </w:p>
    <w:p w14:paraId="26A4DCDE">
      <w:pPr>
        <w:spacing w:before="240" w:after="80"/>
        <w:rPr>
          <w:rFonts w:hint="default" w:ascii="Arial" w:hAnsi="Arial" w:cs="Arial"/>
        </w:rPr>
      </w:pPr>
      <w:r>
        <w:rPr>
          <w:rFonts w:hint="default" w:ascii="Arial" w:hAnsi="Arial" w:eastAsia="Arial" w:cs="Arial"/>
          <w:b/>
          <w:bCs/>
          <w:color w:val="2E5496"/>
          <w:sz w:val="24"/>
          <w:szCs w:val="24"/>
        </w:rPr>
        <w:t>6.7 Payment Processing (F-53 / F110)</w:t>
      </w:r>
    </w:p>
    <w:p w14:paraId="13AC6263">
      <w:pPr>
        <w:spacing w:before="60" w:after="80" w:line="276" w:lineRule="auto"/>
        <w:jc w:val="both"/>
        <w:rPr>
          <w:rFonts w:hint="default" w:ascii="Arial" w:hAnsi="Arial" w:cs="Arial"/>
        </w:rPr>
      </w:pPr>
      <w:r>
        <w:rPr>
          <w:rFonts w:hint="default" w:ascii="Arial" w:hAnsi="Arial" w:eastAsia="Arial" w:cs="Arial"/>
          <w:i w:val="0"/>
          <w:iCs w:val="0"/>
          <w:color w:val="1A1A1A"/>
          <w:sz w:val="22"/>
          <w:szCs w:val="22"/>
        </w:rPr>
        <w:t>Payment Processing is the final step of the P2P cycle, where the vendor's open liability (created by MIRO) is settled. Manual payments are posted using T-Code F-53 (Post Outgoing Payment), where the accounting clerk selects the vendor account, enters the payment amount and bank clearing account, and applies the payment against the open invoice item. This clears the vendor liability in FI, posting a debit to the Vendor Account and a credit to the Bank Clearing Account. For high-volume environments, the Automatic Payment Program (T-Code F110) processes all due vendor invoices in batch, applies payment terms discounts, generates payment advice notes, and creates electronic bank transfer files (DME files) for bank submission. Upon successful payment run, all cleared items are archived, and the P2P cycle for those transactions is financially closed. The complete document chain — PR, PO, GR Material Document, MIRO Accounting Document, and Payment Document — remains permanently linked and auditable in SAP.</w:t>
      </w:r>
    </w:p>
    <w:p w14:paraId="68178B19">
      <w:pPr>
        <w:spacing w:before="120" w:after="0"/>
        <w:rPr>
          <w:rFonts w:hint="default" w:ascii="Arial" w:hAnsi="Arial" w:cs="Arial"/>
        </w:rPr>
      </w:pPr>
    </w:p>
    <w:p w14:paraId="0A79ADC7">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8. P2P Process Workflow</w:t>
      </w:r>
    </w:p>
    <w:p w14:paraId="02EBF8A4">
      <w:pPr>
        <w:pStyle w:val="16"/>
        <w:keepNext w:val="0"/>
        <w:keepLines w:val="0"/>
        <w:widowControl/>
        <w:suppressLineNumbers w:val="0"/>
        <w:rPr>
          <w:rFonts w:hint="default" w:ascii="Arial" w:hAnsi="Arial" w:cs="Arial"/>
          <w:sz w:val="22"/>
          <w:szCs w:val="22"/>
        </w:rPr>
      </w:pPr>
      <w:r>
        <w:rPr>
          <w:rFonts w:hint="default" w:ascii="Arial" w:hAnsi="Arial" w:cs="Arial"/>
          <w:sz w:val="22"/>
          <w:szCs w:val="22"/>
        </w:rPr>
        <w:t>The Procure-to-Pay (P2P) process follows a sequential and integrated workflow across SAP MM and FI, where each step generates a document that triggers the next, ensuring a complete audit trail. The flow is: Purchase Requisition (ME51N) → Approval → Purchase Order (ME21N) → PO sent to vendor → Goods Receipt (MIGO, Mvt 101) → GR/IR entry in FI → Invoice Verification (MIRO) → Three-way matching (PO, GR, Invoice) → Vendor liability posting → Payment Processing (F-53 / F110) → Open item clearing → P2P cycle completion.</w:t>
      </w:r>
    </w:p>
    <w:p w14:paraId="1CC3046A">
      <w:pPr>
        <w:pStyle w:val="16"/>
        <w:keepNext w:val="0"/>
        <w:keepLines w:val="0"/>
        <w:widowControl/>
        <w:suppressLineNumbers w:val="0"/>
        <w:rPr>
          <w:rFonts w:hint="default" w:ascii="Arial" w:hAnsi="Arial" w:cs="Arial"/>
        </w:rPr>
      </w:pPr>
      <w:r>
        <w:rPr>
          <w:rFonts w:hint="default" w:ascii="Arial" w:hAnsi="Arial" w:cs="Arial"/>
          <w:sz w:val="22"/>
          <w:szCs w:val="22"/>
        </w:rPr>
        <w:t>At the Purchase Order stage, vendor pricing, delivery terms, and account assignment are finalized. Goods Receipt updates inventory and creates GR/IR liability, while Invoice Verification performs the three-way match and records accounts payable. Finally, Payment Processing clears the liability and closes the transaction. This integration between MM and FI ensures synchronized procurement, inventory, and financial data within a single system.</w:t>
      </w:r>
    </w:p>
    <w:p w14:paraId="7B2C73C4">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9. Benefits and Unique Features</w:t>
      </w:r>
    </w:p>
    <w:p w14:paraId="7CB3EA6E">
      <w:pPr>
        <w:spacing w:before="60" w:after="0"/>
        <w:rPr>
          <w:rFonts w:hint="default" w:ascii="Arial" w:hAnsi="Arial" w:cs="Arial"/>
        </w:rPr>
      </w:pPr>
    </w:p>
    <w:tbl>
      <w:tblPr>
        <w:tblStyle w:val="9"/>
        <w:tblW w:w="10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90"/>
        <w:gridCol w:w="5090"/>
      </w:tblGrid>
      <w:tr w14:paraId="0282A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0" w:hRule="atLeast"/>
          <w:tblHeader/>
        </w:trPr>
        <w:tc>
          <w:tcPr>
            <w:tcW w:w="5090" w:type="dxa"/>
            <w:tcBorders>
              <w:top w:val="single" w:color="AAAAAA" w:sz="4" w:space="0"/>
              <w:left w:val="single" w:color="AAAAAA" w:sz="4" w:space="0"/>
              <w:bottom w:val="single" w:color="AAAAAA" w:sz="4" w:space="0"/>
              <w:right w:val="single" w:color="AAAAAA" w:sz="4" w:space="0"/>
            </w:tcBorders>
            <w:shd w:val="clear" w:color="auto" w:fill="2E5496"/>
            <w:tcMar>
              <w:top w:w="100" w:type="dxa"/>
              <w:left w:w="150" w:type="dxa"/>
              <w:bottom w:w="100" w:type="dxa"/>
              <w:right w:w="150" w:type="dxa"/>
            </w:tcMar>
          </w:tcPr>
          <w:p w14:paraId="7813FD3F">
            <w:pPr>
              <w:rPr>
                <w:rFonts w:hint="default" w:ascii="Arial" w:hAnsi="Arial" w:cs="Arial"/>
              </w:rPr>
            </w:pPr>
            <w:r>
              <w:rPr>
                <w:rFonts w:hint="default" w:ascii="Arial" w:hAnsi="Arial" w:eastAsia="Arial" w:cs="Arial"/>
                <w:b/>
                <w:bCs/>
                <w:color w:val="FFFFFF"/>
                <w:sz w:val="22"/>
                <w:szCs w:val="22"/>
              </w:rPr>
              <w:t>Business Benefits</w:t>
            </w:r>
          </w:p>
        </w:tc>
        <w:tc>
          <w:tcPr>
            <w:tcW w:w="5090" w:type="dxa"/>
            <w:tcBorders>
              <w:top w:val="single" w:color="AAAAAA" w:sz="4" w:space="0"/>
              <w:left w:val="single" w:color="AAAAAA" w:sz="4" w:space="0"/>
              <w:bottom w:val="single" w:color="AAAAAA" w:sz="4" w:space="0"/>
              <w:right w:val="single" w:color="AAAAAA" w:sz="4" w:space="0"/>
            </w:tcBorders>
            <w:shd w:val="clear" w:color="auto" w:fill="2E5496"/>
            <w:tcMar>
              <w:top w:w="100" w:type="dxa"/>
              <w:left w:w="150" w:type="dxa"/>
              <w:bottom w:w="100" w:type="dxa"/>
              <w:right w:w="150" w:type="dxa"/>
            </w:tcMar>
          </w:tcPr>
          <w:p w14:paraId="08FEE8C3">
            <w:pPr>
              <w:rPr>
                <w:rFonts w:hint="default" w:ascii="Arial" w:hAnsi="Arial" w:cs="Arial"/>
              </w:rPr>
            </w:pPr>
            <w:r>
              <w:rPr>
                <w:rFonts w:hint="default" w:ascii="Arial" w:hAnsi="Arial" w:eastAsia="Arial" w:cs="Arial"/>
                <w:b/>
                <w:bCs/>
                <w:color w:val="FFFFFF"/>
                <w:sz w:val="22"/>
                <w:szCs w:val="22"/>
              </w:rPr>
              <w:t>Technical Highlights</w:t>
            </w:r>
          </w:p>
        </w:tc>
      </w:tr>
      <w:tr w14:paraId="4AA1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48" w:hRule="atLeast"/>
        </w:trPr>
        <w:tc>
          <w:tcPr>
            <w:tcW w:w="509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50" w:type="dxa"/>
              <w:bottom w:w="100" w:type="dxa"/>
              <w:right w:w="150" w:type="dxa"/>
            </w:tcMar>
          </w:tcPr>
          <w:p w14:paraId="7CCF8BBE">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End-to-end automation eliminates manual handoffs between procurement, warehouse, and finance.</w:t>
            </w:r>
          </w:p>
          <w:p w14:paraId="08AA5B06">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Three-way matching (PO-GR-Invoice) prevents overpayment and fraudulent invoicing.</w:t>
            </w:r>
          </w:p>
          <w:p w14:paraId="18A831AA">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Automated payment terms management optimizes cash flow and captures early payment discounts.</w:t>
            </w:r>
          </w:p>
          <w:p w14:paraId="00B8CEB8">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Real-time stock updates at goods receipt eliminate inventory inaccuracies.</w:t>
            </w:r>
          </w:p>
          <w:p w14:paraId="0DA1C4F5">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Complete document chain ensures full audit readiness and regulatory compliance.</w:t>
            </w:r>
          </w:p>
          <w:p w14:paraId="598CC37D">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Vendor scorecards and delivery performance tracking improve supplier management.</w:t>
            </w:r>
          </w:p>
        </w:tc>
        <w:tc>
          <w:tcPr>
            <w:tcW w:w="5090" w:type="dxa"/>
            <w:tcBorders>
              <w:top w:val="single" w:color="CCCCCC" w:sz="2" w:space="0"/>
              <w:left w:val="single" w:color="CCCCCC" w:sz="2" w:space="0"/>
              <w:bottom w:val="single" w:color="CCCCCC" w:sz="2" w:space="0"/>
              <w:right w:val="single" w:color="CCCCCC" w:sz="2" w:space="0"/>
            </w:tcBorders>
            <w:shd w:val="clear" w:color="auto" w:fill="DCE6F1"/>
            <w:tcMar>
              <w:top w:w="100" w:type="dxa"/>
              <w:left w:w="150" w:type="dxa"/>
              <w:bottom w:w="100" w:type="dxa"/>
              <w:right w:w="150" w:type="dxa"/>
            </w:tcMar>
          </w:tcPr>
          <w:p w14:paraId="231B7D7B">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GR/IR clearing account mechanism bridges the gap between goods receipt and invoice receipt automatically.</w:t>
            </w:r>
          </w:p>
          <w:p w14:paraId="5CCCB361">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Tolerance-based invoice blocking enforces price discipline without manual intervention.</w:t>
            </w:r>
          </w:p>
          <w:p w14:paraId="572048EC">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Moving Average Price (MAP) valuation ensures inventory is always carried at real cost.</w:t>
            </w:r>
          </w:p>
          <w:p w14:paraId="3C0BB349">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Account determination framework auto-posts to correct GL accounts based on valuation class.</w:t>
            </w:r>
          </w:p>
          <w:p w14:paraId="661A387A">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F110 Automatic Payment Program supports high-volume, multi-currency payment runs with bank file generation.</w:t>
            </w:r>
          </w:p>
          <w:p w14:paraId="11830932">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Integration with Controlling (CO) enables real-time commitment accounting against cost objects.</w:t>
            </w:r>
          </w:p>
        </w:tc>
      </w:tr>
    </w:tbl>
    <w:p w14:paraId="67D570D8">
      <w:pPr>
        <w:spacing w:before="60" w:after="0"/>
        <w:rPr>
          <w:rFonts w:hint="default" w:ascii="Arial" w:hAnsi="Arial" w:cs="Arial"/>
        </w:rPr>
      </w:pPr>
    </w:p>
    <w:p w14:paraId="32BAC41A">
      <w:pPr>
        <w:spacing w:before="60" w:after="80" w:line="276" w:lineRule="auto"/>
        <w:jc w:val="center"/>
        <w:rPr>
          <w:rFonts w:hint="default" w:ascii="Arial" w:hAnsi="Arial" w:cs="Arial"/>
        </w:rPr>
      </w:pPr>
      <w:r>
        <w:rPr>
          <w:rFonts w:hint="default" w:ascii="Arial" w:hAnsi="Arial" w:eastAsia="Arial" w:cs="Arial"/>
          <w:i/>
          <w:iCs/>
          <w:color w:val="1A1A1A"/>
          <w:sz w:val="22"/>
          <w:szCs w:val="22"/>
        </w:rPr>
        <w:t>Table 4: Business Benefits and Technical Highlights of SAP MM P2P Implementation</w:t>
      </w:r>
    </w:p>
    <w:p w14:paraId="3376CF16">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10. Future Enhancements</w:t>
      </w:r>
    </w:p>
    <w:p w14:paraId="0BF34541">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SAP S/4HANA Migration: Adoption of the SAP Fiori UI and in-memory HANA database for real-time procurement analytics, embedded cash flow forecasting, and sub-second PO processing with simplified data models.</w:t>
      </w:r>
    </w:p>
    <w:p w14:paraId="69A60496">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Supplier Self-Service Portal (SAP SRM / Ariba): Deploy SAP Ariba integration to enable vendors to submit invoices electronically, check PO status, confirm deliveries, and manage their own master data — reducing procurement team workload by up to 60%.</w:t>
      </w:r>
    </w:p>
    <w:p w14:paraId="38A8304D">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AI-Powered Invoice Processing: Leverage SAP Business AI and Optical Character Recognition (OCR) to automatically scan, extract, and post vendor invoices without manual data entry, eliminating invoice processing backlogs.</w:t>
      </w:r>
    </w:p>
    <w:p w14:paraId="5B3B323B">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Predictive Procurement Analytics: Use SAP Analytics Cloud (SAC) with embedded machine learning to forecast demand patterns, recommend optimal reorder points, and identify cost-saving opportunities through spend analytics dashboards.</w:t>
      </w:r>
    </w:p>
    <w:p w14:paraId="1E1B6E5F">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Blockchain-Based Supply Chain Verification: Implement blockchain integration for tamper-proof tracking of goods from supplier to plant, enabling real-time verification of delivery authenticity and regulatory compliance for controlled materials.</w:t>
      </w:r>
    </w:p>
    <w:p w14:paraId="46361614">
      <w:pPr>
        <w:pStyle w:val="19"/>
        <w:numPr>
          <w:ilvl w:val="0"/>
          <w:numId w:val="1"/>
        </w:numPr>
        <w:spacing w:before="60" w:after="60" w:line="276" w:lineRule="auto"/>
        <w:rPr>
          <w:rFonts w:hint="default" w:ascii="Arial" w:hAnsi="Arial" w:cs="Arial"/>
        </w:rPr>
      </w:pPr>
      <w:r>
        <w:rPr>
          <w:rFonts w:hint="default" w:ascii="Arial" w:hAnsi="Arial" w:eastAsia="Arial" w:cs="Arial"/>
          <w:color w:val="1A1A1A"/>
          <w:sz w:val="22"/>
          <w:szCs w:val="22"/>
        </w:rPr>
        <w:t>EDI / IDOC Integration: Automate electronic exchange of purchase orders, order acknowledgements, and advance shipping notices (ASNs) with strategic vendors using standard EDI formats (EDIFACT/X12), eliminating manual order communication.</w:t>
      </w:r>
    </w:p>
    <w:p w14:paraId="20354AE4">
      <w:pPr>
        <w:pBdr>
          <w:bottom w:val="single" w:color="2E5496" w:sz="6" w:space="4"/>
        </w:pBdr>
        <w:spacing w:before="320" w:after="80"/>
        <w:rPr>
          <w:rFonts w:hint="default" w:ascii="Arial" w:hAnsi="Arial" w:cs="Arial"/>
        </w:rPr>
      </w:pPr>
      <w:r>
        <w:rPr>
          <w:rFonts w:hint="default" w:ascii="Arial" w:hAnsi="Arial" w:eastAsia="Arial" w:cs="Arial"/>
          <w:b/>
          <w:bCs/>
          <w:color w:val="2E5496"/>
          <w:sz w:val="28"/>
          <w:szCs w:val="28"/>
        </w:rPr>
        <w:t>11. Conclusion</w:t>
      </w:r>
    </w:p>
    <w:p w14:paraId="25CEFC5E">
      <w:pPr>
        <w:spacing w:before="60" w:after="80" w:line="276" w:lineRule="auto"/>
        <w:jc w:val="both"/>
        <w:rPr>
          <w:rFonts w:hint="default" w:ascii="Arial" w:hAnsi="Arial" w:cs="Arial"/>
        </w:rPr>
      </w:pPr>
      <w:r>
        <w:rPr>
          <w:rFonts w:hint="default" w:ascii="Arial" w:hAnsi="Arial" w:eastAsia="Arial" w:cs="Arial"/>
          <w:i w:val="0"/>
          <w:iCs w:val="0"/>
          <w:color w:val="1A1A1A"/>
          <w:sz w:val="22"/>
          <w:szCs w:val="22"/>
        </w:rPr>
        <w:t>This capstone project successfully demonstrates a complete, end-to-end implementation of the Procure-to-Pay process in SAP MM, covering organizational structure configuration, master data setup (vendor and material masters), and the full transactional cycle from purchase requisition creation through vendor payment and open item clearing. Through this project, the practical integration of SAP MM with FI was established — highlighting how a single procurement event triggers a synchronized chain of system postings across multiple modules, from inventory valuation to accounts payable management.</w:t>
      </w:r>
    </w:p>
    <w:p w14:paraId="0B408AFD">
      <w:pPr>
        <w:spacing w:before="60" w:after="80" w:line="276" w:lineRule="auto"/>
        <w:jc w:val="both"/>
        <w:rPr>
          <w:rFonts w:hint="default" w:ascii="Arial" w:hAnsi="Arial" w:cs="Arial"/>
        </w:rPr>
      </w:pPr>
      <w:r>
        <w:rPr>
          <w:rFonts w:hint="default" w:ascii="Arial" w:hAnsi="Arial" w:eastAsia="Arial" w:cs="Arial"/>
          <w:i w:val="0"/>
          <w:iCs w:val="0"/>
          <w:color w:val="1A1A1A"/>
          <w:sz w:val="22"/>
          <w:szCs w:val="22"/>
        </w:rPr>
        <w:t>The P2P implementation in SAP not only automates routine purchasing operations but also creates a robust framework for financial accuracy, procurement compliance, and operational efficiency. The three-way match mechanism, automatic account determination, and GR/IR clearing logic collectively ensure that no financial liability is created without a corresponding validated business event — a level of control that manual procurement systems simply cannot achieve.</w:t>
      </w:r>
    </w:p>
    <w:p w14:paraId="3264FCE7">
      <w:pPr>
        <w:spacing w:before="60" w:after="80" w:line="276" w:lineRule="auto"/>
        <w:jc w:val="both"/>
        <w:rPr>
          <w:rFonts w:hint="default" w:ascii="Arial" w:hAnsi="Arial" w:cs="Arial"/>
        </w:rPr>
      </w:pPr>
      <w:r>
        <w:rPr>
          <w:rFonts w:hint="default" w:ascii="Arial" w:hAnsi="Arial" w:eastAsia="Arial" w:cs="Arial"/>
          <w:i w:val="0"/>
          <w:iCs w:val="0"/>
          <w:color w:val="1A1A1A"/>
          <w:sz w:val="22"/>
          <w:szCs w:val="22"/>
        </w:rPr>
        <w:t>The project validates that SAP MM is not merely a procurement tool — it is a strategic platform that connects operational purchasing decisions with real-time financial outcomes, inventory accuracy, and vendor relationship management. Future enhancements using SAP Fiori, Ariba integration, and AI-powered invoice automation will further elevate the business value of this implementation, positioning VKJ Procurement Pvt. Ltd. for a scalable, data-driven procurement function.</w:t>
      </w:r>
    </w:p>
    <w:p w14:paraId="3C6702A5">
      <w:pPr>
        <w:spacing w:before="200" w:after="0"/>
        <w:rPr>
          <w:rFonts w:hint="default" w:ascii="Arial" w:hAnsi="Arial" w:cs="Arial"/>
        </w:rPr>
      </w:pPr>
    </w:p>
    <w:p w14:paraId="0699D7A4">
      <w:pPr>
        <w:pBdr>
          <w:bottom w:val="single" w:color="C9A84C" w:sz="4" w:space="1"/>
        </w:pBdr>
        <w:spacing w:before="0" w:after="0"/>
        <w:rPr>
          <w:rFonts w:hint="default" w:ascii="Arial" w:hAnsi="Arial" w:cs="Arial"/>
        </w:rPr>
      </w:pPr>
    </w:p>
    <w:p w14:paraId="22C08458">
      <w:pPr>
        <w:pBdr>
          <w:bottom w:val="single" w:color="C9A84C" w:sz="4" w:space="1"/>
        </w:pBdr>
        <w:spacing w:before="0" w:after="0"/>
        <w:rPr>
          <w:rFonts w:hint="default" w:ascii="Arial" w:hAnsi="Arial" w:cs="Arial"/>
        </w:rPr>
      </w:pPr>
    </w:p>
    <w:p w14:paraId="72BB75AB">
      <w:pPr>
        <w:pBdr>
          <w:bottom w:val="single" w:color="C9A84C" w:sz="4" w:space="1"/>
        </w:pBdr>
        <w:spacing w:before="0" w:after="0"/>
        <w:rPr>
          <w:rFonts w:hint="default" w:ascii="Arial" w:hAnsi="Arial" w:cs="Arial"/>
        </w:rPr>
      </w:pPr>
    </w:p>
    <w:p w14:paraId="11C158F8">
      <w:pPr>
        <w:pBdr>
          <w:bottom w:val="single" w:color="C9A84C" w:sz="4" w:space="1"/>
        </w:pBdr>
        <w:spacing w:before="0" w:after="0"/>
        <w:rPr>
          <w:rFonts w:hint="default" w:ascii="Arial" w:hAnsi="Arial" w:cs="Arial"/>
        </w:rPr>
      </w:pPr>
    </w:p>
    <w:p w14:paraId="21A856A0">
      <w:pPr>
        <w:pBdr>
          <w:bottom w:val="single" w:color="C9A84C" w:sz="4" w:space="1"/>
        </w:pBdr>
        <w:spacing w:before="0" w:after="0"/>
        <w:rPr>
          <w:rFonts w:hint="default" w:ascii="Arial" w:hAnsi="Arial" w:cs="Arial"/>
        </w:rPr>
      </w:pPr>
    </w:p>
    <w:p w14:paraId="1014E647">
      <w:pPr>
        <w:pBdr>
          <w:bottom w:val="single" w:color="C9A84C" w:sz="4" w:space="1"/>
        </w:pBdr>
        <w:spacing w:before="0" w:after="0"/>
        <w:rPr>
          <w:rFonts w:hint="default" w:ascii="Arial" w:hAnsi="Arial" w:cs="Arial"/>
        </w:rPr>
      </w:pPr>
    </w:p>
    <w:p w14:paraId="4CD58ACA">
      <w:pPr>
        <w:pBdr>
          <w:bottom w:val="single" w:color="C9A84C" w:sz="4" w:space="1"/>
        </w:pBdr>
        <w:spacing w:before="0" w:after="0"/>
        <w:rPr>
          <w:rFonts w:hint="default" w:ascii="Arial" w:hAnsi="Arial" w:cs="Arial"/>
        </w:rPr>
      </w:pPr>
    </w:p>
    <w:p w14:paraId="627D246B">
      <w:pPr>
        <w:pBdr>
          <w:bottom w:val="single" w:color="C9A84C" w:sz="4" w:space="1"/>
        </w:pBdr>
        <w:spacing w:before="0" w:after="0"/>
        <w:rPr>
          <w:rFonts w:hint="default" w:ascii="Arial" w:hAnsi="Arial" w:cs="Arial"/>
        </w:rPr>
      </w:pPr>
    </w:p>
    <w:p w14:paraId="5A8332D5">
      <w:pPr>
        <w:pBdr>
          <w:bottom w:val="single" w:color="C9A84C" w:sz="4" w:space="1"/>
        </w:pBdr>
        <w:spacing w:before="0" w:after="0"/>
        <w:rPr>
          <w:rFonts w:hint="default" w:ascii="Arial" w:hAnsi="Arial" w:cs="Arial"/>
        </w:rPr>
      </w:pPr>
      <w:bookmarkStart w:id="0" w:name="_GoBack"/>
      <w:bookmarkEnd w:id="0"/>
    </w:p>
    <w:sectPr>
      <w:headerReference r:id="rId5" w:type="default"/>
      <w:footerReference r:id="rId6" w:type="default"/>
      <w:pgSz w:w="11906" w:h="16838"/>
      <w:pgMar w:top="1080" w:right="1134" w:bottom="1080" w:left="1134"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Segoe UI Variable Text">
    <w:panose1 w:val="00000000000000000000"/>
    <w:charset w:val="00"/>
    <w:family w:val="auto"/>
    <w:pitch w:val="default"/>
    <w:sig w:usb0="A00002FF" w:usb1="0000000B" w:usb2="00000000" w:usb3="00000000" w:csb0="2000019F" w:csb1="00000000"/>
  </w:font>
  <w:font w:name="ISOCP3_IV50">
    <w:panose1 w:val="00000400000000000000"/>
    <w:charset w:val="00"/>
    <w:family w:val="auto"/>
    <w:pitch w:val="default"/>
    <w:sig w:usb0="0000000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FC91D">
    <w:pPr>
      <w:pBdr>
        <w:top w:val="single" w:color="C9A84C" w:sz="4" w:space="4"/>
      </w:pBdr>
      <w:spacing w:before="8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599C8">
                          <w:pPr>
                            <w:pStyle w:val="12"/>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532599C8">
                    <w:pPr>
                      <w:pStyle w:val="12"/>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i/>
        <w:iCs/>
        <w:color w:val="555555"/>
        <w:sz w:val="18"/>
        <w:szCs w:val="18"/>
      </w:rPr>
      <w:t>Capstone Project — KIIT University | 2025–26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A573D">
    <w:pPr>
      <w:pBdr>
        <w:top w:val="single" w:color="C9A84C" w:sz="4" w:space="4"/>
      </w:pBdr>
      <w:spacing w:before="80"/>
      <w:jc w:val="center"/>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2880EA">
                          <w:pPr>
                            <w:pStyle w:val="12"/>
                          </w:pPr>
                          <w:r>
                            <w:t xml:space="preserve">Page </w:t>
                          </w: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6C2880EA">
                    <w:pPr>
                      <w:pStyle w:val="12"/>
                    </w:pPr>
                    <w:r>
                      <w:t xml:space="preserve">Page </w:t>
                    </w:r>
                    <w:r>
                      <w:fldChar w:fldCharType="begin"/>
                    </w:r>
                    <w:r>
                      <w:instrText xml:space="preserve"> PAGE  \* MERGEFORMAT </w:instrText>
                    </w:r>
                    <w:r>
                      <w:fldChar w:fldCharType="separate"/>
                    </w:r>
                    <w:r>
                      <w:t>2</w:t>
                    </w:r>
                    <w:r>
                      <w:fldChar w:fldCharType="end"/>
                    </w:r>
                  </w:p>
                </w:txbxContent>
              </v:textbox>
            </v:shape>
          </w:pict>
        </mc:Fallback>
      </mc:AlternateContent>
    </w:r>
    <w:r>
      <w:rPr>
        <w:rFonts w:ascii="Arial" w:hAnsi="Arial" w:eastAsia="Arial" w:cs="Arial"/>
        <w:i/>
        <w:iCs/>
        <w:color w:val="555555"/>
        <w:sz w:val="18"/>
        <w:szCs w:val="18"/>
      </w:rPr>
      <w:t>Capstone Project — KIIT University | 2025–26</w:t>
    </w:r>
    <w:r>
      <w:rPr>
        <w:rFonts w:hint="default" w:cs="Arial"/>
        <w:i/>
        <w:iCs/>
        <w:color w:val="555555"/>
        <w:sz w:val="18"/>
        <w:szCs w:val="18"/>
        <w:lang w:val="en-US"/>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2F2CD">
    <w:pPr>
      <w:pBdr>
        <w:bottom w:val="single" w:color="CCCCCC" w:sz="4" w:space="4"/>
      </w:pBdr>
      <w:tabs>
        <w:tab w:val="right" w:pos="9026"/>
      </w:tabs>
      <w:spacing w:before="0" w:after="80"/>
    </w:pPr>
    <w:r>
      <w:rPr>
        <w:rFonts w:ascii="Arial" w:hAnsi="Arial" w:eastAsia="Arial" w:cs="Arial"/>
        <w:color w:val="555555"/>
        <w:sz w:val="18"/>
        <w:szCs w:val="18"/>
      </w:rPr>
      <w:t xml:space="preserve">SAP MM Capstone Project | </w:t>
    </w:r>
    <w:r>
      <w:rPr>
        <w:rFonts w:ascii="Arial" w:hAnsi="Arial" w:eastAsia="Arial" w:cs="Arial"/>
        <w:b/>
        <w:bCs/>
        <w:color w:val="555555"/>
        <w:sz w:val="18"/>
        <w:szCs w:val="18"/>
      </w:rPr>
      <w:t>[</w:t>
    </w:r>
    <w:r>
      <w:rPr>
        <w:rFonts w:hint="default" w:cs="Arial"/>
        <w:b/>
        <w:bCs/>
        <w:color w:val="555555"/>
        <w:sz w:val="18"/>
        <w:szCs w:val="18"/>
        <w:lang w:val="en-US"/>
      </w:rPr>
      <w:t>Ananya Prasad</w:t>
    </w:r>
    <w:r>
      <w:rPr>
        <w:rFonts w:ascii="Arial" w:hAnsi="Arial" w:eastAsia="Arial" w:cs="Arial"/>
        <w:b/>
        <w:bCs/>
        <w:color w:val="555555"/>
        <w:sz w:val="18"/>
        <w:szCs w:val="18"/>
      </w:rPr>
      <w:t>]</w:t>
    </w:r>
    <w:r>
      <w:rPr>
        <w:rFonts w:ascii="Arial" w:hAnsi="Arial" w:eastAsia="Arial" w:cs="Arial"/>
        <w:color w:val="555555"/>
        <w:sz w:val="18"/>
        <w:szCs w:val="18"/>
      </w:rPr>
      <w:t xml:space="preserve"> | Roll No: [</w:t>
    </w:r>
    <w:r>
      <w:rPr>
        <w:rFonts w:hint="default" w:cs="Arial"/>
        <w:color w:val="555555"/>
        <w:sz w:val="18"/>
        <w:szCs w:val="18"/>
        <w:lang w:val="en-US"/>
      </w:rPr>
      <w:t>2305354</w:t>
    </w:r>
    <w:r>
      <w:rPr>
        <w:rFonts w:ascii="Arial" w:hAnsi="Arial" w:eastAsia="Arial" w:cs="Arial"/>
        <w:color w:val="555555"/>
        <w:sz w:val="18"/>
        <w:szCs w:val="18"/>
      </w:rPr>
      <w:t>]</w:t>
    </w:r>
    <w:r>
      <w:rPr>
        <w:rFonts w:ascii="Arial" w:hAnsi="Arial" w:eastAsia="Arial" w:cs="Arial"/>
        <w:sz w:val="18"/>
        <w:szCs w:val="18"/>
      </w:rPr>
      <w:tab/>
    </w: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6F1E7">
    <w:pPr>
      <w:pBdr>
        <w:bottom w:val="single" w:color="CCCCCC" w:sz="4" w:space="4"/>
      </w:pBdr>
      <w:tabs>
        <w:tab w:val="right" w:pos="9026"/>
      </w:tabs>
      <w:spacing w:before="0" w:after="80"/>
    </w:pPr>
    <w:r>
      <w:rPr>
        <w:rFonts w:ascii="Arial" w:hAnsi="Arial" w:eastAsia="Arial" w:cs="Arial"/>
        <w:color w:val="555555"/>
        <w:sz w:val="18"/>
        <w:szCs w:val="18"/>
      </w:rPr>
      <w:t xml:space="preserve">SAP MM Capstone Project | </w:t>
    </w:r>
    <w:r>
      <w:rPr>
        <w:rFonts w:ascii="Arial" w:hAnsi="Arial" w:eastAsia="Arial" w:cs="Arial"/>
        <w:b/>
        <w:bCs/>
        <w:color w:val="555555"/>
        <w:sz w:val="18"/>
        <w:szCs w:val="18"/>
      </w:rPr>
      <w:t>[</w:t>
    </w:r>
    <w:r>
      <w:rPr>
        <w:rFonts w:hint="default" w:cs="Arial"/>
        <w:b/>
        <w:bCs/>
        <w:color w:val="555555"/>
        <w:sz w:val="18"/>
        <w:szCs w:val="18"/>
        <w:lang w:val="en-US"/>
      </w:rPr>
      <w:t>Ananya Prasad</w:t>
    </w:r>
    <w:r>
      <w:rPr>
        <w:rFonts w:ascii="Arial" w:hAnsi="Arial" w:eastAsia="Arial" w:cs="Arial"/>
        <w:b/>
        <w:bCs/>
        <w:color w:val="555555"/>
        <w:sz w:val="18"/>
        <w:szCs w:val="18"/>
      </w:rPr>
      <w:t>]</w:t>
    </w:r>
    <w:r>
      <w:rPr>
        <w:rFonts w:ascii="Arial" w:hAnsi="Arial" w:eastAsia="Arial" w:cs="Arial"/>
        <w:color w:val="555555"/>
        <w:sz w:val="18"/>
        <w:szCs w:val="18"/>
      </w:rPr>
      <w:t xml:space="preserve"> | Roll No: [</w:t>
    </w:r>
    <w:r>
      <w:rPr>
        <w:rFonts w:hint="default" w:cs="Arial"/>
        <w:color w:val="555555"/>
        <w:sz w:val="18"/>
        <w:szCs w:val="18"/>
        <w:lang w:val="en-US"/>
      </w:rPr>
      <w:t>2305354</w:t>
    </w:r>
    <w:r>
      <w:rPr>
        <w:rFonts w:ascii="Arial" w:hAnsi="Arial" w:eastAsia="Arial" w:cs="Arial"/>
        <w:color w:val="555555"/>
        <w:sz w:val="18"/>
        <w:szCs w:val="18"/>
      </w:rPr>
      <w:t>]</w:t>
    </w:r>
    <w:r>
      <w:rPr>
        <w:rFonts w:ascii="Arial" w:hAnsi="Arial" w:eastAsia="Arial" w:cs="Arial"/>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910254"/>
    <w:rsid w:val="083068F7"/>
    <w:rsid w:val="2BF72006"/>
    <w:rsid w:val="578D46AB"/>
    <w:rsid w:val="6FFB2B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rFonts w:ascii="Arial" w:hAnsi="Arial" w:eastAsia="Arial" w:cs="Arial"/>
      <w:color w:val="1A1A1A"/>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20"/>
    <w:semiHidden/>
    <w:unhideWhenUsed/>
    <w:uiPriority w:val="99"/>
    <w:pPr>
      <w:spacing w:after="0" w:line="240" w:lineRule="auto"/>
    </w:pPr>
    <w:rPr>
      <w:rFonts w:ascii="Arial" w:hAnsi="Arial" w:eastAsia="Arial" w:cs="Arial"/>
      <w:color w:val="1A1A1A"/>
      <w:sz w:val="20"/>
      <w:szCs w:val="20"/>
    </w:rPr>
  </w:style>
  <w:style w:type="character" w:styleId="15">
    <w:name w:val="Hyperlink"/>
    <w:unhideWhenUsed/>
    <w:uiPriority w:val="99"/>
    <w:rPr>
      <w:color w:val="0563C1"/>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color w:val="1A1A1A"/>
      <w:sz w:val="56"/>
      <w:szCs w:val="56"/>
    </w:rPr>
  </w:style>
  <w:style w:type="paragraph" w:styleId="19">
    <w:name w:val="List Paragraph"/>
    <w:qFormat/>
    <w:uiPriority w:val="0"/>
    <w:rPr>
      <w:rFonts w:ascii="Arial" w:hAnsi="Arial" w:eastAsia="Arial" w:cs="Arial"/>
      <w:color w:val="1A1A1A"/>
      <w:sz w:val="22"/>
      <w:szCs w:val="22"/>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TotalTime>166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2026-04-16T15:17:00Z</dcterms:created>
  <dc:creator>Un-named</dc:creator>
  <cp:lastModifiedBy>ANANYA PRASAD</cp:lastModifiedBy>
  <dcterms:modified xsi:type="dcterms:W3CDTF">2026-04-17T12:32:39Z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7AE403E5F1DD443C88A6A5DF023F23D9_13</vt:lpwstr>
  </property>
</Properties>
</file>