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700"/>
      </w:tblGrid>
      <w:tr w14:paraId="322FE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ACE5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22"/>
                <w:szCs w:val="22"/>
              </w:rPr>
              <w:t>Organizational Element</w:t>
            </w:r>
          </w:p>
        </w:tc>
        <w:tc>
          <w:tcPr>
            <w:tcW w:w="5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F03E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22"/>
                <w:szCs w:val="22"/>
              </w:rPr>
              <w:t>Configured Value</w:t>
            </w:r>
          </w:p>
        </w:tc>
      </w:tr>
      <w:tr w14:paraId="4EAC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BAB7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Company Name</w:t>
            </w:r>
          </w:p>
        </w:tc>
        <w:tc>
          <w:tcPr>
            <w:tcW w:w="5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0B304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 xml:space="preserve"> Pvt. Ltd.</w:t>
            </w:r>
          </w:p>
        </w:tc>
      </w:tr>
      <w:tr w14:paraId="5EA71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D1E9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Company Code</w:t>
            </w:r>
          </w:p>
        </w:tc>
        <w:tc>
          <w:tcPr>
            <w:tcW w:w="5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5D60B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 xml:space="preserve">1 — </w:t>
            </w: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 xml:space="preserve">ABC 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P</w:t>
            </w: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an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 xml:space="preserve"> India</w:t>
            </w:r>
          </w:p>
        </w:tc>
      </w:tr>
      <w:tr w14:paraId="23D98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71FDE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Purchasing Organization</w:t>
            </w:r>
          </w:p>
        </w:tc>
        <w:tc>
          <w:tcPr>
            <w:tcW w:w="5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2BED9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 xml:space="preserve">1 — </w:t>
            </w: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J Central Purchasing</w:t>
            </w:r>
          </w:p>
        </w:tc>
      </w:tr>
      <w:tr w14:paraId="167AA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7DA5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Purchasing Group</w:t>
            </w:r>
          </w:p>
        </w:tc>
        <w:tc>
          <w:tcPr>
            <w:tcW w:w="5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07E86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1 — Raw Materials Buyers</w:t>
            </w:r>
          </w:p>
        </w:tc>
      </w:tr>
      <w:tr w14:paraId="6F7F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96A6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Plant</w:t>
            </w:r>
          </w:p>
        </w:tc>
        <w:tc>
          <w:tcPr>
            <w:tcW w:w="5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69B95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01 — Delhi Manufacturing Plant</w:t>
            </w:r>
          </w:p>
        </w:tc>
      </w:tr>
      <w:tr w14:paraId="5780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FDA7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Storage Location</w:t>
            </w:r>
          </w:p>
        </w:tc>
        <w:tc>
          <w:tcPr>
            <w:tcW w:w="5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F0D31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ABC0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1 — Main Warehouse, Delhi</w:t>
            </w:r>
          </w:p>
        </w:tc>
      </w:tr>
      <w:tr w14:paraId="725C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2907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Valuation Area</w:t>
            </w:r>
          </w:p>
        </w:tc>
        <w:tc>
          <w:tcPr>
            <w:tcW w:w="5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9115D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01 (Plant-level valuation)</w:t>
            </w:r>
          </w:p>
        </w:tc>
      </w:tr>
      <w:tr w14:paraId="629F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0319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Fiscal Year Variant</w:t>
            </w:r>
          </w:p>
        </w:tc>
        <w:tc>
          <w:tcPr>
            <w:tcW w:w="5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E4953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ABC3</w:t>
            </w: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 xml:space="preserve"> — April to March (Indian FY)</w:t>
            </w:r>
          </w:p>
        </w:tc>
      </w:tr>
    </w:tbl>
    <w:p w14:paraId="47B51DBD">
      <w:pPr>
        <w:spacing w:before="60" w:after="8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1A1A1A"/>
          <w:sz w:val="22"/>
          <w:szCs w:val="22"/>
        </w:rPr>
        <w:t>Table 1: Organizational Structure —</w:t>
      </w:r>
      <w:r>
        <w:rPr>
          <w:rFonts w:hint="default" w:cs="Arial"/>
          <w:i/>
          <w:iCs/>
          <w:color w:val="1A1A1A"/>
          <w:sz w:val="22"/>
          <w:szCs w:val="22"/>
          <w:lang w:val="en-US"/>
        </w:rPr>
        <w:t xml:space="preserve"> ABC</w:t>
      </w:r>
      <w:r>
        <w:rPr>
          <w:rFonts w:hint="default" w:ascii="Arial" w:hAnsi="Arial" w:eastAsia="Arial" w:cs="Arial"/>
          <w:i/>
          <w:iCs/>
          <w:color w:val="1A1A1A"/>
          <w:sz w:val="22"/>
          <w:szCs w:val="22"/>
        </w:rPr>
        <w:t xml:space="preserve"> Pvt. Ltd.</w:t>
      </w:r>
    </w:p>
    <w:p w14:paraId="07736400">
      <w:pPr>
        <w:spacing w:before="60" w:after="0"/>
        <w:rPr>
          <w:rFonts w:hint="default" w:ascii="Arial" w:hAnsi="Arial" w:cs="Arial"/>
        </w:rPr>
      </w:pPr>
    </w:p>
    <w:tbl>
      <w:tblPr>
        <w:tblStyle w:val="3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5900"/>
      </w:tblGrid>
      <w:tr w14:paraId="6C973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841F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AD37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22"/>
                <w:szCs w:val="22"/>
              </w:rPr>
              <w:t>Full Name</w:t>
            </w:r>
          </w:p>
        </w:tc>
        <w:tc>
          <w:tcPr>
            <w:tcW w:w="5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5244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22"/>
                <w:szCs w:val="22"/>
              </w:rPr>
              <w:t>Role in P2P</w:t>
            </w:r>
          </w:p>
        </w:tc>
      </w:tr>
      <w:tr w14:paraId="31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A793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  <w:tc>
          <w:tcPr>
            <w:tcW w:w="22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C141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Materials Management</w:t>
            </w:r>
          </w:p>
        </w:tc>
        <w:tc>
          <w:tcPr>
            <w:tcW w:w="59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20EC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Core module — manages vendor masters, material masters, purchase requisitions, purchase orders, goods receipts, and invoice verification. MM is where the entire procurement transaction originates and is controlled.</w:t>
            </w:r>
          </w:p>
        </w:tc>
      </w:tr>
      <w:tr w14:paraId="351B7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BB40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FI</w:t>
            </w:r>
          </w:p>
        </w:tc>
        <w:tc>
          <w:tcPr>
            <w:tcW w:w="22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D892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Financial Accounting</w:t>
            </w:r>
          </w:p>
        </w:tc>
        <w:tc>
          <w:tcPr>
            <w:tcW w:w="59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96C4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Receives the financial impact of every procurement event. Goods Receipt posts a GR/IR clearing entry. Invoice Verification posts vendor liability. Payment Processing clears the open item and closes the payable.</w:t>
            </w:r>
          </w:p>
        </w:tc>
      </w:tr>
    </w:tbl>
    <w:p w14:paraId="4A740961">
      <w:pPr>
        <w:spacing w:before="60" w:after="8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1A1A1A"/>
          <w:sz w:val="22"/>
          <w:szCs w:val="22"/>
        </w:rPr>
        <w:t>Table 2: SAP Modules Used in the P2P Process</w:t>
      </w:r>
    </w:p>
    <w:p w14:paraId="13FAE627"/>
    <w:p w14:paraId="473DE0EB">
      <w:pPr>
        <w:spacing w:before="120" w:after="0"/>
        <w:rPr>
          <w:rFonts w:hint="default" w:ascii="Arial" w:hAnsi="Arial" w:cs="Arial"/>
        </w:rPr>
      </w:pPr>
    </w:p>
    <w:p w14:paraId="179B3DF3">
      <w:pPr>
        <w:spacing w:before="80" w:after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511800" cy="2355850"/>
            <wp:effectExtent l="0" t="0" r="0" b="635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2B95">
      <w:pPr>
        <w:spacing w:before="60" w:after="120"/>
        <w:jc w:val="center"/>
        <w:rPr>
          <w:rFonts w:hint="default" w:ascii="Arial" w:hAnsi="Arial" w:eastAsia="SimSun" w:cs="Arial"/>
          <w:b w:val="0"/>
          <w:bCs w:val="0"/>
          <w:i/>
          <w:iCs/>
          <w:color w:val="808080" w:themeColor="background1" w:themeShade="8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Figure 2</w:t>
      </w:r>
      <w:r>
        <w:rPr>
          <w:rFonts w:hint="default" w:ascii="Arial" w:hAnsi="Arial" w:eastAsia="SimSun" w:cs="Arial"/>
          <w:b w:val="0"/>
          <w:bCs w:val="0"/>
          <w:i/>
          <w:iCs/>
          <w:color w:val="808080" w:themeColor="background1" w:themeShade="80"/>
          <w:sz w:val="20"/>
          <w:szCs w:val="20"/>
          <w:lang w:val="en-US"/>
        </w:rPr>
        <w:t>.1</w:t>
      </w:r>
      <w:r>
        <w:rPr>
          <w:rFonts w:hint="default" w:ascii="Arial" w:hAnsi="Arial" w:eastAsia="SimSun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: Vendor Master Creation Screen (XK01) showing initial setup and general data entry including</w:t>
      </w:r>
      <w:r>
        <w:rPr>
          <w:rFonts w:hint="default" w:ascii="Arial" w:hAnsi="Arial" w:eastAsia="SimSun" w:cs="Arial"/>
          <w:b w:val="0"/>
          <w:bCs w:val="0"/>
          <w:i/>
          <w:iCs/>
          <w:color w:val="808080" w:themeColor="background1" w:themeShade="80"/>
          <w:sz w:val="20"/>
          <w:szCs w:val="20"/>
          <w:lang w:val="en-US"/>
        </w:rPr>
        <w:t xml:space="preserve"> </w:t>
      </w:r>
      <w:r>
        <w:rPr>
          <w:rFonts w:hint="default" w:ascii="Arial" w:hAnsi="Arial" w:eastAsia="SimSun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vendor name, address, and organizational details</w:t>
      </w:r>
    </w:p>
    <w:p w14:paraId="695F4A26">
      <w:pPr>
        <w:spacing w:before="60" w:after="120"/>
        <w:jc w:val="center"/>
        <w:rPr>
          <w:rFonts w:hint="default" w:ascii="Arial" w:hAnsi="Arial" w:eastAsia="SimSun" w:cs="Arial"/>
          <w:b w:val="0"/>
          <w:bCs w:val="0"/>
          <w:i/>
          <w:iCs/>
          <w:color w:val="808080" w:themeColor="background1" w:themeShade="80"/>
          <w:sz w:val="20"/>
          <w:szCs w:val="20"/>
        </w:rPr>
      </w:pPr>
    </w:p>
    <w:p w14:paraId="73D9EC79">
      <w:pPr>
        <w:spacing w:before="60" w:after="120"/>
        <w:jc w:val="center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drawing>
          <wp:inline distT="0" distB="0" distL="114300" distR="114300">
            <wp:extent cx="5820410" cy="2308860"/>
            <wp:effectExtent l="0" t="0" r="8890" b="254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DA9E">
      <w:pPr>
        <w:pStyle w:val="4"/>
        <w:keepNext w:val="0"/>
        <w:keepLines w:val="0"/>
        <w:widowControl/>
        <w:suppressLineNumbers w:val="0"/>
        <w:rPr>
          <w:rStyle w:val="5"/>
          <w:rFonts w:hint="default"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</w:pPr>
      <w:r>
        <w:rPr>
          <w:rStyle w:val="5"/>
          <w:rFonts w:hint="default"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Figure 2</w:t>
      </w:r>
      <w:r>
        <w:rPr>
          <w:rStyle w:val="5"/>
          <w:rFonts w:hint="default"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  <w:lang w:val="en-US"/>
        </w:rPr>
        <w:t>.2</w:t>
      </w:r>
      <w:r>
        <w:rPr>
          <w:rStyle w:val="5"/>
          <w:rFonts w:hint="default"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 xml:space="preserve">: Vendor Master Creation Screen (XK01) displaying initial vendor setup and general data fields </w:t>
      </w:r>
      <w:r>
        <w:rPr>
          <w:rStyle w:val="5"/>
          <w:rFonts w:hint="default"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  <w:lang w:val="en-US"/>
        </w:rPr>
        <w:tab/>
      </w:r>
      <w:r>
        <w:rPr>
          <w:rStyle w:val="5"/>
          <w:rFonts w:hint="default"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  <w:lang w:val="en-US"/>
        </w:rPr>
        <w:tab/>
      </w:r>
      <w:r>
        <w:rPr>
          <w:rStyle w:val="5"/>
          <w:rFonts w:hint="default"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  <w:lang w:val="en-US"/>
        </w:rPr>
        <w:tab/>
      </w:r>
      <w:r>
        <w:rPr>
          <w:rStyle w:val="5"/>
          <w:rFonts w:hint="default"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such as company name, address, and organizational information</w:t>
      </w:r>
    </w:p>
    <w:p w14:paraId="694D2482">
      <w:pPr>
        <w:spacing w:before="80" w:after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90185" cy="2306320"/>
            <wp:effectExtent l="0" t="0" r="5715" b="508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EAD1">
      <w:pPr>
        <w:spacing w:before="60" w:after="120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Figure 3:</w:t>
      </w:r>
      <w:r>
        <w:rPr>
          <w:rFonts w:hint="default" w:ascii="Arial" w:hAnsi="Arial" w:cs="Arial"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hint="default" w:ascii="Arial" w:hAnsi="Arial" w:eastAsia="SimSun" w:cs="Arial"/>
          <w:i/>
          <w:iCs/>
          <w:color w:val="808080" w:themeColor="background1" w:themeShade="80"/>
          <w:sz w:val="20"/>
          <w:szCs w:val="20"/>
        </w:rPr>
        <w:t>Material Master Screen (MM01) showing basic data, purchasing, and accounting views</w:t>
      </w:r>
    </w:p>
    <w:p w14:paraId="090ACAEF">
      <w:pPr>
        <w:spacing w:before="80" w:after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81700" cy="2815590"/>
            <wp:effectExtent l="0" t="0" r="0" b="381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C6F2">
      <w:pPr>
        <w:spacing w:before="60" w:after="120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Figure 4: Purchase Requisition Screen (ME51N)</w:t>
      </w:r>
    </w:p>
    <w:p w14:paraId="2FABE01F">
      <w:pPr>
        <w:spacing w:before="120" w:after="0"/>
        <w:rPr>
          <w:rFonts w:hint="default" w:ascii="Arial" w:hAnsi="Arial" w:cs="Arial"/>
        </w:rPr>
      </w:pPr>
    </w:p>
    <w:p w14:paraId="77754740">
      <w:pPr>
        <w:spacing w:before="80" w:after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110605" cy="2830195"/>
            <wp:effectExtent l="0" t="0" r="10795" b="190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50B5">
      <w:pPr>
        <w:spacing w:before="60" w:after="120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Figure 5: Purchase Order Screen (ME21N)</w:t>
      </w:r>
    </w:p>
    <w:p w14:paraId="72D92DF9">
      <w:pPr>
        <w:spacing w:before="120" w:after="0"/>
        <w:rPr>
          <w:rFonts w:hint="default" w:ascii="Arial" w:hAnsi="Arial" w:eastAsia="SimSun" w:cs="Arial"/>
          <w:sz w:val="22"/>
          <w:szCs w:val="22"/>
          <w:lang w:val="en-US"/>
        </w:rPr>
      </w:pPr>
    </w:p>
    <w:p w14:paraId="57237EF7">
      <w:pPr>
        <w:spacing w:before="80" w:after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116320" cy="2549525"/>
            <wp:effectExtent l="0" t="0" r="5080" b="317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bookmarkStart w:id="0" w:name="_GoBack"/>
      <w:bookmarkEnd w:id="0"/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Figure 6: Goods Receipt Screen (MIGO)</w:t>
      </w:r>
    </w:p>
    <w:p w14:paraId="58D5F71F">
      <w:pPr>
        <w:spacing w:before="80" w:after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111875" cy="2819400"/>
            <wp:effectExtent l="0" t="0" r="9525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EDCE">
      <w:pPr>
        <w:spacing w:before="60" w:after="120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Figure 7: Invoice Verification Screen (MIRO)</w:t>
      </w:r>
    </w:p>
    <w:p w14:paraId="6C7CD70A">
      <w:pPr>
        <w:spacing w:before="80" w:after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6118860" cy="2152650"/>
            <wp:effectExtent l="0" t="0" r="2540" b="635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87EC">
      <w:pPr>
        <w:spacing w:before="60" w:after="120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Figure 8: Payment Processing Screen (F-53)</w:t>
      </w:r>
    </w:p>
    <w:p w14:paraId="0E0C8114">
      <w:pPr>
        <w:pBdr>
          <w:bottom w:val="single" w:color="2E5496" w:sz="6" w:space="4"/>
        </w:pBdr>
        <w:spacing w:before="32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2E5496"/>
          <w:sz w:val="28"/>
          <w:szCs w:val="28"/>
        </w:rPr>
        <w:t>7. Transaction Codes Summary</w:t>
      </w:r>
    </w:p>
    <w:p w14:paraId="3903B587">
      <w:pPr>
        <w:spacing w:before="80" w:after="0"/>
        <w:rPr>
          <w:rFonts w:hint="default" w:ascii="Arial" w:hAnsi="Arial" w:cs="Arial"/>
        </w:rPr>
      </w:pPr>
    </w:p>
    <w:tbl>
      <w:tblPr>
        <w:tblStyle w:val="3"/>
        <w:tblW w:w="91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4"/>
        <w:gridCol w:w="3264"/>
        <w:gridCol w:w="4321"/>
      </w:tblGrid>
      <w:tr w14:paraId="71A96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  <w:tblHeader/>
        </w:trPr>
        <w:tc>
          <w:tcPr>
            <w:tcW w:w="153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4BB5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326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4A0E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22"/>
                <w:szCs w:val="22"/>
              </w:rPr>
              <w:t>Transaction Description</w:t>
            </w:r>
          </w:p>
        </w:tc>
        <w:tc>
          <w:tcPr>
            <w:tcW w:w="43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2559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22"/>
                <w:szCs w:val="22"/>
              </w:rPr>
              <w:t>Module</w:t>
            </w:r>
          </w:p>
        </w:tc>
      </w:tr>
      <w:tr w14:paraId="7DF0A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1DFE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XK01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65C9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Create Vendor Master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3A4B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 / FI</w:t>
            </w:r>
          </w:p>
        </w:tc>
      </w:tr>
      <w:tr w14:paraId="7704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032B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XK02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0FF5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Change Vendor Master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26AF6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 / FI</w:t>
            </w:r>
          </w:p>
        </w:tc>
      </w:tr>
      <w:tr w14:paraId="1DC79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6B6A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MM01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2543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Create Material Master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8E02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</w:tr>
      <w:tr w14:paraId="25A05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DDF6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MM02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A65B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Change Material Master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59FD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</w:tr>
      <w:tr w14:paraId="48157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390B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ME51N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DE2C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Create Purchase Requisition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A3E3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</w:tr>
      <w:tr w14:paraId="4D1B1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36A7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ME52N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BC26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Change Purchase Requisition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0ACD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</w:tr>
      <w:tr w14:paraId="7F20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062B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ME21N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5DEB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Create Purchase Order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AE55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</w:tr>
      <w:tr w14:paraId="5ABF3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F4F9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ME22N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5BC2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Change Purchase Order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3025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</w:tr>
      <w:tr w14:paraId="1CFC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8F0F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ME23N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2DC9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Display Purchase Order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2911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</w:tr>
      <w:tr w14:paraId="39D4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E990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MIGO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5C4A8">
            <w:pPr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Goods Receipt / Goods Issue (Mvt 101</w:t>
            </w:r>
            <w:r>
              <w:rPr>
                <w:rFonts w:hint="default" w:cs="Arial"/>
                <w:color w:val="1A1A1A"/>
                <w:sz w:val="21"/>
                <w:szCs w:val="21"/>
                <w:lang w:val="en-US"/>
              </w:rPr>
              <w:t>)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D678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 / FI</w:t>
            </w:r>
          </w:p>
        </w:tc>
      </w:tr>
      <w:tr w14:paraId="0733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BC5A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MIRO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16D5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Logistics Invoice Verification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B214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 / FI</w:t>
            </w:r>
          </w:p>
        </w:tc>
      </w:tr>
      <w:tr w14:paraId="6A17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EC89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MIR4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C713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Display Invoice Document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19F6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 / FI</w:t>
            </w:r>
          </w:p>
        </w:tc>
      </w:tr>
      <w:tr w14:paraId="32FC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B2B0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F-53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856E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Post Outgoing Payment (Manual)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3C42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FI</w:t>
            </w:r>
          </w:p>
        </w:tc>
      </w:tr>
      <w:tr w14:paraId="4CC0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9CAA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F110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5634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Automatic Payment Program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9D1D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FI</w:t>
            </w:r>
          </w:p>
        </w:tc>
      </w:tr>
      <w:tr w14:paraId="6F1F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3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FA67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FBL1N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BC79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Vendor Line Items Report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2A52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FI</w:t>
            </w:r>
          </w:p>
        </w:tc>
      </w:tr>
      <w:tr w14:paraId="3CFFD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7" w:hRule="atLeast"/>
        </w:trPr>
        <w:tc>
          <w:tcPr>
            <w:tcW w:w="15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49FB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ME2M</w:t>
            </w:r>
          </w:p>
        </w:tc>
        <w:tc>
          <w:tcPr>
            <w:tcW w:w="326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03CB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Purchase Orders by Material</w:t>
            </w:r>
          </w:p>
        </w:tc>
        <w:tc>
          <w:tcPr>
            <w:tcW w:w="432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3FBC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1A1A1A"/>
                <w:sz w:val="21"/>
                <w:szCs w:val="21"/>
              </w:rPr>
              <w:t>MM</w:t>
            </w:r>
          </w:p>
        </w:tc>
      </w:tr>
    </w:tbl>
    <w:p w14:paraId="60B99AEA">
      <w:pPr>
        <w:spacing w:before="60" w:after="0"/>
        <w:rPr>
          <w:rFonts w:hint="default" w:ascii="Arial" w:hAnsi="Arial" w:cs="Arial"/>
        </w:rPr>
      </w:pPr>
    </w:p>
    <w:p w14:paraId="09DB98A5">
      <w:pPr>
        <w:spacing w:before="60" w:after="8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1A1A1A"/>
          <w:sz w:val="22"/>
          <w:szCs w:val="22"/>
        </w:rPr>
        <w:t>Table 3: Key SAP Transaction Codes Used in the P2P Process</w:t>
      </w:r>
    </w:p>
    <w:p w14:paraId="38B00EC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747D1"/>
    <w:rsid w:val="0DA7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2026-04-17T12:17:00Z</dcterms:created>
  <dc:creator>ANANYA PRASAD</dc:creator>
  <cp:lastModifiedBy>ANANYA PRASAD</cp:lastModifiedBy>
  <dcterms:modified xsi:type="dcterms:W3CDTF">2026-04-17T12:29:29Z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B3471DB296384FF584E3FD30B38AD16A_11</vt:lpwstr>
  </property>
</Properties>
</file>