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Times New Roman" w:cs="Times New Roman" w:hAnsi="Times New Roman" w:eastAsia="Times New Roman"/>
          <w:sz w:val="24"/>
          <w:szCs w:val="24"/>
        </w:rPr>
      </w:pPr>
      <w:r>
        <w:rPr>
          <w:rFonts w:ascii="Times New Roman" w:hAnsi="Times New Roman"/>
          <w:sz w:val="24"/>
          <w:szCs w:val="24"/>
          <w:rtl w:val="0"/>
          <w:lang w:val="en-US"/>
        </w:rPr>
        <w:t>MEMORANDUM</w:t>
      </w:r>
    </w:p>
    <w:p>
      <w:pPr>
        <w:pStyle w:val="Body"/>
        <w:spacing w:after="480"/>
        <w:rPr>
          <w:rFonts w:ascii="Times New Roman" w:cs="Times New Roman" w:hAnsi="Times New Roman" w:eastAsia="Times New Roman"/>
          <w:sz w:val="24"/>
          <w:szCs w:val="24"/>
        </w:rPr>
      </w:pPr>
      <w:r>
        <w:rPr>
          <w:rFonts w:ascii="Times New Roman" w:hAnsi="Times New Roman"/>
          <w:b w:val="1"/>
          <w:bCs w:val="1"/>
          <w:sz w:val="24"/>
          <w:szCs w:val="24"/>
          <w:rtl w:val="0"/>
          <w:lang w:val="da-DK"/>
        </w:rPr>
        <w:t>TO:</w:t>
        <w:tab/>
        <w:tab/>
      </w:r>
      <w:r>
        <w:rPr>
          <w:rFonts w:ascii="Times New Roman" w:hAnsi="Times New Roman"/>
          <w:sz w:val="24"/>
          <w:szCs w:val="24"/>
          <w:rtl w:val="0"/>
          <w:lang w:val="en-US"/>
        </w:rPr>
        <w:t>General Counsel</w:t>
      </w:r>
      <w:r>
        <w:rPr>
          <w:rFonts w:ascii="Times New Roman" w:cs="Times New Roman" w:hAnsi="Times New Roman" w:eastAsia="Times New Roman"/>
          <w:sz w:val="24"/>
          <w:szCs w:val="24"/>
        </w:rPr>
        <w:br w:type="textWrapping"/>
      </w:r>
      <w:r>
        <w:rPr>
          <w:rFonts w:ascii="Times New Roman" w:hAnsi="Times New Roman"/>
          <w:b w:val="1"/>
          <w:bCs w:val="1"/>
          <w:sz w:val="24"/>
          <w:szCs w:val="24"/>
          <w:rtl w:val="0"/>
        </w:rPr>
        <w:t>FROM:</w:t>
        <w:tab/>
      </w:r>
      <w:r>
        <w:rPr>
          <w:rFonts w:ascii="Times New Roman" w:hAnsi="Times New Roman"/>
          <w:sz w:val="24"/>
          <w:szCs w:val="24"/>
          <w:rtl w:val="0"/>
          <w:lang w:val="en-US"/>
        </w:rPr>
        <w:t>Chief Human Resources Compliance Officer</w:t>
      </w:r>
      <w:r>
        <w:rPr>
          <w:rFonts w:ascii="Times New Roman" w:cs="Times New Roman" w:hAnsi="Times New Roman" w:eastAsia="Times New Roman"/>
          <w:sz w:val="24"/>
          <w:szCs w:val="24"/>
        </w:rPr>
        <w:br w:type="textWrapping"/>
      </w:r>
      <w:r>
        <w:rPr>
          <w:rFonts w:ascii="Times New Roman" w:hAnsi="Times New Roman"/>
          <w:b w:val="1"/>
          <w:bCs w:val="1"/>
          <w:sz w:val="24"/>
          <w:szCs w:val="24"/>
          <w:rtl w:val="0"/>
          <w:lang w:val="en-US"/>
        </w:rPr>
        <w:t>DATE:</w:t>
        <w:tab/>
      </w:r>
      <w:r>
        <w:rPr>
          <w:rFonts w:ascii="Times New Roman" w:hAnsi="Times New Roman"/>
          <w:sz w:val="24"/>
          <w:szCs w:val="24"/>
          <w:rtl w:val="0"/>
          <w:lang w:val="en-US"/>
        </w:rPr>
        <w:t>May 19, 2026</w:t>
      </w:r>
      <w:r>
        <w:rPr>
          <w:rFonts w:ascii="Times New Roman" w:cs="Times New Roman" w:hAnsi="Times New Roman" w:eastAsia="Times New Roman"/>
          <w:sz w:val="24"/>
          <w:szCs w:val="24"/>
        </w:rPr>
        <w:br w:type="textWrapping"/>
      </w:r>
      <w:r>
        <w:rPr>
          <w:rFonts w:ascii="Times New Roman" w:hAnsi="Times New Roman"/>
          <w:b w:val="1"/>
          <w:bCs w:val="1"/>
          <w:sz w:val="24"/>
          <w:szCs w:val="24"/>
          <w:rtl w:val="0"/>
        </w:rPr>
        <w:t>SUBJECT:</w:t>
        <w:tab/>
      </w:r>
      <w:r>
        <w:rPr>
          <w:rFonts w:ascii="Times New Roman" w:hAnsi="Times New Roman"/>
          <w:sz w:val="24"/>
          <w:szCs w:val="24"/>
          <w:rtl w:val="0"/>
          <w:lang w:val="en-US"/>
        </w:rPr>
        <w:t>Post-Acquisition HR Compliance Audit Findings of Ohio Pizza Chain</w:t>
      </w:r>
    </w:p>
    <w:p>
      <w:pPr>
        <w:pStyle w:val="Body"/>
        <w:spacing w:after="480"/>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b w:val="1"/>
          <w:bCs w:val="1"/>
          <w:sz w:val="24"/>
          <w:szCs w:val="24"/>
          <w:rtl w:val="0"/>
          <w:lang w:val="en-US"/>
        </w:rPr>
        <w:t>_________________________________________________________________</w:t>
      </w:r>
    </w:p>
    <w:p>
      <w:pPr>
        <w:pStyle w:val="Head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 Executive Summary</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As part of the post-acquisition integration of the recently acquired Ohio-based regional pizza chain, my team conducted a random, 30-file sample audit of the acquired entity's employee records. The purpose of this audit was to ensure compliance with federal and state labor laws and to integrate the pizza chain's personnel records into our national company framework.</w:t>
      </w:r>
      <w:r>
        <w:rPr>
          <w:rFonts w:ascii="Times New Roman" w:cs="Times New Roman" w:hAnsi="Times New Roman" w:eastAsia="Times New Roman"/>
          <w:sz w:val="24"/>
          <w:szCs w:val="24"/>
        </w:rPr>
        <w:br w:type="textWrapping"/>
        <w:br w:type="textWrapping"/>
      </w:r>
      <w:r>
        <w:rPr>
          <w:rFonts w:ascii="Times New Roman" w:hAnsi="Times New Roman"/>
          <w:sz w:val="24"/>
          <w:szCs w:val="24"/>
          <w:rtl w:val="0"/>
          <w:lang w:val="en-US"/>
        </w:rPr>
        <w:t>Critically, this sample audit has revealed compliance issues that were not identified or disclosed during the pre-acquisition due diligence process. As you are aware, because these violations were omitted entirely from the seller's disclosures, they carry significant legal, financial, and contractual consequences for us, as the parent company.</w:t>
      </w:r>
    </w:p>
    <w:p>
      <w:pPr>
        <w:pStyle w:val="Head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 Specific FLSA Violations Discovered in Sample Audit</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Our review of the 30-file sample identified the following direct violations of the Fair Labor Standards Act (FLSA) and related federal mandates:</w:t>
      </w:r>
    </w:p>
    <w:p>
      <w:pPr>
        <w:pStyle w:val="List Bullet"/>
        <w:numPr>
          <w:ilvl w:val="0"/>
          <w:numId w:val="2"/>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Tip Credit and Tip Pool Violations (FLSA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 xml:space="preserve">203(m)): </w:t>
      </w:r>
      <w:r>
        <w:rPr>
          <w:rFonts w:ascii="Times New Roman" w:hAnsi="Times New Roman"/>
          <w:sz w:val="24"/>
          <w:szCs w:val="24"/>
          <w:rtl w:val="0"/>
          <w:lang w:val="en-US"/>
        </w:rPr>
        <w:t>There is a total lack of documented "tip credit notices" for tipped employees. FLSA strictly requires employers to provide notice to employees before using a tip credit to reduce the minimum wage. Without this documentation, the tip credit is invalid, meaning the acquired entity may be liable for retroactive full minimum wage compensation for all tipped hours worked.</w:t>
      </w:r>
    </w:p>
    <w:p>
      <w:pPr>
        <w:pStyle w:val="List Bullet"/>
        <w:numPr>
          <w:ilvl w:val="0"/>
          <w:numId w:val="2"/>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Worker Misclassification (Independent Contractors): </w:t>
      </w:r>
      <w:r>
        <w:rPr>
          <w:rFonts w:ascii="Times New Roman" w:hAnsi="Times New Roman"/>
          <w:sz w:val="24"/>
          <w:szCs w:val="24"/>
          <w:rtl w:val="0"/>
          <w:lang w:val="en-US"/>
        </w:rPr>
        <w:t>A significant portion of the delivery fleet is classified as 1099 independent contractors. However, our audit revealed that these drivers strictly adhere to corporate schedules and are required to wear company uniforms. Under FLSA</w:t>
      </w:r>
      <w:r>
        <w:rPr>
          <w:rFonts w:ascii="Times New Roman" w:hAnsi="Times New Roman" w:hint="default"/>
          <w:sz w:val="24"/>
          <w:szCs w:val="24"/>
          <w:rtl w:val="0"/>
          <w:lang w:val="en-US"/>
        </w:rPr>
        <w:t>’</w:t>
      </w:r>
      <w:r>
        <w:rPr>
          <w:rFonts w:ascii="Times New Roman" w:hAnsi="Times New Roman"/>
          <w:sz w:val="24"/>
          <w:szCs w:val="24"/>
          <w:rtl w:val="0"/>
          <w:lang w:val="en-US"/>
        </w:rPr>
        <w:t xml:space="preserve">s "economic realities" test, these factors heavily indicate an employer-employee relationship, constituting </w:t>
      </w:r>
      <w:r>
        <w:rPr>
          <w:rFonts w:ascii="Times New Roman" w:hAnsi="Times New Roman"/>
          <w:sz w:val="24"/>
          <w:szCs w:val="24"/>
          <w:rtl w:val="0"/>
          <w:lang w:val="en-US"/>
        </w:rPr>
        <w:t>a significant</w:t>
      </w:r>
      <w:r>
        <w:rPr>
          <w:rFonts w:ascii="Times New Roman" w:hAnsi="Times New Roman"/>
          <w:sz w:val="24"/>
          <w:szCs w:val="24"/>
          <w:rtl w:val="0"/>
          <w:lang w:val="en-US"/>
        </w:rPr>
        <w:t xml:space="preserve"> misclassification.</w:t>
      </w:r>
    </w:p>
    <w:p>
      <w:pPr>
        <w:pStyle w:val="List Bullet"/>
        <w:numPr>
          <w:ilvl w:val="0"/>
          <w:numId w:val="2"/>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Regular Rate of Pay &amp; Overtime Miscalculations (FLSA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 xml:space="preserve">207): </w:t>
      </w:r>
      <w:r>
        <w:rPr>
          <w:rFonts w:ascii="Times New Roman" w:hAnsi="Times New Roman"/>
          <w:sz w:val="24"/>
          <w:szCs w:val="24"/>
          <w:rtl w:val="0"/>
          <w:lang w:val="en-US"/>
        </w:rPr>
        <w:t>For dual-role employees (e.g., staff working as both dine-in hosts and delivery drivers within the same workweek), the company systematically excluded non-discretionary performance bonuses from the "regular rate of pay" when calculating time-and-a-half overtime compensation. This has resulted in systemic, documented underpayment of overtime wages.</w:t>
      </w:r>
    </w:p>
    <w:p>
      <w:pPr>
        <w:pStyle w:val="List Bullet"/>
        <w:numPr>
          <w:ilvl w:val="0"/>
          <w:numId w:val="2"/>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Immigration Reform and Control Act (IRCA) Violations: </w:t>
      </w:r>
      <w:r>
        <w:rPr>
          <w:rFonts w:ascii="Times New Roman" w:hAnsi="Times New Roman"/>
          <w:sz w:val="24"/>
          <w:szCs w:val="24"/>
          <w:rtl w:val="0"/>
          <w:lang w:val="en-US"/>
        </w:rPr>
        <w:t>Five (5) of the 30 audited files (a 16.7% error rate) were entirely missing Form I-9 documentation, which poses a strict liability risk under federal immigration compliance regulations.</w:t>
      </w:r>
    </w:p>
    <w:p>
      <w:pPr>
        <w:pStyle w:val="Head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 State Employment Law Exposure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Here are the specific Ohio labor laws and federal regulations violated:</w:t>
      </w: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Ohio Minimum Wage and Tip Credit Laws (O.R.C.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4111.02):</w:t>
      </w:r>
      <w:r>
        <w:rPr>
          <w:rFonts w:ascii="Times New Roman" w:hAnsi="Times New Roman"/>
          <w:sz w:val="24"/>
          <w:szCs w:val="24"/>
          <w:rtl w:val="0"/>
          <w:lang w:val="en-US"/>
        </w:rPr>
        <w:t xml:space="preserve"> Both Ohio law and the FLSA require employers to provide clear, documented notice to employees before applying a "tip credit" to their minimum wage. Failing to provide this notice invalidates the tip credit, meaning the employer is liable for paying the full standard minimum wage (not the lower tipped wage) for all hours those employees worked.</w:t>
      </w: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Worker Misclassification (O.R.C. Chapters 4111, 4123, &amp; 4141):</w:t>
      </w:r>
      <w:r>
        <w:rPr>
          <w:rFonts w:ascii="Times New Roman" w:hAnsi="Times New Roman"/>
          <w:sz w:val="24"/>
          <w:szCs w:val="24"/>
          <w:rtl w:val="0"/>
          <w:lang w:val="en-US"/>
        </w:rPr>
        <w:t xml:space="preserve"> Classifying delivery drivers as 1099 independent contractors while enforcing rigid schedules and mandatory uniforms violates Ohio's "Right to Control" test and the FLSA's "Economic Realities" test. In Ohio, this not only results in wage/hour violations but also violates the Ohio Workers' Compensation Act (Chapter 4123) and Unemployment Compensation laws (Chapter 4141) due to unpaid employer premiums and taxes.</w:t>
      </w: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Overtime Calculation / Regular Rate of Pay (O.R.C.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4111.03):</w:t>
      </w:r>
      <w:r>
        <w:rPr>
          <w:rFonts w:ascii="Times New Roman" w:hAnsi="Times New Roman"/>
          <w:sz w:val="24"/>
          <w:szCs w:val="24"/>
          <w:rtl w:val="0"/>
          <w:lang w:val="en-US"/>
        </w:rPr>
        <w:t xml:space="preserve"> Ohio law explicitly </w:t>
      </w:r>
      <w:r>
        <w:rPr>
          <w:rFonts w:ascii="Times New Roman" w:hAnsi="Times New Roman"/>
          <w:sz w:val="24"/>
          <w:szCs w:val="24"/>
          <w:rtl w:val="0"/>
          <w:lang w:val="en-US"/>
        </w:rPr>
        <w:t>parallels the</w:t>
      </w:r>
      <w:r>
        <w:rPr>
          <w:rFonts w:ascii="Times New Roman" w:hAnsi="Times New Roman"/>
          <w:sz w:val="24"/>
          <w:szCs w:val="24"/>
          <w:rtl w:val="0"/>
          <w:lang w:val="en-US"/>
        </w:rPr>
        <w:t xml:space="preserve"> FLSA requirements for overtime (Section 7(e))</w:t>
      </w:r>
      <w:r>
        <w:rPr>
          <w:rFonts w:ascii="Times New Roman" w:hAnsi="Times New Roman"/>
          <w:sz w:val="24"/>
          <w:szCs w:val="24"/>
          <w:rtl w:val="0"/>
          <w:lang w:val="en-US"/>
        </w:rPr>
        <w:t xml:space="preserve">, and </w:t>
      </w:r>
      <w:r>
        <w:rPr>
          <w:rFonts w:ascii="Times New Roman" w:hAnsi="Times New Roman"/>
          <w:sz w:val="24"/>
          <w:szCs w:val="24"/>
          <w:rtl w:val="0"/>
          <w:lang w:val="en-US"/>
        </w:rPr>
        <w:t>create</w:t>
      </w:r>
      <w:r>
        <w:rPr>
          <w:rFonts w:ascii="Times New Roman" w:hAnsi="Times New Roman"/>
          <w:sz w:val="24"/>
          <w:szCs w:val="24"/>
          <w:rtl w:val="0"/>
          <w:lang w:val="en-US"/>
        </w:rPr>
        <w:t>s</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an </w:t>
      </w:r>
      <w:r>
        <w:rPr>
          <w:rFonts w:ascii="Times New Roman" w:hAnsi="Times New Roman"/>
          <w:sz w:val="24"/>
          <w:szCs w:val="24"/>
          <w:rtl w:val="0"/>
          <w:lang w:val="en-US"/>
        </w:rPr>
        <w:t>additional state-level liability exposure. When an employee earns non-discretionary performance bonuses, those bonuses must be factored into their "regular rate of pay" before calculating their time-and-a-half overtime rate. Excluding it leads to systematic underpayment.</w:t>
      </w: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Immigration Reform and Control Act (IRCA):</w:t>
      </w:r>
      <w:r>
        <w:rPr>
          <w:rFonts w:ascii="Times New Roman" w:hAnsi="Times New Roman"/>
          <w:sz w:val="24"/>
          <w:szCs w:val="24"/>
          <w:rtl w:val="0"/>
          <w:lang w:val="en-US"/>
        </w:rPr>
        <w:t xml:space="preserve"> While the missing I-9 forms are a federal violation rather than an Ohio-specific labor law, failing to maintain I-9s carries strict financial penalties per missing document enforced by ICE and the Department of Labor.</w:t>
      </w:r>
    </w:p>
    <w:p>
      <w:pPr>
        <w:pStyle w:val="Heading"/>
        <w:rPr>
          <w:rFonts w:ascii="Times New Roman" w:cs="Times New Roman" w:hAnsi="Times New Roman" w:eastAsia="Times New Roman"/>
          <w:outline w:val="0"/>
          <w:color w:val="000000"/>
          <w:sz w:val="24"/>
          <w:szCs w:val="24"/>
          <w14:textFill>
            <w14:solidFill>
              <w14:srgbClr w14:val="000000"/>
            </w14:solidFill>
          </w14:textFill>
        </w:rPr>
      </w:pPr>
      <w:r>
        <w:rPr>
          <w:rFonts w:ascii="Times New Roman" w:hAnsi="Times New Roman"/>
          <w:outline w:val="0"/>
          <w:color w:val="000000"/>
          <w:sz w:val="24"/>
          <w:szCs w:val="24"/>
          <w:rtl w:val="0"/>
          <w:lang w:val="en-US"/>
          <w14:textFill>
            <w14:solidFill>
              <w14:srgbClr w14:val="000000"/>
            </w14:solidFill>
          </w14:textFill>
        </w:rPr>
        <w:t>4. Financial and Legal Significance</w:t>
      </w:r>
    </w:p>
    <w:p>
      <w:pPr>
        <w:pStyle w:val="List Bullet"/>
        <w:spacing w:line="240" w:lineRule="auto"/>
        <w:rPr>
          <w:rFonts w:ascii="Times New Roman" w:cs="Times New Roman" w:hAnsi="Times New Roman" w:eastAsia="Times New Roman"/>
          <w:sz w:val="24"/>
          <w:szCs w:val="24"/>
        </w:rPr>
      </w:pPr>
      <w:r>
        <w:rPr>
          <w:rFonts w:ascii="Times New Roman" w:hAnsi="Times New Roman"/>
          <w:sz w:val="24"/>
          <w:szCs w:val="24"/>
          <w:rtl w:val="0"/>
          <w:lang w:val="en-US"/>
        </w:rPr>
        <w:t>The implications of these mandatory HR regulation violations are material to our balance sheet:</w:t>
      </w:r>
    </w:p>
    <w:p>
      <w:pPr>
        <w:pStyle w:val="List Number"/>
        <w:numPr>
          <w:ilvl w:val="0"/>
          <w:numId w:val="6"/>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Wage and Hour Liabilities: </w:t>
      </w:r>
      <w:r>
        <w:rPr>
          <w:rFonts w:ascii="Times New Roman" w:hAnsi="Times New Roman"/>
          <w:sz w:val="24"/>
          <w:szCs w:val="24"/>
          <w:rtl w:val="0"/>
          <w:lang w:val="en-US"/>
        </w:rPr>
        <w:t>Under the FLSA, violations regarding misclassification, tip credits, and regular rate calculations entitle affected employees to retroactive back pay (typically reaching back 2</w:t>
      </w:r>
      <w:r>
        <w:rPr>
          <w:rFonts w:ascii="Times New Roman" w:hAnsi="Times New Roman"/>
          <w:sz w:val="24"/>
          <w:szCs w:val="24"/>
          <w:rtl w:val="0"/>
          <w:lang w:val="en-US"/>
        </w:rPr>
        <w:t xml:space="preserve"> years for </w:t>
      </w:r>
      <w:r>
        <w:rPr>
          <w:rFonts w:ascii="Times New Roman" w:hAnsi="Times New Roman"/>
          <w:sz w:val="24"/>
          <w:szCs w:val="24"/>
          <w:rtl w:val="0"/>
          <w:lang w:val="en-US"/>
        </w:rPr>
        <w:t>non-willful</w:t>
      </w:r>
      <w:r>
        <w:rPr>
          <w:rFonts w:ascii="Times New Roman" w:hAnsi="Times New Roman"/>
          <w:sz w:val="24"/>
          <w:szCs w:val="24"/>
          <w:rtl w:val="0"/>
          <w:lang w:val="en-US"/>
        </w:rPr>
        <w:t xml:space="preserve"> and</w:t>
      </w:r>
      <w:r>
        <w:rPr>
          <w:rFonts w:ascii="Times New Roman" w:hAnsi="Times New Roman"/>
          <w:sz w:val="24"/>
          <w:szCs w:val="24"/>
          <w:rtl w:val="0"/>
          <w:lang w:val="en-US"/>
        </w:rPr>
        <w:t xml:space="preserve"> 3 years for willful violations) plus 100% liquidated damages. This exposes us to the risk of </w:t>
      </w:r>
      <w:r>
        <w:rPr>
          <w:rFonts w:ascii="Times New Roman" w:hAnsi="Times New Roman"/>
          <w:sz w:val="24"/>
          <w:szCs w:val="24"/>
          <w:rtl w:val="0"/>
          <w:lang w:val="en-US"/>
        </w:rPr>
        <w:t xml:space="preserve">costly </w:t>
      </w:r>
      <w:r>
        <w:rPr>
          <w:rFonts w:ascii="Times New Roman" w:hAnsi="Times New Roman"/>
          <w:sz w:val="24"/>
          <w:szCs w:val="24"/>
          <w:rtl w:val="0"/>
          <w:lang w:val="en-US"/>
        </w:rPr>
        <w:t>class or collective action lawsuits.</w:t>
      </w:r>
    </w:p>
    <w:p>
      <w:pPr>
        <w:pStyle w:val="List Number"/>
        <w:numPr>
          <w:ilvl w:val="0"/>
          <w:numId w:val="6"/>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Contractual Consequences (Breach of Reps and Warranties): </w:t>
      </w:r>
      <w:r>
        <w:rPr>
          <w:rFonts w:ascii="Times New Roman" w:hAnsi="Times New Roman"/>
          <w:sz w:val="24"/>
          <w:szCs w:val="24"/>
          <w:rtl w:val="0"/>
          <w:lang w:val="en-US"/>
        </w:rPr>
        <w:t>Because these systemic violations were not flagged during pre-closing due diligence, the seller has likely breached the representations and warranties sections of our Purchase Agreement regarding labor and employment compliance. We need to evaluate triggering our indemnity clauses immediately and potentially withholding funds from any escrow holdbacks to offset these inherited liabilities.</w:t>
      </w:r>
    </w:p>
    <w:p>
      <w:pPr>
        <w:pStyle w:val="List Number"/>
        <w:numPr>
          <w:ilvl w:val="0"/>
          <w:numId w:val="6"/>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Civil Money Penalties &amp; Taxes: </w:t>
      </w:r>
      <w:r>
        <w:rPr>
          <w:rFonts w:ascii="Times New Roman" w:hAnsi="Times New Roman"/>
          <w:sz w:val="24"/>
          <w:szCs w:val="24"/>
          <w:rtl w:val="0"/>
          <w:lang w:val="en-US"/>
        </w:rPr>
        <w:t>The misclassification of drivers means the company has failed to pay its portion of FICA/payroll taxes and workers' compensation premiums</w:t>
      </w:r>
      <w:r>
        <w:rPr>
          <w:rFonts w:ascii="Times New Roman" w:hAnsi="Times New Roman"/>
          <w:sz w:val="24"/>
          <w:szCs w:val="24"/>
          <w:rtl w:val="0"/>
          <w:lang w:val="en-US"/>
        </w:rPr>
        <w:t xml:space="preserve">, and is liable for payment including </w:t>
      </w:r>
      <w:r>
        <w:rPr>
          <w:rFonts w:ascii="Times New Roman" w:hAnsi="Times New Roman"/>
          <w:sz w:val="24"/>
          <w:szCs w:val="24"/>
          <w:rtl w:val="0"/>
          <w:lang w:val="en-US"/>
        </w:rPr>
        <w:t>associated penalties and interest</w:t>
      </w:r>
      <w:r>
        <w:rPr>
          <w:rFonts w:ascii="Times New Roman" w:hAnsi="Times New Roman"/>
          <w:sz w:val="24"/>
          <w:szCs w:val="24"/>
          <w:rtl w:val="0"/>
          <w:lang w:val="en-US"/>
        </w:rPr>
        <w:t>.</w:t>
      </w:r>
      <w:r>
        <w:rPr>
          <w:rFonts w:ascii="Times New Roman" w:hAnsi="Times New Roman"/>
          <w:sz w:val="24"/>
          <w:szCs w:val="24"/>
          <w:rtl w:val="0"/>
          <w:lang w:val="en-US"/>
        </w:rPr>
        <w:t xml:space="preserve"> Additionally, ICE/USCIS imposes steep per-violation fines for missing I-9 documentation, which will scale exponentially if the 16.7% failure rate holds across the entire acquired workforce.</w:t>
      </w:r>
    </w:p>
    <w:p>
      <w:pPr>
        <w:pStyle w:val="Head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5. Request for Authorization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current sample size of 30 files is sufficient to prove the existence of these violations, but it is insufficient to quantify our total financial exposure. It is imperative that we establish the full scope of liability before engaging the seller on indemnification.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I am respectfully requesting formal authorization to conduct a comprehensive, full-scale follow-up audit of the acquired Ohio operations. Furthermore, to protect our internal findings from future civil discovery, I request that this full audit be conducted explicitly under the auspices of the General Counsel so that all communications, reports, and findings remain strictly protected under attorney-client privilege and the attorney work-product doctrine.</w:t>
      </w:r>
    </w:p>
    <w:p>
      <w:pPr>
        <w:pStyle w:val="Body"/>
      </w:pPr>
      <w:r>
        <w:rPr>
          <w:rFonts w:ascii="Times New Roman" w:hAnsi="Times New Roman"/>
          <w:sz w:val="24"/>
          <w:szCs w:val="24"/>
          <w:rtl w:val="0"/>
          <w:lang w:val="en-US"/>
        </w:rPr>
        <w:t>I await your guidance and authorization to proceed.</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mbria Bold">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9360"/>
      </w:tabs>
      <w:jc w:val="cen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534352</wp:posOffset>
              </wp:positionH>
              <wp:positionV relativeFrom="page">
                <wp:posOffset>4191317</wp:posOffset>
              </wp:positionV>
              <wp:extent cx="6703695" cy="1675765"/>
              <wp:effectExtent l="0" t="2124704" r="0" b="2124704"/>
              <wp:wrapNone/>
              <wp:docPr id="1073741825" name="officeArt object" descr="CONFIDENTIAL"/>
              <wp:cNvGraphicFramePr/>
              <a:graphic xmlns:a="http://schemas.openxmlformats.org/drawingml/2006/main">
                <a:graphicData uri="http://schemas.microsoft.com/office/word/2010/wordprocessingShape">
                  <wps:wsp>
                    <wps:cNvSpPr txBox="1"/>
                    <wps:spPr>
                      <a:xfrm rot="18900000">
                        <a:off x="0" y="0"/>
                        <a:ext cx="6703695" cy="16757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 w:val="left" w:pos="10080"/>
                            </w:tabs>
                          </w:pPr>
                          <w:r>
                            <w:rPr>
                              <w:rFonts w:ascii="Calibri" w:hAnsi="Calibri"/>
                              <w:outline w:val="0"/>
                              <w:color w:val="c0c0c0"/>
                              <w:sz w:val="130"/>
                              <w:szCs w:val="130"/>
                              <w:rtl w:val="0"/>
                              <w:lang w:val="en-US"/>
                              <w14:textFill>
                                <w14:solidFill>
                                  <w14:srgbClr w14:val="C0C0C0">
                                    <w14:alpha w14:val="50000"/>
                                  </w14:srgbClr>
                                </w14:solidFill>
                              </w14:textFill>
                            </w:rPr>
                            <w:t>CONFIDENTIAL</w:t>
                          </w:r>
                        </w:p>
                      </w:txbxContent>
                    </wps:txbx>
                    <wps:bodyPr wrap="square" lIns="0" tIns="0" rIns="0" bIns="0" numCol="1" anchor="ctr">
                      <a:normAutofit fontScale="100000" lnSpcReduction="0"/>
                    </wps:bodyPr>
                  </wps:wsp>
                </a:graphicData>
              </a:graphic>
            </wp:anchor>
          </w:drawing>
        </mc:Choice>
        <mc:Fallback>
          <w:pict>
            <v:shape id="_x0000_s1026" type="#_x0000_t202" style="visibility:visible;position:absolute;margin-left:42.1pt;margin-top:330.0pt;width:527.8pt;height:131.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 w:val="left" w:pos="10080"/>
                      </w:tabs>
                    </w:pPr>
                    <w:r>
                      <w:rPr>
                        <w:rFonts w:ascii="Calibri" w:hAnsi="Calibri"/>
                        <w:outline w:val="0"/>
                        <w:color w:val="c0c0c0"/>
                        <w:sz w:val="130"/>
                        <w:szCs w:val="130"/>
                        <w:rtl w:val="0"/>
                        <w:lang w:val="en-US"/>
                        <w14:textFill>
                          <w14:solidFill>
                            <w14:srgbClr w14:val="C0C0C0">
                              <w14:alpha w14:val="50000"/>
                            </w14:srgbClr>
                          </w14:solidFill>
                        </w14:textFill>
                      </w:rPr>
                      <w:t>CONFIDENTIAL</w:t>
                    </w:r>
                  </w:p>
                </w:txbxContent>
              </v:textbox>
              <w10:wrap type="none" side="bothSides" anchorx="page" anchory="page"/>
            </v:shape>
          </w:pict>
        </mc:Fallback>
      </mc:AlternateContent>
    </w:r>
    <w:r>
      <w:rPr>
        <w:rFonts w:ascii="Cambria Bold" w:hAnsi="Cambria Bold"/>
        <w:outline w:val="0"/>
        <w:color w:val="dcdcdc"/>
        <w:sz w:val="36"/>
        <w:szCs w:val="36"/>
        <w:u w:color="dcdcdc"/>
        <w:rtl w:val="0"/>
        <w:lang w:val="en-US"/>
        <w14:textFill>
          <w14:solidFill>
            <w14:srgbClr w14:val="DCDCDC"/>
          </w14:solidFill>
        </w14:textFill>
      </w:rPr>
      <w:t xml:space="preserve">PRIVILEGED &amp; CONFIDENTIAL </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Caption">
    <w:name w:val="Caption"/>
    <w:next w:val="Caption"/>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Cambria" w:cs="Arial Unicode MS" w:hAnsi="Cambria"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w="12700" w14:cap="flat">
        <w14:noFill/>
        <w14:miter w14:lim="400000"/>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List Number">
    <w:name w:val="List Number"/>
    <w:next w:val="List Number"/>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