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A37F" w14:textId="60260D6F" w:rsidR="001705F1" w:rsidRDefault="00846C10">
      <w:pPr>
        <w:jc w:val="center"/>
      </w:pPr>
      <w:r>
        <w:rPr>
          <w:b/>
          <w:color w:val="1F4E79"/>
          <w:sz w:val="36"/>
        </w:rPr>
        <w:t>Covenant</w:t>
      </w:r>
      <w:r w:rsidR="00232A27">
        <w:rPr>
          <w:b/>
          <w:color w:val="1F4E79"/>
          <w:sz w:val="36"/>
        </w:rPr>
        <w:t xml:space="preserve"> </w:t>
      </w:r>
      <w:r>
        <w:rPr>
          <w:b/>
          <w:color w:val="1F4E79"/>
          <w:sz w:val="36"/>
        </w:rPr>
        <w:t>and</w:t>
      </w:r>
      <w:r w:rsidR="00232A27">
        <w:rPr>
          <w:b/>
          <w:color w:val="1F4E79"/>
          <w:sz w:val="36"/>
        </w:rPr>
        <w:t xml:space="preserve"> </w:t>
      </w:r>
      <w:r>
        <w:rPr>
          <w:b/>
          <w:color w:val="1F4E79"/>
          <w:sz w:val="36"/>
        </w:rPr>
        <w:t>Reinvestment</w:t>
      </w:r>
      <w:r w:rsidR="00232A27">
        <w:rPr>
          <w:b/>
          <w:color w:val="1F4E79"/>
          <w:sz w:val="36"/>
        </w:rPr>
        <w:t xml:space="preserve"> </w:t>
      </w:r>
      <w:r>
        <w:rPr>
          <w:b/>
          <w:color w:val="1F4E79"/>
          <w:sz w:val="36"/>
        </w:rPr>
        <w:t>Rules</w:t>
      </w:r>
    </w:p>
    <w:p w14:paraId="292D1E71" w14:textId="213E6B62" w:rsidR="001705F1" w:rsidRDefault="00846C10" w:rsidP="00467073">
      <w:pPr>
        <w:pStyle w:val="Heading1"/>
        <w:numPr>
          <w:ilvl w:val="0"/>
          <w:numId w:val="10"/>
        </w:numPr>
      </w:pPr>
      <w:r>
        <w:t>Definitions</w:t>
      </w:r>
    </w:p>
    <w:p w14:paraId="57C7A62A" w14:textId="225BF71C" w:rsidR="00467073" w:rsidRDefault="00CE5F8E" w:rsidP="00467073">
      <w:r w:rsidRPr="00CE5F8E">
        <w:rPr>
          <w:noProof/>
        </w:rPr>
        <w:drawing>
          <wp:inline distT="0" distB="0" distL="0" distR="0" wp14:anchorId="3D23C510" wp14:editId="6A489B36">
            <wp:extent cx="6583680" cy="1512570"/>
            <wp:effectExtent l="0" t="0" r="7620" b="0"/>
            <wp:docPr id="152897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73337" name=""/>
                    <pic:cNvPicPr/>
                  </pic:nvPicPr>
                  <pic:blipFill>
                    <a:blip r:embed="rId6"/>
                    <a:stretch>
                      <a:fillRect/>
                    </a:stretch>
                  </pic:blipFill>
                  <pic:spPr>
                    <a:xfrm>
                      <a:off x="0" y="0"/>
                      <a:ext cx="6583680" cy="1512570"/>
                    </a:xfrm>
                    <a:prstGeom prst="rect">
                      <a:avLst/>
                    </a:prstGeom>
                  </pic:spPr>
                </pic:pic>
              </a:graphicData>
            </a:graphic>
          </wp:inline>
        </w:drawing>
      </w:r>
    </w:p>
    <w:p w14:paraId="3581E4E2" w14:textId="6B85F9F6" w:rsidR="00C255F8" w:rsidRPr="000C705F" w:rsidRDefault="00C255F8" w:rsidP="00467073">
      <w:pPr>
        <w:rPr>
          <w:lang w:val="hu-HU"/>
        </w:rPr>
      </w:pPr>
      <w:r>
        <w:t xml:space="preserve">Also note that </w:t>
      </w:r>
      <w:r w:rsidRPr="00C255F8">
        <w:t xml:space="preserve">“Approved framework” has the meaning assigned in </w:t>
      </w:r>
      <w:r w:rsidR="000C705F">
        <w:t>the m</w:t>
      </w:r>
      <w:r w:rsidRPr="00C255F8">
        <w:t>odeling</w:t>
      </w:r>
      <w:r w:rsidR="000C705F">
        <w:t xml:space="preserve"> conventions in</w:t>
      </w:r>
      <w:r w:rsidRPr="00C255F8">
        <w:t xml:space="preserve"> </w:t>
      </w:r>
      <w:r w:rsidR="000C705F">
        <w:t>“</w:t>
      </w:r>
      <w:r w:rsidRPr="00C255F8">
        <w:t>Portfolio_Data_Tape.xlsx</w:t>
      </w:r>
      <w:r w:rsidR="000C705F">
        <w:t>”.</w:t>
      </w:r>
    </w:p>
    <w:p w14:paraId="53D93E1C" w14:textId="3C53C099" w:rsidR="00CC67DF" w:rsidRDefault="00846C10">
      <w:pPr>
        <w:pStyle w:val="Heading1"/>
      </w:pPr>
      <w:r>
        <w:t xml:space="preserve">2. </w:t>
      </w:r>
      <w:r w:rsidR="00F12635">
        <w:t>Covenant Thresholds</w:t>
      </w:r>
    </w:p>
    <w:p w14:paraId="39AEE2BC" w14:textId="4705A905" w:rsidR="00F24277" w:rsidRPr="00F24277" w:rsidRDefault="0036587A" w:rsidP="00F24277">
      <w:r w:rsidRPr="0036587A">
        <w:t>This table reflects the original draft framework and is retained for historical context. Final approved values are documented in the approved framework appendix.</w:t>
      </w:r>
    </w:p>
    <w:tbl>
      <w:tblPr>
        <w:tblW w:w="7400" w:type="dxa"/>
        <w:tblInd w:w="113" w:type="dxa"/>
        <w:tblLook w:val="04A0" w:firstRow="1" w:lastRow="0" w:firstColumn="1" w:lastColumn="0" w:noHBand="0" w:noVBand="1"/>
      </w:tblPr>
      <w:tblGrid>
        <w:gridCol w:w="4320"/>
        <w:gridCol w:w="920"/>
        <w:gridCol w:w="2160"/>
      </w:tblGrid>
      <w:tr w:rsidR="00912744" w:rsidRPr="00912744" w14:paraId="1124124B"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808080"/>
            <w:noWrap/>
            <w:vAlign w:val="center"/>
            <w:hideMark/>
          </w:tcPr>
          <w:p w14:paraId="11F5089D" w14:textId="77777777" w:rsidR="00912744" w:rsidRPr="00912744" w:rsidRDefault="00912744" w:rsidP="00912744">
            <w:pPr>
              <w:spacing w:after="0" w:line="240" w:lineRule="auto"/>
              <w:rPr>
                <w:rFonts w:eastAsia="Times New Roman" w:cs="Arial"/>
                <w:b/>
                <w:bCs/>
                <w:color w:val="FFFFFF"/>
                <w:sz w:val="20"/>
                <w:szCs w:val="20"/>
              </w:rPr>
            </w:pPr>
            <w:r w:rsidRPr="00912744">
              <w:rPr>
                <w:rFonts w:eastAsia="Times New Roman" w:cs="Arial"/>
                <w:b/>
                <w:bCs/>
                <w:color w:val="FFFFFF"/>
                <w:sz w:val="20"/>
                <w:szCs w:val="20"/>
              </w:rPr>
              <w:t>Threshold</w:t>
            </w:r>
          </w:p>
        </w:tc>
        <w:tc>
          <w:tcPr>
            <w:tcW w:w="920" w:type="dxa"/>
            <w:tcBorders>
              <w:top w:val="single" w:sz="4" w:space="0" w:color="D9E1F2"/>
              <w:left w:val="single" w:sz="4" w:space="0" w:color="D9E1F2"/>
              <w:bottom w:val="single" w:sz="4" w:space="0" w:color="D9E1F2"/>
              <w:right w:val="single" w:sz="4" w:space="0" w:color="D9E1F2"/>
            </w:tcBorders>
            <w:shd w:val="clear" w:color="000000" w:fill="808080"/>
            <w:noWrap/>
            <w:vAlign w:val="center"/>
            <w:hideMark/>
          </w:tcPr>
          <w:p w14:paraId="00581939" w14:textId="77777777" w:rsidR="00912744" w:rsidRPr="00912744" w:rsidRDefault="00912744" w:rsidP="00912744">
            <w:pPr>
              <w:spacing w:after="0" w:line="240" w:lineRule="auto"/>
              <w:rPr>
                <w:rFonts w:eastAsia="Times New Roman" w:cs="Arial"/>
                <w:b/>
                <w:bCs/>
                <w:color w:val="FFFFFF"/>
                <w:sz w:val="20"/>
                <w:szCs w:val="20"/>
              </w:rPr>
            </w:pPr>
            <w:r w:rsidRPr="00912744">
              <w:rPr>
                <w:rFonts w:eastAsia="Times New Roman" w:cs="Arial"/>
                <w:b/>
                <w:bCs/>
                <w:color w:val="FFFFFF"/>
                <w:sz w:val="20"/>
                <w:szCs w:val="20"/>
              </w:rPr>
              <w:t>Value</w:t>
            </w:r>
          </w:p>
        </w:tc>
        <w:tc>
          <w:tcPr>
            <w:tcW w:w="2160" w:type="dxa"/>
            <w:tcBorders>
              <w:top w:val="single" w:sz="4" w:space="0" w:color="D9E1F2"/>
              <w:left w:val="single" w:sz="4" w:space="0" w:color="D9E1F2"/>
              <w:bottom w:val="single" w:sz="4" w:space="0" w:color="D9E1F2"/>
              <w:right w:val="single" w:sz="4" w:space="0" w:color="D9E1F2"/>
            </w:tcBorders>
            <w:shd w:val="clear" w:color="000000" w:fill="808080"/>
            <w:noWrap/>
            <w:vAlign w:val="center"/>
            <w:hideMark/>
          </w:tcPr>
          <w:p w14:paraId="4ECC5D4C" w14:textId="77777777" w:rsidR="00912744" w:rsidRPr="00912744" w:rsidRDefault="00912744" w:rsidP="00912744">
            <w:pPr>
              <w:spacing w:after="0" w:line="240" w:lineRule="auto"/>
              <w:rPr>
                <w:rFonts w:eastAsia="Times New Roman" w:cs="Arial"/>
                <w:b/>
                <w:bCs/>
                <w:color w:val="FFFFFF"/>
                <w:sz w:val="20"/>
                <w:szCs w:val="20"/>
              </w:rPr>
            </w:pPr>
            <w:r w:rsidRPr="00912744">
              <w:rPr>
                <w:rFonts w:eastAsia="Times New Roman" w:cs="Arial"/>
                <w:b/>
                <w:bCs/>
                <w:color w:val="FFFFFF"/>
                <w:sz w:val="20"/>
                <w:szCs w:val="20"/>
              </w:rPr>
              <w:t>Unit</w:t>
            </w:r>
          </w:p>
        </w:tc>
      </w:tr>
      <w:tr w:rsidR="00912744" w:rsidRPr="00912744" w14:paraId="7DB6EAD0"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2FDE7567"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Minimum M6 reserve for M7 test</w:t>
            </w:r>
          </w:p>
        </w:tc>
        <w:tc>
          <w:tcPr>
            <w:tcW w:w="9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044AC611" w14:textId="6801A08D" w:rsidR="00912744" w:rsidRPr="00912744" w:rsidRDefault="00912744" w:rsidP="00912744">
            <w:pPr>
              <w:spacing w:after="0" w:line="240" w:lineRule="auto"/>
              <w:jc w:val="right"/>
              <w:rPr>
                <w:rFonts w:eastAsia="Times New Roman" w:cs="Arial"/>
                <w:szCs w:val="18"/>
              </w:rPr>
            </w:pPr>
            <w:r>
              <w:rPr>
                <w:rFonts w:eastAsia="Times New Roman" w:cs="Arial"/>
                <w:szCs w:val="18"/>
              </w:rPr>
              <w:t>1</w:t>
            </w:r>
            <w:r w:rsidRPr="00912744">
              <w:rPr>
                <w:rFonts w:eastAsia="Times New Roman" w:cs="Arial"/>
                <w:szCs w:val="18"/>
              </w:rPr>
              <w:t>.</w:t>
            </w:r>
            <w:r>
              <w:rPr>
                <w:rFonts w:eastAsia="Times New Roman" w:cs="Arial"/>
                <w:szCs w:val="18"/>
              </w:rPr>
              <w:t>5</w:t>
            </w:r>
            <w:r w:rsidRPr="00912744">
              <w:rPr>
                <w:rFonts w:eastAsia="Times New Roman" w:cs="Arial"/>
                <w:szCs w:val="18"/>
              </w:rPr>
              <w:t>0</w:t>
            </w:r>
          </w:p>
        </w:tc>
        <w:tc>
          <w:tcPr>
            <w:tcW w:w="216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439D1EE4"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USD mm</w:t>
            </w:r>
          </w:p>
        </w:tc>
      </w:tr>
      <w:tr w:rsidR="00912744" w:rsidRPr="00912744" w14:paraId="1B393FEA"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6D5B3388"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Cumulative gross default threshold for raise tests</w:t>
            </w:r>
          </w:p>
        </w:tc>
        <w:tc>
          <w:tcPr>
            <w:tcW w:w="9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5ED4DFEA" w14:textId="42A7B197" w:rsidR="00912744" w:rsidRPr="00912744" w:rsidRDefault="00912744" w:rsidP="00912744">
            <w:pPr>
              <w:spacing w:after="0" w:line="240" w:lineRule="auto"/>
              <w:jc w:val="right"/>
              <w:rPr>
                <w:rFonts w:eastAsia="Times New Roman" w:cs="Arial"/>
                <w:szCs w:val="18"/>
              </w:rPr>
            </w:pPr>
            <w:r w:rsidRPr="00912744">
              <w:rPr>
                <w:rFonts w:eastAsia="Times New Roman" w:cs="Arial"/>
                <w:szCs w:val="18"/>
              </w:rPr>
              <w:t>0.9</w:t>
            </w:r>
            <w:r>
              <w:rPr>
                <w:rFonts w:eastAsia="Times New Roman" w:cs="Arial"/>
                <w:szCs w:val="18"/>
              </w:rPr>
              <w:t>8</w:t>
            </w:r>
            <w:r w:rsidRPr="00912744">
              <w:rPr>
                <w:rFonts w:eastAsia="Times New Roman" w:cs="Arial"/>
                <w:szCs w:val="18"/>
              </w:rPr>
              <w:t>%</w:t>
            </w:r>
          </w:p>
        </w:tc>
        <w:tc>
          <w:tcPr>
            <w:tcW w:w="216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279F096C"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 of original par</w:t>
            </w:r>
          </w:p>
        </w:tc>
      </w:tr>
      <w:tr w:rsidR="00912744" w:rsidRPr="00912744" w14:paraId="17A7B079"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7E55B903"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Trailing 3-month external distribution threshold</w:t>
            </w:r>
          </w:p>
        </w:tc>
        <w:tc>
          <w:tcPr>
            <w:tcW w:w="9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39A7B375" w14:textId="7C449B44" w:rsidR="00912744" w:rsidRPr="00912744" w:rsidRDefault="00912744" w:rsidP="00912744">
            <w:pPr>
              <w:spacing w:after="0" w:line="240" w:lineRule="auto"/>
              <w:jc w:val="right"/>
              <w:rPr>
                <w:rFonts w:eastAsia="Times New Roman" w:cs="Arial"/>
                <w:szCs w:val="18"/>
              </w:rPr>
            </w:pPr>
            <w:r w:rsidRPr="00912744">
              <w:rPr>
                <w:rFonts w:eastAsia="Times New Roman" w:cs="Arial"/>
                <w:szCs w:val="18"/>
              </w:rPr>
              <w:t>1.</w:t>
            </w:r>
            <w:r>
              <w:rPr>
                <w:rFonts w:eastAsia="Times New Roman" w:cs="Arial"/>
                <w:szCs w:val="18"/>
              </w:rPr>
              <w:t>15</w:t>
            </w:r>
          </w:p>
        </w:tc>
        <w:tc>
          <w:tcPr>
            <w:tcW w:w="216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719C63A5"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USD mm</w:t>
            </w:r>
          </w:p>
        </w:tc>
      </w:tr>
      <w:tr w:rsidR="00912744" w:rsidRPr="00912744" w14:paraId="6292DEFD"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1729CB6E"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Collateral coverage threshold</w:t>
            </w:r>
          </w:p>
        </w:tc>
        <w:tc>
          <w:tcPr>
            <w:tcW w:w="9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396DFAA7" w14:textId="3E2BB9EE" w:rsidR="00912744" w:rsidRPr="00912744" w:rsidRDefault="00912744" w:rsidP="00912744">
            <w:pPr>
              <w:spacing w:after="0" w:line="240" w:lineRule="auto"/>
              <w:jc w:val="right"/>
              <w:rPr>
                <w:rFonts w:eastAsia="Times New Roman" w:cs="Arial"/>
                <w:szCs w:val="18"/>
              </w:rPr>
            </w:pPr>
            <w:r w:rsidRPr="00912744">
              <w:rPr>
                <w:rFonts w:eastAsia="Times New Roman" w:cs="Arial"/>
                <w:szCs w:val="18"/>
              </w:rPr>
              <w:t>2.</w:t>
            </w:r>
            <w:r>
              <w:rPr>
                <w:rFonts w:eastAsia="Times New Roman" w:cs="Arial"/>
                <w:szCs w:val="18"/>
              </w:rPr>
              <w:t>2</w:t>
            </w:r>
            <w:r w:rsidRPr="00912744">
              <w:rPr>
                <w:rFonts w:eastAsia="Times New Roman" w:cs="Arial"/>
                <w:szCs w:val="18"/>
              </w:rPr>
              <w:t>5</w:t>
            </w:r>
          </w:p>
        </w:tc>
        <w:tc>
          <w:tcPr>
            <w:tcW w:w="216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4B359B47"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x</w:t>
            </w:r>
          </w:p>
        </w:tc>
      </w:tr>
      <w:tr w:rsidR="00912744" w:rsidRPr="00912744" w14:paraId="17B0AA70"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378174D7"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Hard loss threshold through Month 8</w:t>
            </w:r>
          </w:p>
        </w:tc>
        <w:tc>
          <w:tcPr>
            <w:tcW w:w="9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7C6C2947" w14:textId="6C8169D8" w:rsidR="00912744" w:rsidRPr="00912744" w:rsidRDefault="00912744" w:rsidP="00912744">
            <w:pPr>
              <w:spacing w:after="0" w:line="240" w:lineRule="auto"/>
              <w:jc w:val="right"/>
              <w:rPr>
                <w:rFonts w:eastAsia="Times New Roman" w:cs="Arial"/>
                <w:szCs w:val="18"/>
              </w:rPr>
            </w:pPr>
            <w:r w:rsidRPr="00912744">
              <w:rPr>
                <w:rFonts w:eastAsia="Times New Roman" w:cs="Arial"/>
                <w:szCs w:val="18"/>
              </w:rPr>
              <w:t>0.1</w:t>
            </w:r>
            <w:r>
              <w:rPr>
                <w:rFonts w:eastAsia="Times New Roman" w:cs="Arial"/>
                <w:szCs w:val="18"/>
              </w:rPr>
              <w:t>4</w:t>
            </w:r>
            <w:r w:rsidRPr="00912744">
              <w:rPr>
                <w:rFonts w:eastAsia="Times New Roman" w:cs="Arial"/>
                <w:szCs w:val="18"/>
              </w:rPr>
              <w:t>%</w:t>
            </w:r>
          </w:p>
        </w:tc>
        <w:tc>
          <w:tcPr>
            <w:tcW w:w="216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5C788C71"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 of original par</w:t>
            </w:r>
          </w:p>
        </w:tc>
      </w:tr>
      <w:tr w:rsidR="00912744" w:rsidRPr="00912744" w14:paraId="62E3CA03"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6F8746ED"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Hard cash floor through Month 8</w:t>
            </w:r>
          </w:p>
        </w:tc>
        <w:tc>
          <w:tcPr>
            <w:tcW w:w="9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33B8F3CD" w14:textId="47A54707" w:rsidR="00912744" w:rsidRPr="00912744" w:rsidRDefault="00912744" w:rsidP="00912744">
            <w:pPr>
              <w:spacing w:after="0" w:line="240" w:lineRule="auto"/>
              <w:jc w:val="right"/>
              <w:rPr>
                <w:rFonts w:eastAsia="Times New Roman" w:cs="Arial"/>
                <w:szCs w:val="18"/>
              </w:rPr>
            </w:pPr>
            <w:r w:rsidRPr="00912744">
              <w:rPr>
                <w:rFonts w:eastAsia="Times New Roman" w:cs="Arial"/>
                <w:szCs w:val="18"/>
              </w:rPr>
              <w:t>0.</w:t>
            </w:r>
            <w:r>
              <w:rPr>
                <w:rFonts w:eastAsia="Times New Roman" w:cs="Arial"/>
                <w:szCs w:val="18"/>
              </w:rPr>
              <w:t>5</w:t>
            </w:r>
            <w:r w:rsidRPr="00912744">
              <w:rPr>
                <w:rFonts w:eastAsia="Times New Roman" w:cs="Arial"/>
                <w:szCs w:val="18"/>
              </w:rPr>
              <w:t>0</w:t>
            </w:r>
          </w:p>
        </w:tc>
        <w:tc>
          <w:tcPr>
            <w:tcW w:w="216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596DC322"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USD mm</w:t>
            </w:r>
          </w:p>
        </w:tc>
      </w:tr>
      <w:tr w:rsidR="00912744" w:rsidRPr="00912744" w14:paraId="21C787D6"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57C9CD0D"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Month 12 reinvestment IRR threshold</w:t>
            </w:r>
          </w:p>
        </w:tc>
        <w:tc>
          <w:tcPr>
            <w:tcW w:w="9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73CC3E24" w14:textId="7791866D" w:rsidR="00912744" w:rsidRPr="00912744" w:rsidRDefault="00912744" w:rsidP="00912744">
            <w:pPr>
              <w:spacing w:after="0" w:line="240" w:lineRule="auto"/>
              <w:jc w:val="right"/>
              <w:rPr>
                <w:rFonts w:eastAsia="Times New Roman" w:cs="Arial"/>
                <w:szCs w:val="18"/>
              </w:rPr>
            </w:pPr>
            <w:r>
              <w:rPr>
                <w:rFonts w:eastAsia="Times New Roman" w:cs="Arial"/>
                <w:szCs w:val="18"/>
              </w:rPr>
              <w:t>11</w:t>
            </w:r>
            <w:r w:rsidRPr="00912744">
              <w:rPr>
                <w:rFonts w:eastAsia="Times New Roman" w:cs="Arial"/>
                <w:szCs w:val="18"/>
              </w:rPr>
              <w:t>.00%</w:t>
            </w:r>
          </w:p>
        </w:tc>
        <w:tc>
          <w:tcPr>
            <w:tcW w:w="216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7D78E3C9"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 annualized</w:t>
            </w:r>
          </w:p>
        </w:tc>
      </w:tr>
      <w:tr w:rsidR="00912744" w:rsidRPr="00912744" w14:paraId="48076B54"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7EB2F348"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Upside Month 13 collateral threshold</w:t>
            </w:r>
          </w:p>
        </w:tc>
        <w:tc>
          <w:tcPr>
            <w:tcW w:w="9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322C097E" w14:textId="1709CA9B" w:rsidR="00912744" w:rsidRPr="00912744" w:rsidRDefault="00912744" w:rsidP="00912744">
            <w:pPr>
              <w:spacing w:after="0" w:line="240" w:lineRule="auto"/>
              <w:jc w:val="right"/>
              <w:rPr>
                <w:rFonts w:eastAsia="Times New Roman" w:cs="Arial"/>
                <w:szCs w:val="18"/>
              </w:rPr>
            </w:pPr>
            <w:r>
              <w:rPr>
                <w:rFonts w:eastAsia="Times New Roman" w:cs="Arial"/>
                <w:szCs w:val="18"/>
              </w:rPr>
              <w:t>3</w:t>
            </w:r>
            <w:r w:rsidRPr="00912744">
              <w:rPr>
                <w:rFonts w:eastAsia="Times New Roman" w:cs="Arial"/>
                <w:szCs w:val="18"/>
              </w:rPr>
              <w:t>.20</w:t>
            </w:r>
          </w:p>
        </w:tc>
        <w:tc>
          <w:tcPr>
            <w:tcW w:w="216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5E74F5D2"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x</w:t>
            </w:r>
          </w:p>
        </w:tc>
      </w:tr>
      <w:tr w:rsidR="00912744" w:rsidRPr="00912744" w14:paraId="4A512FD3" w14:textId="77777777" w:rsidTr="00912744">
        <w:trPr>
          <w:trHeight w:val="290"/>
        </w:trPr>
        <w:tc>
          <w:tcPr>
            <w:tcW w:w="43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5FAD60E3"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Downside future reinvestment stop-loss threshold</w:t>
            </w:r>
          </w:p>
        </w:tc>
        <w:tc>
          <w:tcPr>
            <w:tcW w:w="92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196AC979" w14:textId="56599F9C" w:rsidR="00912744" w:rsidRPr="00912744" w:rsidRDefault="00912744" w:rsidP="00912744">
            <w:pPr>
              <w:spacing w:after="0" w:line="240" w:lineRule="auto"/>
              <w:jc w:val="right"/>
              <w:rPr>
                <w:rFonts w:eastAsia="Times New Roman" w:cs="Arial"/>
                <w:szCs w:val="18"/>
              </w:rPr>
            </w:pPr>
            <w:r w:rsidRPr="00912744">
              <w:rPr>
                <w:rFonts w:eastAsia="Times New Roman" w:cs="Arial"/>
                <w:szCs w:val="18"/>
              </w:rPr>
              <w:t>0.</w:t>
            </w:r>
            <w:r>
              <w:rPr>
                <w:rFonts w:eastAsia="Times New Roman" w:cs="Arial"/>
                <w:szCs w:val="18"/>
              </w:rPr>
              <w:t>0</w:t>
            </w:r>
            <w:r w:rsidRPr="00912744">
              <w:rPr>
                <w:rFonts w:eastAsia="Times New Roman" w:cs="Arial"/>
                <w:szCs w:val="18"/>
              </w:rPr>
              <w:t>2%</w:t>
            </w:r>
          </w:p>
        </w:tc>
        <w:tc>
          <w:tcPr>
            <w:tcW w:w="2160" w:type="dxa"/>
            <w:tcBorders>
              <w:top w:val="single" w:sz="4" w:space="0" w:color="D9E1F2"/>
              <w:left w:val="single" w:sz="4" w:space="0" w:color="D9E1F2"/>
              <w:bottom w:val="single" w:sz="4" w:space="0" w:color="D9E1F2"/>
              <w:right w:val="single" w:sz="4" w:space="0" w:color="D9E1F2"/>
            </w:tcBorders>
            <w:shd w:val="clear" w:color="000000" w:fill="F4F7FA"/>
            <w:noWrap/>
            <w:vAlign w:val="center"/>
            <w:hideMark/>
          </w:tcPr>
          <w:p w14:paraId="30BFD4BD" w14:textId="77777777" w:rsidR="00912744" w:rsidRPr="00912744" w:rsidRDefault="00912744" w:rsidP="00912744">
            <w:pPr>
              <w:spacing w:after="0" w:line="240" w:lineRule="auto"/>
              <w:rPr>
                <w:rFonts w:eastAsia="Times New Roman" w:cs="Arial"/>
                <w:szCs w:val="18"/>
              </w:rPr>
            </w:pPr>
            <w:r w:rsidRPr="00912744">
              <w:rPr>
                <w:rFonts w:eastAsia="Times New Roman" w:cs="Arial"/>
                <w:szCs w:val="18"/>
              </w:rPr>
              <w:t>% of original par</w:t>
            </w:r>
          </w:p>
        </w:tc>
      </w:tr>
    </w:tbl>
    <w:p w14:paraId="5E5A05E8" w14:textId="5931AE5A" w:rsidR="001705F1" w:rsidRDefault="00765A6A">
      <w:pPr>
        <w:pStyle w:val="Heading1"/>
      </w:pPr>
      <w:r>
        <w:t>3</w:t>
      </w:r>
      <w:r w:rsidR="00CC67DF">
        <w:t xml:space="preserve">. </w:t>
      </w:r>
      <w:r w:rsidR="00846C10">
        <w:t>Month 7 Capital Raise Test</w:t>
      </w:r>
    </w:p>
    <w:p w14:paraId="71249BF7" w14:textId="77777777" w:rsidR="00E832D5" w:rsidRDefault="00E832D5" w:rsidP="008745BE">
      <w:r w:rsidRPr="00E832D5">
        <w:t>The Month 7 raise is available only if the approved Month 6 eligibility framework is satisfied. If the Month 7 raise is not available, the Month 9 catch-up raise may be available under the approved catch-up standard, provided no hard-failure condition has occurred.</w:t>
      </w:r>
      <w:r w:rsidRPr="00E832D5">
        <w:br/>
      </w:r>
      <w:r w:rsidRPr="00E832D5">
        <w:br/>
        <w:t>Raise amounts, eligibility thresholds, hard-failure screens, and scenario-specific capital raise conditions are governed by the approved framework appendix.</w:t>
      </w:r>
    </w:p>
    <w:p w14:paraId="266B4403" w14:textId="6424D2FB" w:rsidR="001705F1" w:rsidRDefault="00765A6A">
      <w:pPr>
        <w:pStyle w:val="Heading1"/>
      </w:pPr>
      <w:r>
        <w:t>4</w:t>
      </w:r>
      <w:r w:rsidR="00846C10">
        <w:t>. Month 9 Catch-Up Capital Raise Test</w:t>
      </w:r>
    </w:p>
    <w:p w14:paraId="79252127" w14:textId="64DA3B9C" w:rsidR="00E417AC" w:rsidRPr="00E417AC" w:rsidRDefault="00E417AC" w:rsidP="00E417AC">
      <w:r w:rsidRPr="00E417AC">
        <w:t>If the Month 7 raise does not occur, the Month 9 catch-up raise is available only if at least three of the four Month 6 eligibility tests pass and no hard-failure condition has occurred through Month 8.</w:t>
      </w:r>
    </w:p>
    <w:p w14:paraId="62D53746" w14:textId="77777777" w:rsidR="00E417AC" w:rsidRDefault="00E417AC"/>
    <w:p w14:paraId="7BA04B55" w14:textId="7D71F620" w:rsidR="001705F1" w:rsidRDefault="00765A6A">
      <w:pPr>
        <w:pStyle w:val="Heading1"/>
      </w:pPr>
      <w:r>
        <w:lastRenderedPageBreak/>
        <w:t>5</w:t>
      </w:r>
      <w:r w:rsidR="00846C10">
        <w:t>. Servicing Fee Step-Down</w:t>
      </w:r>
    </w:p>
    <w:p w14:paraId="533568DD" w14:textId="4C81F139" w:rsidR="00CC1209" w:rsidRDefault="00CC1209" w:rsidP="00CC1209">
      <w:r>
        <w:t xml:space="preserve">If neither the initial raise nor the catch-up raise occurs, the servicing fee steps down beginning in the month specified </w:t>
      </w:r>
      <w:r w:rsidR="00136496">
        <w:t>in the data</w:t>
      </w:r>
      <w:r>
        <w:t>. The management fee does not step down unless the approved framework expressly states otherwise.</w:t>
      </w:r>
    </w:p>
    <w:p w14:paraId="23D6B630" w14:textId="3F3C8301" w:rsidR="001705F1" w:rsidRDefault="00765A6A">
      <w:pPr>
        <w:pStyle w:val="Heading1"/>
      </w:pPr>
      <w:r>
        <w:t>6</w:t>
      </w:r>
      <w:r w:rsidR="00846C10">
        <w:t>. Tiered Reinvestment Rule</w:t>
      </w:r>
    </w:p>
    <w:p w14:paraId="7F180B14" w14:textId="77777777" w:rsidR="001705F1" w:rsidRDefault="00846C10">
      <w:r>
        <w:t>During the active reinvestment period, reinvestment is based on the current-month gross default rate from the Monthly_Data sheet:</w:t>
      </w:r>
    </w:p>
    <w:tbl>
      <w:tblPr>
        <w:tblStyle w:val="TableGrid"/>
        <w:tblW w:w="0" w:type="auto"/>
        <w:jc w:val="center"/>
        <w:tblLook w:val="04A0" w:firstRow="1" w:lastRow="0" w:firstColumn="1" w:lastColumn="0" w:noHBand="0" w:noVBand="1"/>
      </w:tblPr>
      <w:tblGrid>
        <w:gridCol w:w="4464"/>
        <w:gridCol w:w="4464"/>
      </w:tblGrid>
      <w:tr w:rsidR="001705F1" w14:paraId="5A4B2024" w14:textId="77777777">
        <w:trPr>
          <w:jc w:val="center"/>
        </w:trPr>
        <w:tc>
          <w:tcPr>
            <w:tcW w:w="4464" w:type="dxa"/>
            <w:tcBorders>
              <w:top w:val="single" w:sz="4" w:space="0" w:color="D9E1F2"/>
              <w:left w:val="single" w:sz="4" w:space="0" w:color="D9E1F2"/>
              <w:bottom w:val="single" w:sz="4" w:space="0" w:color="D9E1F2"/>
              <w:right w:val="single" w:sz="4" w:space="0" w:color="D9E1F2"/>
            </w:tcBorders>
            <w:shd w:val="clear" w:color="auto" w:fill="D9EAF7"/>
          </w:tcPr>
          <w:p w14:paraId="586DEE95" w14:textId="77777777" w:rsidR="001705F1" w:rsidRDefault="00846C10">
            <w:r>
              <w:rPr>
                <w:b/>
                <w:sz w:val="16"/>
              </w:rPr>
              <w:t>Current-Month Gross Default Rate</w:t>
            </w:r>
          </w:p>
        </w:tc>
        <w:tc>
          <w:tcPr>
            <w:tcW w:w="4464" w:type="dxa"/>
            <w:tcBorders>
              <w:top w:val="single" w:sz="4" w:space="0" w:color="D9E1F2"/>
              <w:left w:val="single" w:sz="4" w:space="0" w:color="D9E1F2"/>
              <w:bottom w:val="single" w:sz="4" w:space="0" w:color="D9E1F2"/>
              <w:right w:val="single" w:sz="4" w:space="0" w:color="D9E1F2"/>
            </w:tcBorders>
            <w:shd w:val="clear" w:color="auto" w:fill="D9EAF7"/>
          </w:tcPr>
          <w:p w14:paraId="0C66AEC3" w14:textId="77777777" w:rsidR="001705F1" w:rsidRDefault="00846C10">
            <w:r>
              <w:rPr>
                <w:b/>
                <w:sz w:val="16"/>
              </w:rPr>
              <w:t>Reinvestment Rate</w:t>
            </w:r>
          </w:p>
        </w:tc>
      </w:tr>
      <w:tr w:rsidR="001705F1" w14:paraId="0192194E" w14:textId="77777777">
        <w:trPr>
          <w:jc w:val="center"/>
        </w:trPr>
        <w:tc>
          <w:tcPr>
            <w:tcW w:w="4464" w:type="dxa"/>
            <w:tcBorders>
              <w:top w:val="single" w:sz="4" w:space="0" w:color="D9E1F2"/>
              <w:left w:val="single" w:sz="4" w:space="0" w:color="D9E1F2"/>
              <w:bottom w:val="single" w:sz="4" w:space="0" w:color="D9E1F2"/>
              <w:right w:val="single" w:sz="4" w:space="0" w:color="D9E1F2"/>
            </w:tcBorders>
          </w:tcPr>
          <w:p w14:paraId="0F1CF2DA" w14:textId="77777777" w:rsidR="001705F1" w:rsidRDefault="00846C10">
            <w:r>
              <w:rPr>
                <w:sz w:val="16"/>
              </w:rPr>
              <w:t>&lt;= 0.10%</w:t>
            </w:r>
          </w:p>
        </w:tc>
        <w:tc>
          <w:tcPr>
            <w:tcW w:w="4464" w:type="dxa"/>
            <w:tcBorders>
              <w:top w:val="single" w:sz="4" w:space="0" w:color="D9E1F2"/>
              <w:left w:val="single" w:sz="4" w:space="0" w:color="D9E1F2"/>
              <w:bottom w:val="single" w:sz="4" w:space="0" w:color="D9E1F2"/>
              <w:right w:val="single" w:sz="4" w:space="0" w:color="D9E1F2"/>
            </w:tcBorders>
          </w:tcPr>
          <w:p w14:paraId="649D4CA4" w14:textId="456B069C" w:rsidR="001705F1" w:rsidRDefault="00846C10">
            <w:r>
              <w:rPr>
                <w:sz w:val="16"/>
              </w:rPr>
              <w:t>1</w:t>
            </w:r>
            <w:r w:rsidR="003507A9">
              <w:rPr>
                <w:sz w:val="16"/>
              </w:rPr>
              <w:t>1</w:t>
            </w:r>
            <w:r>
              <w:rPr>
                <w:sz w:val="16"/>
              </w:rPr>
              <w:t>0.00% of principal collections</w:t>
            </w:r>
          </w:p>
        </w:tc>
      </w:tr>
      <w:tr w:rsidR="001705F1" w14:paraId="77C67923" w14:textId="77777777">
        <w:trPr>
          <w:jc w:val="center"/>
        </w:trPr>
        <w:tc>
          <w:tcPr>
            <w:tcW w:w="4464" w:type="dxa"/>
            <w:tcBorders>
              <w:top w:val="single" w:sz="4" w:space="0" w:color="D9E1F2"/>
              <w:left w:val="single" w:sz="4" w:space="0" w:color="D9E1F2"/>
              <w:bottom w:val="single" w:sz="4" w:space="0" w:color="D9E1F2"/>
              <w:right w:val="single" w:sz="4" w:space="0" w:color="D9E1F2"/>
            </w:tcBorders>
          </w:tcPr>
          <w:p w14:paraId="5CE18420" w14:textId="77777777" w:rsidR="001705F1" w:rsidRDefault="00846C10">
            <w:r>
              <w:rPr>
                <w:sz w:val="16"/>
              </w:rPr>
              <w:t>&gt; 0.10% and &lt;= 0.20%</w:t>
            </w:r>
          </w:p>
        </w:tc>
        <w:tc>
          <w:tcPr>
            <w:tcW w:w="4464" w:type="dxa"/>
            <w:tcBorders>
              <w:top w:val="single" w:sz="4" w:space="0" w:color="D9E1F2"/>
              <w:left w:val="single" w:sz="4" w:space="0" w:color="D9E1F2"/>
              <w:bottom w:val="single" w:sz="4" w:space="0" w:color="D9E1F2"/>
              <w:right w:val="single" w:sz="4" w:space="0" w:color="D9E1F2"/>
            </w:tcBorders>
          </w:tcPr>
          <w:p w14:paraId="5296A1B5" w14:textId="54E86BF2" w:rsidR="001705F1" w:rsidRDefault="003507A9">
            <w:r>
              <w:rPr>
                <w:sz w:val="16"/>
              </w:rPr>
              <w:t>7</w:t>
            </w:r>
            <w:r w:rsidR="00846C10">
              <w:rPr>
                <w:sz w:val="16"/>
              </w:rPr>
              <w:t>0.00% of principal collections</w:t>
            </w:r>
          </w:p>
        </w:tc>
      </w:tr>
      <w:tr w:rsidR="001705F1" w14:paraId="091EF377" w14:textId="77777777">
        <w:trPr>
          <w:jc w:val="center"/>
        </w:trPr>
        <w:tc>
          <w:tcPr>
            <w:tcW w:w="4464" w:type="dxa"/>
            <w:tcBorders>
              <w:top w:val="single" w:sz="4" w:space="0" w:color="D9E1F2"/>
              <w:left w:val="single" w:sz="4" w:space="0" w:color="D9E1F2"/>
              <w:bottom w:val="single" w:sz="4" w:space="0" w:color="D9E1F2"/>
              <w:right w:val="single" w:sz="4" w:space="0" w:color="D9E1F2"/>
            </w:tcBorders>
          </w:tcPr>
          <w:p w14:paraId="1422327F" w14:textId="77777777" w:rsidR="001705F1" w:rsidRDefault="00846C10">
            <w:r>
              <w:rPr>
                <w:sz w:val="16"/>
              </w:rPr>
              <w:t>&gt; 0.20% and &lt;= 0.35%</w:t>
            </w:r>
          </w:p>
        </w:tc>
        <w:tc>
          <w:tcPr>
            <w:tcW w:w="4464" w:type="dxa"/>
            <w:tcBorders>
              <w:top w:val="single" w:sz="4" w:space="0" w:color="D9E1F2"/>
              <w:left w:val="single" w:sz="4" w:space="0" w:color="D9E1F2"/>
              <w:bottom w:val="single" w:sz="4" w:space="0" w:color="D9E1F2"/>
              <w:right w:val="single" w:sz="4" w:space="0" w:color="D9E1F2"/>
            </w:tcBorders>
          </w:tcPr>
          <w:p w14:paraId="7EF7F27F" w14:textId="7FB71338" w:rsidR="001705F1" w:rsidRDefault="003507A9">
            <w:r>
              <w:rPr>
                <w:sz w:val="16"/>
              </w:rPr>
              <w:t>65</w:t>
            </w:r>
            <w:r w:rsidR="00846C10">
              <w:rPr>
                <w:sz w:val="16"/>
              </w:rPr>
              <w:t>.00% of principal collections</w:t>
            </w:r>
          </w:p>
        </w:tc>
      </w:tr>
      <w:tr w:rsidR="001705F1" w14:paraId="10D67620" w14:textId="77777777">
        <w:trPr>
          <w:jc w:val="center"/>
        </w:trPr>
        <w:tc>
          <w:tcPr>
            <w:tcW w:w="4464" w:type="dxa"/>
            <w:tcBorders>
              <w:top w:val="single" w:sz="4" w:space="0" w:color="D9E1F2"/>
              <w:left w:val="single" w:sz="4" w:space="0" w:color="D9E1F2"/>
              <w:bottom w:val="single" w:sz="4" w:space="0" w:color="D9E1F2"/>
              <w:right w:val="single" w:sz="4" w:space="0" w:color="D9E1F2"/>
            </w:tcBorders>
          </w:tcPr>
          <w:p w14:paraId="036EE37E" w14:textId="77777777" w:rsidR="001705F1" w:rsidRDefault="00846C10">
            <w:r>
              <w:rPr>
                <w:sz w:val="16"/>
              </w:rPr>
              <w:t>&gt; 0.35%</w:t>
            </w:r>
          </w:p>
        </w:tc>
        <w:tc>
          <w:tcPr>
            <w:tcW w:w="4464" w:type="dxa"/>
            <w:tcBorders>
              <w:top w:val="single" w:sz="4" w:space="0" w:color="D9E1F2"/>
              <w:left w:val="single" w:sz="4" w:space="0" w:color="D9E1F2"/>
              <w:bottom w:val="single" w:sz="4" w:space="0" w:color="D9E1F2"/>
              <w:right w:val="single" w:sz="4" w:space="0" w:color="D9E1F2"/>
            </w:tcBorders>
          </w:tcPr>
          <w:p w14:paraId="501A0248" w14:textId="3862F222" w:rsidR="001705F1" w:rsidRDefault="003507A9">
            <w:r>
              <w:rPr>
                <w:sz w:val="16"/>
              </w:rPr>
              <w:t>10</w:t>
            </w:r>
            <w:r w:rsidR="00846C10">
              <w:rPr>
                <w:sz w:val="16"/>
              </w:rPr>
              <w:t>.00% of principal collections</w:t>
            </w:r>
          </w:p>
        </w:tc>
      </w:tr>
    </w:tbl>
    <w:p w14:paraId="0E7E67AB" w14:textId="77777777" w:rsidR="001705F1" w:rsidRDefault="00846C10">
      <w:r>
        <w:t>The reinvestment period normally covers Months 1–18. Reinvestment after Month 12 requires the Projected Month 12 annualized IRR test described below.</w:t>
      </w:r>
    </w:p>
    <w:p w14:paraId="0B25C458" w14:textId="09A34D97" w:rsidR="00156217" w:rsidRDefault="00156217" w:rsidP="00F152C9">
      <w:r w:rsidRPr="00156217">
        <w:t xml:space="preserve">This table reflects the original draft overview of reinvestment mechanics and is retained for historical context. </w:t>
      </w:r>
      <w:r w:rsidR="00A31ABD" w:rsidRPr="00A31ABD">
        <w:t>Refer to the approved framework appendix for final parameters.</w:t>
      </w:r>
    </w:p>
    <w:p w14:paraId="225BCDE2" w14:textId="6E188B46" w:rsidR="001705F1" w:rsidRDefault="00765A6A">
      <w:pPr>
        <w:pStyle w:val="Heading1"/>
      </w:pPr>
      <w:r>
        <w:t>7</w:t>
      </w:r>
      <w:r w:rsidR="00846C10">
        <w:t>. Month 12 Reinvestment Continuation Test</w:t>
      </w:r>
    </w:p>
    <w:p w14:paraId="36F62ADF" w14:textId="77777777" w:rsidR="001705F1" w:rsidRDefault="00846C10">
      <w:r>
        <w:t>Reinvestment may continue during Months 13–18 only if the Projected Month 12 annualized IRR is greater than or equal to 9.00%. If the test fails, reinvestment is 0.00% from Month 13 onward, except that required distributions and fees still follow the normal waterfall.</w:t>
      </w:r>
    </w:p>
    <w:p w14:paraId="71A46771" w14:textId="08E9A419" w:rsidR="00862909" w:rsidRDefault="00765A6A" w:rsidP="00F83A3A">
      <w:pPr>
        <w:pStyle w:val="Heading1"/>
      </w:pPr>
      <w:r>
        <w:t>8</w:t>
      </w:r>
      <w:r w:rsidR="00846C10">
        <w:t>. Scenario-Specific Overrides</w:t>
      </w:r>
    </w:p>
    <w:p w14:paraId="6726528B" w14:textId="406A2D86" w:rsidR="00863D26" w:rsidRPr="00862909" w:rsidRDefault="0002180E" w:rsidP="00862909">
      <w:r w:rsidRPr="0002180E">
        <w:rPr>
          <w:noProof/>
        </w:rPr>
        <w:drawing>
          <wp:inline distT="0" distB="0" distL="0" distR="0" wp14:anchorId="446151B6" wp14:editId="73AA6268">
            <wp:extent cx="6583680" cy="958850"/>
            <wp:effectExtent l="0" t="0" r="7620" b="0"/>
            <wp:docPr id="16518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5582" name=""/>
                    <pic:cNvPicPr/>
                  </pic:nvPicPr>
                  <pic:blipFill>
                    <a:blip r:embed="rId7"/>
                    <a:stretch>
                      <a:fillRect/>
                    </a:stretch>
                  </pic:blipFill>
                  <pic:spPr>
                    <a:xfrm>
                      <a:off x="0" y="0"/>
                      <a:ext cx="6583680" cy="958850"/>
                    </a:xfrm>
                    <a:prstGeom prst="rect">
                      <a:avLst/>
                    </a:prstGeom>
                  </pic:spPr>
                </pic:pic>
              </a:graphicData>
            </a:graphic>
          </wp:inline>
        </w:drawing>
      </w:r>
    </w:p>
    <w:p w14:paraId="5E1FBDA4" w14:textId="102EF443" w:rsidR="001705F1" w:rsidRDefault="00765A6A">
      <w:pPr>
        <w:pStyle w:val="Heading1"/>
      </w:pPr>
      <w:r>
        <w:t>9</w:t>
      </w:r>
      <w:r w:rsidR="00846C10">
        <w:t>. Equity Raise Funding</w:t>
      </w:r>
    </w:p>
    <w:p w14:paraId="0EF10377" w14:textId="77777777" w:rsidR="00443608" w:rsidRDefault="00443608" w:rsidP="00443608">
      <w:r>
        <w:t>Capital raises are funded pro rata based on the original equity ownership split. Unless the approved framework states otherwise, raise proceeds are deployed into new margin loans in the same month as funding.</w:t>
      </w:r>
    </w:p>
    <w:p w14:paraId="1A1B5C9A" w14:textId="2301EC1B" w:rsidR="00A31ABD" w:rsidRDefault="00A31ABD">
      <w:r>
        <w:br w:type="page"/>
      </w:r>
    </w:p>
    <w:p w14:paraId="1BCB9FB4" w14:textId="336DBE11" w:rsidR="00743F3F" w:rsidRDefault="00A31ABD" w:rsidP="00A31ABD">
      <w:pPr>
        <w:rPr>
          <w:rFonts w:asciiTheme="majorHAnsi" w:eastAsiaTheme="majorEastAsia" w:hAnsiTheme="majorHAnsi" w:cstheme="majorBidi"/>
          <w:b/>
          <w:bCs/>
          <w:color w:val="1F4E79"/>
          <w:sz w:val="32"/>
          <w:szCs w:val="28"/>
        </w:rPr>
      </w:pPr>
      <w:r w:rsidRPr="00A31ABD">
        <w:rPr>
          <w:rFonts w:asciiTheme="majorHAnsi" w:eastAsiaTheme="majorEastAsia" w:hAnsiTheme="majorHAnsi" w:cstheme="majorBidi"/>
          <w:b/>
          <w:bCs/>
          <w:color w:val="1F4E79"/>
          <w:sz w:val="32"/>
          <w:szCs w:val="28"/>
        </w:rPr>
        <w:lastRenderedPageBreak/>
        <w:t>Appendix A — Approved Framework Parameters</w:t>
      </w:r>
    </w:p>
    <w:p w14:paraId="1A0638E1" w14:textId="7A11D3E3" w:rsidR="00257133" w:rsidRDefault="00B4206C" w:rsidP="00A31ABD">
      <w:pPr>
        <w:rPr>
          <w:rFonts w:asciiTheme="majorHAnsi" w:eastAsiaTheme="majorEastAsia" w:hAnsiTheme="majorHAnsi" w:cstheme="majorBidi"/>
          <w:b/>
          <w:bCs/>
          <w:color w:val="1F4E79"/>
          <w:sz w:val="32"/>
          <w:szCs w:val="28"/>
        </w:rPr>
      </w:pPr>
      <w:r w:rsidRPr="00B4206C">
        <w:rPr>
          <w:rFonts w:asciiTheme="majorHAnsi" w:eastAsiaTheme="majorEastAsia" w:hAnsiTheme="majorHAnsi" w:cstheme="majorBidi"/>
          <w:b/>
          <w:bCs/>
          <w:color w:val="1F4E79"/>
          <w:sz w:val="32"/>
          <w:szCs w:val="28"/>
        </w:rPr>
        <w:t xml:space="preserve">Table </w:t>
      </w:r>
      <w:r w:rsidR="008754FE">
        <w:rPr>
          <w:rFonts w:asciiTheme="majorHAnsi" w:eastAsiaTheme="majorEastAsia" w:hAnsiTheme="majorHAnsi" w:cstheme="majorBidi"/>
          <w:b/>
          <w:bCs/>
          <w:color w:val="1F4E79"/>
          <w:sz w:val="32"/>
          <w:szCs w:val="28"/>
        </w:rPr>
        <w:t>A-</w:t>
      </w:r>
      <w:r w:rsidRPr="00B4206C">
        <w:rPr>
          <w:rFonts w:asciiTheme="majorHAnsi" w:eastAsiaTheme="majorEastAsia" w:hAnsiTheme="majorHAnsi" w:cstheme="majorBidi"/>
          <w:b/>
          <w:bCs/>
          <w:color w:val="1F4E79"/>
          <w:sz w:val="32"/>
          <w:szCs w:val="28"/>
        </w:rPr>
        <w:t>1 — Approved Covenant Thresholds</w:t>
      </w:r>
    </w:p>
    <w:p w14:paraId="310D389D" w14:textId="2E297CA1" w:rsidR="00257133" w:rsidRDefault="005B0B0E" w:rsidP="00A31ABD">
      <w:pPr>
        <w:rPr>
          <w:rFonts w:asciiTheme="majorHAnsi" w:eastAsiaTheme="majorEastAsia" w:hAnsiTheme="majorHAnsi" w:cstheme="majorBidi"/>
          <w:b/>
          <w:bCs/>
          <w:color w:val="1F4E79"/>
          <w:sz w:val="32"/>
          <w:szCs w:val="28"/>
        </w:rPr>
      </w:pPr>
      <w:r w:rsidRPr="005B0B0E">
        <w:rPr>
          <w:rFonts w:asciiTheme="majorHAnsi" w:eastAsiaTheme="majorEastAsia" w:hAnsiTheme="majorHAnsi" w:cstheme="majorBidi"/>
          <w:b/>
          <w:bCs/>
          <w:noProof/>
          <w:color w:val="1F4E79"/>
          <w:sz w:val="32"/>
          <w:szCs w:val="28"/>
        </w:rPr>
        <w:drawing>
          <wp:inline distT="0" distB="0" distL="0" distR="0" wp14:anchorId="089F025C" wp14:editId="5A1D5D92">
            <wp:extent cx="3861188" cy="2723640"/>
            <wp:effectExtent l="0" t="0" r="6350" b="635"/>
            <wp:docPr id="52636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68372" name=""/>
                    <pic:cNvPicPr/>
                  </pic:nvPicPr>
                  <pic:blipFill>
                    <a:blip r:embed="rId8"/>
                    <a:stretch>
                      <a:fillRect/>
                    </a:stretch>
                  </pic:blipFill>
                  <pic:spPr>
                    <a:xfrm>
                      <a:off x="0" y="0"/>
                      <a:ext cx="3866211" cy="2727183"/>
                    </a:xfrm>
                    <a:prstGeom prst="rect">
                      <a:avLst/>
                    </a:prstGeom>
                  </pic:spPr>
                </pic:pic>
              </a:graphicData>
            </a:graphic>
          </wp:inline>
        </w:drawing>
      </w:r>
    </w:p>
    <w:p w14:paraId="425E23FF" w14:textId="17DF18EE" w:rsidR="00AF64A4" w:rsidRDefault="00B4206C" w:rsidP="00A31ABD">
      <w:pPr>
        <w:rPr>
          <w:rFonts w:asciiTheme="majorHAnsi" w:eastAsiaTheme="majorEastAsia" w:hAnsiTheme="majorHAnsi" w:cstheme="majorBidi"/>
          <w:b/>
          <w:bCs/>
          <w:color w:val="1F4E79"/>
          <w:sz w:val="32"/>
          <w:szCs w:val="28"/>
        </w:rPr>
      </w:pPr>
      <w:r w:rsidRPr="00B4206C">
        <w:rPr>
          <w:rFonts w:asciiTheme="majorHAnsi" w:eastAsiaTheme="majorEastAsia" w:hAnsiTheme="majorHAnsi" w:cstheme="majorBidi"/>
          <w:b/>
          <w:bCs/>
          <w:color w:val="1F4E79"/>
          <w:sz w:val="32"/>
          <w:szCs w:val="28"/>
        </w:rPr>
        <w:t>Table A-2 — Approved Reinvestment and Override Parameters</w:t>
      </w:r>
    </w:p>
    <w:p w14:paraId="4C47A869" w14:textId="14157733" w:rsidR="00AF64A4" w:rsidRDefault="00E95D93" w:rsidP="00A31ABD">
      <w:pPr>
        <w:rPr>
          <w:rFonts w:asciiTheme="majorHAnsi" w:eastAsiaTheme="majorEastAsia" w:hAnsiTheme="majorHAnsi" w:cstheme="majorBidi"/>
          <w:b/>
          <w:bCs/>
          <w:color w:val="1F4E79"/>
          <w:sz w:val="32"/>
          <w:szCs w:val="28"/>
        </w:rPr>
      </w:pPr>
      <w:r w:rsidRPr="00E95D93">
        <w:rPr>
          <w:rFonts w:asciiTheme="majorHAnsi" w:eastAsiaTheme="majorEastAsia" w:hAnsiTheme="majorHAnsi" w:cstheme="majorBidi"/>
          <w:b/>
          <w:bCs/>
          <w:noProof/>
          <w:color w:val="1F4E79"/>
          <w:sz w:val="32"/>
          <w:szCs w:val="28"/>
        </w:rPr>
        <w:drawing>
          <wp:inline distT="0" distB="0" distL="0" distR="0" wp14:anchorId="168A95DA" wp14:editId="5DA39A1F">
            <wp:extent cx="4045158" cy="1733639"/>
            <wp:effectExtent l="0" t="0" r="0" b="0"/>
            <wp:docPr id="20593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4986" name=""/>
                    <pic:cNvPicPr/>
                  </pic:nvPicPr>
                  <pic:blipFill>
                    <a:blip r:embed="rId9"/>
                    <a:stretch>
                      <a:fillRect/>
                    </a:stretch>
                  </pic:blipFill>
                  <pic:spPr>
                    <a:xfrm>
                      <a:off x="0" y="0"/>
                      <a:ext cx="4045158" cy="1733639"/>
                    </a:xfrm>
                    <a:prstGeom prst="rect">
                      <a:avLst/>
                    </a:prstGeom>
                  </pic:spPr>
                </pic:pic>
              </a:graphicData>
            </a:graphic>
          </wp:inline>
        </w:drawing>
      </w:r>
    </w:p>
    <w:p w14:paraId="051D62BB" w14:textId="16F617FF" w:rsidR="008754FE" w:rsidRDefault="00805B35" w:rsidP="00A31ABD">
      <w:pPr>
        <w:rPr>
          <w:rFonts w:asciiTheme="majorHAnsi" w:eastAsiaTheme="majorEastAsia" w:hAnsiTheme="majorHAnsi" w:cstheme="majorBidi"/>
          <w:b/>
          <w:bCs/>
          <w:color w:val="1F4E79"/>
          <w:sz w:val="32"/>
          <w:szCs w:val="28"/>
        </w:rPr>
      </w:pPr>
      <w:r w:rsidRPr="00B4206C">
        <w:rPr>
          <w:rFonts w:asciiTheme="majorHAnsi" w:eastAsiaTheme="majorEastAsia" w:hAnsiTheme="majorHAnsi" w:cstheme="majorBidi"/>
          <w:b/>
          <w:bCs/>
          <w:color w:val="1F4E79"/>
          <w:sz w:val="32"/>
          <w:szCs w:val="28"/>
        </w:rPr>
        <w:t>Table A-</w:t>
      </w:r>
      <w:r>
        <w:rPr>
          <w:rFonts w:asciiTheme="majorHAnsi" w:eastAsiaTheme="majorEastAsia" w:hAnsiTheme="majorHAnsi" w:cstheme="majorBidi"/>
          <w:b/>
          <w:bCs/>
          <w:color w:val="1F4E79"/>
          <w:sz w:val="32"/>
          <w:szCs w:val="28"/>
        </w:rPr>
        <w:t>3</w:t>
      </w:r>
      <w:r w:rsidRPr="00B4206C">
        <w:rPr>
          <w:rFonts w:asciiTheme="majorHAnsi" w:eastAsiaTheme="majorEastAsia" w:hAnsiTheme="majorHAnsi" w:cstheme="majorBidi"/>
          <w:b/>
          <w:bCs/>
          <w:color w:val="1F4E79"/>
          <w:sz w:val="32"/>
          <w:szCs w:val="28"/>
        </w:rPr>
        <w:t xml:space="preserve"> —</w:t>
      </w:r>
      <w:r w:rsidR="00D370BA">
        <w:rPr>
          <w:rFonts w:asciiTheme="majorHAnsi" w:eastAsiaTheme="majorEastAsia" w:hAnsiTheme="majorHAnsi" w:cstheme="majorBidi"/>
          <w:b/>
          <w:bCs/>
          <w:color w:val="1F4E79"/>
          <w:sz w:val="32"/>
          <w:szCs w:val="28"/>
        </w:rPr>
        <w:t xml:space="preserve"> </w:t>
      </w:r>
      <w:r w:rsidR="00D370BA" w:rsidRPr="00D370BA">
        <w:rPr>
          <w:rFonts w:asciiTheme="majorHAnsi" w:eastAsiaTheme="majorEastAsia" w:hAnsiTheme="majorHAnsi" w:cstheme="majorBidi"/>
          <w:b/>
          <w:bCs/>
          <w:color w:val="1F4E79"/>
          <w:sz w:val="32"/>
          <w:szCs w:val="28"/>
        </w:rPr>
        <w:t>Eligibility Framework</w:t>
      </w:r>
      <w:r w:rsidRPr="00805B35">
        <w:rPr>
          <w:rFonts w:asciiTheme="majorHAnsi" w:eastAsiaTheme="majorEastAsia" w:hAnsiTheme="majorHAnsi" w:cstheme="majorBidi"/>
          <w:b/>
          <w:bCs/>
          <w:noProof/>
          <w:color w:val="1F4E79"/>
          <w:sz w:val="32"/>
          <w:szCs w:val="28"/>
        </w:rPr>
        <w:drawing>
          <wp:inline distT="0" distB="0" distL="0" distR="0" wp14:anchorId="7195D951" wp14:editId="181AA401">
            <wp:extent cx="6595170" cy="1311275"/>
            <wp:effectExtent l="0" t="0" r="0" b="3175"/>
            <wp:docPr id="57948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82077" name=""/>
                    <pic:cNvPicPr/>
                  </pic:nvPicPr>
                  <pic:blipFill>
                    <a:blip r:embed="rId10"/>
                    <a:stretch>
                      <a:fillRect/>
                    </a:stretch>
                  </pic:blipFill>
                  <pic:spPr>
                    <a:xfrm>
                      <a:off x="0" y="0"/>
                      <a:ext cx="6597045" cy="1311648"/>
                    </a:xfrm>
                    <a:prstGeom prst="rect">
                      <a:avLst/>
                    </a:prstGeom>
                  </pic:spPr>
                </pic:pic>
              </a:graphicData>
            </a:graphic>
          </wp:inline>
        </w:drawing>
      </w:r>
    </w:p>
    <w:p w14:paraId="7A0356F1" w14:textId="77777777" w:rsidR="008754FE" w:rsidRDefault="008754FE">
      <w:pPr>
        <w:rPr>
          <w:rFonts w:asciiTheme="majorHAnsi" w:eastAsiaTheme="majorEastAsia" w:hAnsiTheme="majorHAnsi" w:cstheme="majorBidi"/>
          <w:b/>
          <w:bCs/>
          <w:color w:val="1F4E79"/>
          <w:sz w:val="32"/>
          <w:szCs w:val="28"/>
        </w:rPr>
      </w:pPr>
      <w:r>
        <w:rPr>
          <w:rFonts w:asciiTheme="majorHAnsi" w:eastAsiaTheme="majorEastAsia" w:hAnsiTheme="majorHAnsi" w:cstheme="majorBidi"/>
          <w:b/>
          <w:bCs/>
          <w:color w:val="1F4E79"/>
          <w:sz w:val="32"/>
          <w:szCs w:val="28"/>
        </w:rPr>
        <w:br w:type="page"/>
      </w:r>
    </w:p>
    <w:p w14:paraId="6000BA40" w14:textId="0ACC5C1D" w:rsidR="0040124A" w:rsidRDefault="008754FE" w:rsidP="00A31ABD">
      <w:pPr>
        <w:rPr>
          <w:rFonts w:asciiTheme="majorHAnsi" w:eastAsiaTheme="majorEastAsia" w:hAnsiTheme="majorHAnsi" w:cstheme="majorBidi"/>
          <w:b/>
          <w:bCs/>
          <w:color w:val="1F4E79"/>
          <w:sz w:val="32"/>
          <w:szCs w:val="28"/>
        </w:rPr>
      </w:pPr>
      <w:r w:rsidRPr="00B4206C">
        <w:rPr>
          <w:rFonts w:asciiTheme="majorHAnsi" w:eastAsiaTheme="majorEastAsia" w:hAnsiTheme="majorHAnsi" w:cstheme="majorBidi"/>
          <w:b/>
          <w:bCs/>
          <w:color w:val="1F4E79"/>
          <w:sz w:val="32"/>
          <w:szCs w:val="28"/>
        </w:rPr>
        <w:lastRenderedPageBreak/>
        <w:t xml:space="preserve">Table </w:t>
      </w:r>
      <w:r w:rsidR="00010508">
        <w:rPr>
          <w:rFonts w:asciiTheme="majorHAnsi" w:eastAsiaTheme="majorEastAsia" w:hAnsiTheme="majorHAnsi" w:cstheme="majorBidi"/>
          <w:b/>
          <w:bCs/>
          <w:color w:val="1F4E79"/>
          <w:sz w:val="32"/>
          <w:szCs w:val="28"/>
        </w:rPr>
        <w:t>B</w:t>
      </w:r>
      <w:r w:rsidRPr="00B4206C">
        <w:rPr>
          <w:rFonts w:asciiTheme="majorHAnsi" w:eastAsiaTheme="majorEastAsia" w:hAnsiTheme="majorHAnsi" w:cstheme="majorBidi"/>
          <w:b/>
          <w:bCs/>
          <w:color w:val="1F4E79"/>
          <w:sz w:val="32"/>
          <w:szCs w:val="28"/>
        </w:rPr>
        <w:t>-</w:t>
      </w:r>
      <w:r>
        <w:rPr>
          <w:rFonts w:asciiTheme="majorHAnsi" w:eastAsiaTheme="majorEastAsia" w:hAnsiTheme="majorHAnsi" w:cstheme="majorBidi"/>
          <w:b/>
          <w:bCs/>
          <w:color w:val="1F4E79"/>
          <w:sz w:val="32"/>
          <w:szCs w:val="28"/>
        </w:rPr>
        <w:t>4</w:t>
      </w:r>
      <w:r w:rsidRPr="00B4206C">
        <w:rPr>
          <w:rFonts w:asciiTheme="majorHAnsi" w:eastAsiaTheme="majorEastAsia" w:hAnsiTheme="majorHAnsi" w:cstheme="majorBidi"/>
          <w:b/>
          <w:bCs/>
          <w:color w:val="1F4E79"/>
          <w:sz w:val="32"/>
          <w:szCs w:val="28"/>
        </w:rPr>
        <w:t xml:space="preserve"> —</w:t>
      </w:r>
      <w:r>
        <w:rPr>
          <w:rFonts w:asciiTheme="majorHAnsi" w:eastAsiaTheme="majorEastAsia" w:hAnsiTheme="majorHAnsi" w:cstheme="majorBidi"/>
          <w:b/>
          <w:bCs/>
          <w:color w:val="1F4E79"/>
          <w:sz w:val="32"/>
          <w:szCs w:val="28"/>
        </w:rPr>
        <w:t xml:space="preserve"> </w:t>
      </w:r>
      <w:r w:rsidR="00F7046F" w:rsidRPr="00F7046F">
        <w:rPr>
          <w:rFonts w:asciiTheme="majorHAnsi" w:eastAsiaTheme="majorEastAsia" w:hAnsiTheme="majorHAnsi" w:cstheme="majorBidi"/>
          <w:b/>
          <w:bCs/>
          <w:color w:val="1F4E79"/>
          <w:sz w:val="32"/>
          <w:szCs w:val="28"/>
        </w:rPr>
        <w:t>Hard-Failure Screens</w:t>
      </w:r>
    </w:p>
    <w:p w14:paraId="09320EC5" w14:textId="6C9C66C6" w:rsidR="008754FE" w:rsidRDefault="002F1376" w:rsidP="00A31ABD">
      <w:pPr>
        <w:rPr>
          <w:rFonts w:asciiTheme="majorHAnsi" w:eastAsiaTheme="majorEastAsia" w:hAnsiTheme="majorHAnsi" w:cstheme="majorBidi"/>
          <w:b/>
          <w:bCs/>
          <w:color w:val="1F4E79"/>
          <w:sz w:val="32"/>
          <w:szCs w:val="28"/>
        </w:rPr>
      </w:pPr>
      <w:r w:rsidRPr="002F1376">
        <w:rPr>
          <w:rFonts w:asciiTheme="majorHAnsi" w:eastAsiaTheme="majorEastAsia" w:hAnsiTheme="majorHAnsi" w:cstheme="majorBidi"/>
          <w:b/>
          <w:bCs/>
          <w:noProof/>
          <w:color w:val="1F4E79"/>
          <w:sz w:val="32"/>
          <w:szCs w:val="28"/>
        </w:rPr>
        <w:drawing>
          <wp:inline distT="0" distB="0" distL="0" distR="0" wp14:anchorId="471FBD5B" wp14:editId="1CEDC1C2">
            <wp:extent cx="5139737" cy="1416050"/>
            <wp:effectExtent l="0" t="0" r="3810" b="0"/>
            <wp:docPr id="143553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38579" name=""/>
                    <pic:cNvPicPr/>
                  </pic:nvPicPr>
                  <pic:blipFill>
                    <a:blip r:embed="rId11"/>
                    <a:stretch>
                      <a:fillRect/>
                    </a:stretch>
                  </pic:blipFill>
                  <pic:spPr>
                    <a:xfrm>
                      <a:off x="0" y="0"/>
                      <a:ext cx="5142650" cy="1416853"/>
                    </a:xfrm>
                    <a:prstGeom prst="rect">
                      <a:avLst/>
                    </a:prstGeom>
                  </pic:spPr>
                </pic:pic>
              </a:graphicData>
            </a:graphic>
          </wp:inline>
        </w:drawing>
      </w:r>
    </w:p>
    <w:p w14:paraId="420D4658" w14:textId="125073B1" w:rsidR="00010508" w:rsidRDefault="00010508">
      <w:pPr>
        <w:rPr>
          <w:rFonts w:asciiTheme="majorHAnsi" w:eastAsiaTheme="majorEastAsia" w:hAnsiTheme="majorHAnsi" w:cstheme="majorBidi"/>
          <w:b/>
          <w:bCs/>
          <w:color w:val="1F4E79"/>
          <w:sz w:val="32"/>
          <w:szCs w:val="28"/>
        </w:rPr>
      </w:pPr>
      <w:r>
        <w:rPr>
          <w:rFonts w:asciiTheme="majorHAnsi" w:eastAsiaTheme="majorEastAsia" w:hAnsiTheme="majorHAnsi" w:cstheme="majorBidi"/>
          <w:b/>
          <w:bCs/>
          <w:color w:val="1F4E79"/>
          <w:sz w:val="32"/>
          <w:szCs w:val="28"/>
        </w:rPr>
        <w:br w:type="page"/>
      </w:r>
    </w:p>
    <w:p w14:paraId="5CC6B16A" w14:textId="77777777" w:rsidR="00010508" w:rsidRDefault="00010508" w:rsidP="00010508">
      <w:pPr>
        <w:rPr>
          <w:rFonts w:asciiTheme="majorHAnsi" w:eastAsiaTheme="majorEastAsia" w:hAnsiTheme="majorHAnsi" w:cstheme="majorBidi"/>
          <w:b/>
          <w:bCs/>
          <w:color w:val="1F4E79"/>
          <w:sz w:val="32"/>
          <w:szCs w:val="28"/>
        </w:rPr>
      </w:pPr>
      <w:r w:rsidRPr="00B4206C">
        <w:rPr>
          <w:rFonts w:asciiTheme="majorHAnsi" w:eastAsiaTheme="majorEastAsia" w:hAnsiTheme="majorHAnsi" w:cstheme="majorBidi"/>
          <w:b/>
          <w:bCs/>
          <w:color w:val="1F4E79"/>
          <w:sz w:val="32"/>
          <w:szCs w:val="28"/>
        </w:rPr>
        <w:lastRenderedPageBreak/>
        <w:t>Table A-</w:t>
      </w:r>
      <w:r>
        <w:rPr>
          <w:rFonts w:asciiTheme="majorHAnsi" w:eastAsiaTheme="majorEastAsia" w:hAnsiTheme="majorHAnsi" w:cstheme="majorBidi"/>
          <w:b/>
          <w:bCs/>
          <w:color w:val="1F4E79"/>
          <w:sz w:val="32"/>
          <w:szCs w:val="28"/>
        </w:rPr>
        <w:t>4</w:t>
      </w:r>
      <w:r w:rsidRPr="00B4206C">
        <w:rPr>
          <w:rFonts w:asciiTheme="majorHAnsi" w:eastAsiaTheme="majorEastAsia" w:hAnsiTheme="majorHAnsi" w:cstheme="majorBidi"/>
          <w:b/>
          <w:bCs/>
          <w:color w:val="1F4E79"/>
          <w:sz w:val="32"/>
          <w:szCs w:val="28"/>
        </w:rPr>
        <w:t xml:space="preserve"> —</w:t>
      </w:r>
      <w:r>
        <w:rPr>
          <w:rFonts w:asciiTheme="majorHAnsi" w:eastAsiaTheme="majorEastAsia" w:hAnsiTheme="majorHAnsi" w:cstheme="majorBidi"/>
          <w:b/>
          <w:bCs/>
          <w:color w:val="1F4E79"/>
          <w:sz w:val="32"/>
          <w:szCs w:val="28"/>
        </w:rPr>
        <w:t xml:space="preserve"> </w:t>
      </w:r>
      <w:r w:rsidRPr="008754FE">
        <w:rPr>
          <w:rFonts w:asciiTheme="majorHAnsi" w:eastAsiaTheme="majorEastAsia" w:hAnsiTheme="majorHAnsi" w:cstheme="majorBidi"/>
          <w:b/>
          <w:bCs/>
          <w:color w:val="1F4E79"/>
          <w:sz w:val="32"/>
          <w:szCs w:val="28"/>
        </w:rPr>
        <w:t>Catch-Up Raise Framework</w:t>
      </w:r>
    </w:p>
    <w:p w14:paraId="3A058CA5" w14:textId="132779EF" w:rsidR="00A44D8E" w:rsidRDefault="00A44D8E" w:rsidP="00010508">
      <w:pPr>
        <w:rPr>
          <w:rFonts w:asciiTheme="majorHAnsi" w:eastAsiaTheme="majorEastAsia" w:hAnsiTheme="majorHAnsi" w:cstheme="majorBidi"/>
          <w:b/>
          <w:bCs/>
          <w:color w:val="1F4E79"/>
          <w:sz w:val="32"/>
          <w:szCs w:val="28"/>
        </w:rPr>
      </w:pPr>
      <w:r w:rsidRPr="00A44D8E">
        <w:rPr>
          <w:noProof/>
        </w:rPr>
        <w:drawing>
          <wp:inline distT="0" distB="0" distL="0" distR="0" wp14:anchorId="0A4568B2" wp14:editId="27B62EA0">
            <wp:extent cx="5438775" cy="1114425"/>
            <wp:effectExtent l="0" t="0" r="9525" b="9525"/>
            <wp:docPr id="174600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1114425"/>
                    </a:xfrm>
                    <a:prstGeom prst="rect">
                      <a:avLst/>
                    </a:prstGeom>
                    <a:noFill/>
                    <a:ln>
                      <a:noFill/>
                    </a:ln>
                  </pic:spPr>
                </pic:pic>
              </a:graphicData>
            </a:graphic>
          </wp:inline>
        </w:drawing>
      </w:r>
    </w:p>
    <w:p w14:paraId="3372F8FC" w14:textId="77777777" w:rsidR="00010508" w:rsidRDefault="00010508" w:rsidP="00A31ABD">
      <w:pPr>
        <w:rPr>
          <w:rFonts w:asciiTheme="majorHAnsi" w:eastAsiaTheme="majorEastAsia" w:hAnsiTheme="majorHAnsi" w:cstheme="majorBidi"/>
          <w:b/>
          <w:bCs/>
          <w:color w:val="1F4E79"/>
          <w:sz w:val="32"/>
          <w:szCs w:val="28"/>
        </w:rPr>
      </w:pPr>
    </w:p>
    <w:p w14:paraId="642F6E81" w14:textId="77777777" w:rsidR="009F1F24" w:rsidRPr="00A31ABD" w:rsidRDefault="009F1F24" w:rsidP="00A31ABD">
      <w:pPr>
        <w:rPr>
          <w:rFonts w:asciiTheme="majorHAnsi" w:eastAsiaTheme="majorEastAsia" w:hAnsiTheme="majorHAnsi" w:cstheme="majorBidi"/>
          <w:b/>
          <w:bCs/>
          <w:color w:val="1F4E79"/>
          <w:sz w:val="32"/>
          <w:szCs w:val="28"/>
        </w:rPr>
      </w:pPr>
    </w:p>
    <w:sectPr w:rsidR="009F1F24" w:rsidRPr="00A31AB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B071E6"/>
    <w:multiLevelType w:val="hybridMultilevel"/>
    <w:tmpl w:val="8CAE7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007151">
    <w:abstractNumId w:val="8"/>
  </w:num>
  <w:num w:numId="2" w16cid:durableId="1578661534">
    <w:abstractNumId w:val="6"/>
  </w:num>
  <w:num w:numId="3" w16cid:durableId="1131359477">
    <w:abstractNumId w:val="5"/>
  </w:num>
  <w:num w:numId="4" w16cid:durableId="1795246066">
    <w:abstractNumId w:val="4"/>
  </w:num>
  <w:num w:numId="5" w16cid:durableId="760100494">
    <w:abstractNumId w:val="7"/>
  </w:num>
  <w:num w:numId="6" w16cid:durableId="798452237">
    <w:abstractNumId w:val="3"/>
  </w:num>
  <w:num w:numId="7" w16cid:durableId="274168777">
    <w:abstractNumId w:val="2"/>
  </w:num>
  <w:num w:numId="8" w16cid:durableId="1669216132">
    <w:abstractNumId w:val="1"/>
  </w:num>
  <w:num w:numId="9" w16cid:durableId="1152718212">
    <w:abstractNumId w:val="0"/>
  </w:num>
  <w:num w:numId="10" w16cid:durableId="936327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08"/>
    <w:rsid w:val="0002180E"/>
    <w:rsid w:val="00034616"/>
    <w:rsid w:val="0006063C"/>
    <w:rsid w:val="000C705F"/>
    <w:rsid w:val="00136496"/>
    <w:rsid w:val="00146967"/>
    <w:rsid w:val="0015074B"/>
    <w:rsid w:val="00156217"/>
    <w:rsid w:val="001705F1"/>
    <w:rsid w:val="00232A27"/>
    <w:rsid w:val="00244ACB"/>
    <w:rsid w:val="00257133"/>
    <w:rsid w:val="0029639D"/>
    <w:rsid w:val="002C257C"/>
    <w:rsid w:val="002E1BCF"/>
    <w:rsid w:val="002F1376"/>
    <w:rsid w:val="0032408E"/>
    <w:rsid w:val="00326F90"/>
    <w:rsid w:val="00347C34"/>
    <w:rsid w:val="003507A9"/>
    <w:rsid w:val="00352C41"/>
    <w:rsid w:val="0036587A"/>
    <w:rsid w:val="00381DE0"/>
    <w:rsid w:val="0040124A"/>
    <w:rsid w:val="00422D67"/>
    <w:rsid w:val="004357C6"/>
    <w:rsid w:val="00443608"/>
    <w:rsid w:val="004549DF"/>
    <w:rsid w:val="00467073"/>
    <w:rsid w:val="004A3198"/>
    <w:rsid w:val="004A35D8"/>
    <w:rsid w:val="005064A5"/>
    <w:rsid w:val="00533E26"/>
    <w:rsid w:val="00577148"/>
    <w:rsid w:val="005B0B0E"/>
    <w:rsid w:val="00621915"/>
    <w:rsid w:val="0064533C"/>
    <w:rsid w:val="00662FAC"/>
    <w:rsid w:val="00737C69"/>
    <w:rsid w:val="00743F3F"/>
    <w:rsid w:val="00765A6A"/>
    <w:rsid w:val="007C4F8E"/>
    <w:rsid w:val="00805B35"/>
    <w:rsid w:val="00846C10"/>
    <w:rsid w:val="00862909"/>
    <w:rsid w:val="00863D26"/>
    <w:rsid w:val="008745BE"/>
    <w:rsid w:val="008754FE"/>
    <w:rsid w:val="008F5324"/>
    <w:rsid w:val="00912744"/>
    <w:rsid w:val="009A6B91"/>
    <w:rsid w:val="009F1F24"/>
    <w:rsid w:val="00A31ABD"/>
    <w:rsid w:val="00A44D8E"/>
    <w:rsid w:val="00A4514A"/>
    <w:rsid w:val="00AA1D8D"/>
    <w:rsid w:val="00AC7774"/>
    <w:rsid w:val="00AF64A4"/>
    <w:rsid w:val="00B4206C"/>
    <w:rsid w:val="00B47730"/>
    <w:rsid w:val="00C02D81"/>
    <w:rsid w:val="00C0674D"/>
    <w:rsid w:val="00C255F8"/>
    <w:rsid w:val="00CB0664"/>
    <w:rsid w:val="00CC1209"/>
    <w:rsid w:val="00CC67DF"/>
    <w:rsid w:val="00CE5F8E"/>
    <w:rsid w:val="00D20015"/>
    <w:rsid w:val="00D370BA"/>
    <w:rsid w:val="00E417AC"/>
    <w:rsid w:val="00E832D5"/>
    <w:rsid w:val="00E95D93"/>
    <w:rsid w:val="00F12635"/>
    <w:rsid w:val="00F152C9"/>
    <w:rsid w:val="00F210FC"/>
    <w:rsid w:val="00F24277"/>
    <w:rsid w:val="00F7046F"/>
    <w:rsid w:val="00F83A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922193-21C3-4FBA-9629-13E34D000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1F1F"/>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512</Words>
  <Characters>2888</Characters>
  <Application>Microsoft Office Word</Application>
  <DocSecurity>0</DocSecurity>
  <Lines>93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Carson Desmarais</cp:lastModifiedBy>
  <cp:revision>2</cp:revision>
  <dcterms:created xsi:type="dcterms:W3CDTF">2026-07-17T00:58:00Z</dcterms:created>
  <dcterms:modified xsi:type="dcterms:W3CDTF">2026-07-17T00:58:00Z</dcterms:modified>
  <cp:category/>
</cp:coreProperties>
</file>